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59675">
      <w:pPr>
        <w:snapToGrid/>
        <w:spacing w:line="590" w:lineRule="exact"/>
        <w:rPr>
          <w:rFonts w:hint="default" w:ascii="黑体" w:hAnsi="黑体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 w:bidi="ar-SA"/>
        </w:rPr>
        <w:t>附件2</w:t>
      </w:r>
    </w:p>
    <w:p w14:paraId="764A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22FD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海南省2026年水稻机收减损技能</w:t>
      </w:r>
    </w:p>
    <w:p w14:paraId="75FD3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大比武活动方案</w:t>
      </w:r>
    </w:p>
    <w:p w14:paraId="3502E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8C6D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为常态化推进水稻机收减损技术推广应用，全面提升全省水稻机械化收获作业质量，夯实粮食稳产增收、颗粒归仓基础。结合我省水稻生产及农机化发展实际，制定本活动方案。</w:t>
      </w:r>
    </w:p>
    <w:p w14:paraId="43542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活动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目的</w:t>
      </w:r>
      <w:bookmarkEnd w:id="0"/>
    </w:p>
    <w:p w14:paraId="1274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通过技能比拼、技术交流、实操练兵，全面检验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</w:t>
      </w:r>
      <w:r>
        <w:rPr>
          <w:rFonts w:hint="eastAsia" w:ascii="仿宋" w:hAnsi="仿宋" w:eastAsia="仿宋" w:cs="仿宋"/>
          <w:sz w:val="32"/>
          <w:szCs w:val="32"/>
        </w:rPr>
        <w:t>省农机手机收作业实操技能与减损操作水平，强化农机手节粮减损、规范作业、安全作业意识。搭建农机从业人员比学赶超、切磋技艺、展示风采的平台，加快推广先进机收减损技术与标准化作业模式，持续提升全省水稻机械化收获质量与作业效率，有效降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水稻</w:t>
      </w:r>
      <w:r>
        <w:rPr>
          <w:rFonts w:hint="eastAsia" w:ascii="仿宋" w:hAnsi="仿宋" w:eastAsia="仿宋" w:cs="仿宋"/>
          <w:sz w:val="32"/>
          <w:szCs w:val="32"/>
        </w:rPr>
        <w:t>机收损耗。</w:t>
      </w:r>
    </w:p>
    <w:p w14:paraId="379DB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二、组织机构</w:t>
      </w:r>
      <w:bookmarkEnd w:id="1"/>
    </w:p>
    <w:p w14:paraId="3DAA1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为保障活动有序、规范、高效开展，成立本次水稻机收减损技能大比武活动专项工作组织架构，明确各单位职责分工，统筹推进活动各项工作。</w:t>
      </w:r>
    </w:p>
    <w:p w14:paraId="35D8B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主办单位</w:t>
      </w:r>
      <w:r>
        <w:rPr>
          <w:rFonts w:hint="eastAsia" w:ascii="仿宋" w:hAnsi="仿宋" w:eastAsia="仿宋" w:cs="仿宋"/>
          <w:sz w:val="32"/>
          <w:szCs w:val="32"/>
        </w:rPr>
        <w:t>：海南省农业农村厅</w:t>
      </w:r>
    </w:p>
    <w:p w14:paraId="3D509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承办单位</w:t>
      </w:r>
      <w:r>
        <w:rPr>
          <w:rFonts w:hint="eastAsia" w:ascii="仿宋" w:hAnsi="仿宋" w:eastAsia="仿宋" w:cs="仿宋"/>
          <w:sz w:val="32"/>
          <w:szCs w:val="32"/>
        </w:rPr>
        <w:t>：海南省农业机械鉴定推广站</w:t>
      </w:r>
    </w:p>
    <w:p w14:paraId="1FA8E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协办单位</w:t>
      </w:r>
      <w:r>
        <w:rPr>
          <w:rFonts w:hint="eastAsia" w:ascii="仿宋" w:hAnsi="仿宋" w:eastAsia="仿宋" w:cs="仿宋"/>
          <w:sz w:val="32"/>
          <w:szCs w:val="32"/>
        </w:rPr>
        <w:t>：东方市农机服务中心、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潍柴雷沃农机产销企业</w:t>
      </w:r>
    </w:p>
    <w:p w14:paraId="4C524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组织架构</w:t>
      </w:r>
      <w:r>
        <w:rPr>
          <w:rFonts w:hint="eastAsia" w:ascii="仿宋" w:hAnsi="仿宋" w:eastAsia="仿宋" w:cs="仿宋"/>
          <w:sz w:val="32"/>
          <w:szCs w:val="32"/>
        </w:rPr>
        <w:t>：设立活动组委会，由省农业农村厅农业机械化管理处、省农机鉴定推广站相关负责人组成，负责活动整体组织、统筹调度、指导监督工作；组建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裁判</w:t>
      </w:r>
      <w:r>
        <w:rPr>
          <w:rFonts w:hint="eastAsia" w:ascii="仿宋" w:hAnsi="仿宋" w:eastAsia="仿宋" w:cs="仿宋"/>
          <w:sz w:val="32"/>
          <w:szCs w:val="32"/>
        </w:rPr>
        <w:t>专家组，由省农机鉴定推广站及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有关</w:t>
      </w:r>
      <w:r>
        <w:rPr>
          <w:rFonts w:hint="eastAsia" w:ascii="仿宋" w:hAnsi="仿宋" w:eastAsia="仿宋" w:cs="仿宋"/>
          <w:sz w:val="32"/>
          <w:szCs w:val="32"/>
        </w:rPr>
        <w:t>市县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技术人员</w:t>
      </w:r>
      <w:r>
        <w:rPr>
          <w:rFonts w:hint="eastAsia" w:ascii="仿宋" w:hAnsi="仿宋" w:eastAsia="仿宋" w:cs="仿宋"/>
          <w:sz w:val="32"/>
          <w:szCs w:val="32"/>
        </w:rPr>
        <w:t>组成，负责赛事评判、损失率测定、成绩核定、结果公示等工作。</w:t>
      </w:r>
    </w:p>
    <w:p w14:paraId="3E75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2" w:name="heading_7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活动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内容</w:t>
      </w:r>
      <w:bookmarkEnd w:id="2"/>
    </w:p>
    <w:p w14:paraId="49E28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3" w:name="heading_8"/>
      <w:r>
        <w:rPr>
          <w:rFonts w:hint="eastAsia" w:ascii="仿宋" w:hAnsi="仿宋" w:eastAsia="仿宋" w:cs="仿宋"/>
          <w:b/>
          <w:sz w:val="32"/>
          <w:szCs w:val="32"/>
        </w:rPr>
        <w:t>（一）机具与作业条件</w:t>
      </w:r>
      <w:bookmarkEnd w:id="3"/>
    </w:p>
    <w:p w14:paraId="36BF1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比武统一使用潍柴雷沃智慧农业科技股份有限公司生产的4LZ-8G7A履带自走全喂入式谷物联合收割机。所有参赛选手在生长条件基本一致、地势平坦、无积水、无明显杂草的连片水稻田块开展作业，作业时段避开雨天、露水时段，确保作业环境统一、评测公平公正。</w:t>
      </w:r>
    </w:p>
    <w:p w14:paraId="1C385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4" w:name="heading_9"/>
      <w:r>
        <w:rPr>
          <w:rFonts w:hint="eastAsia" w:ascii="仿宋" w:hAnsi="仿宋" w:eastAsia="仿宋" w:cs="仿宋"/>
          <w:b/>
          <w:sz w:val="32"/>
          <w:szCs w:val="32"/>
        </w:rPr>
        <w:t>（二）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评定</w:t>
      </w:r>
      <w:r>
        <w:rPr>
          <w:rFonts w:hint="eastAsia" w:ascii="仿宋" w:hAnsi="仿宋" w:eastAsia="仿宋" w:cs="仿宋"/>
          <w:b/>
          <w:sz w:val="32"/>
          <w:szCs w:val="32"/>
        </w:rPr>
        <w:t>项目</w:t>
      </w:r>
      <w:bookmarkEnd w:id="4"/>
    </w:p>
    <w:p w14:paraId="53F26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参照《谷物（水稻）联合收割机收获损失率测定方法》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执行</w:t>
      </w:r>
      <w:r>
        <w:rPr>
          <w:rFonts w:hint="eastAsia" w:ascii="仿宋" w:hAnsi="仿宋" w:eastAsia="仿宋" w:cs="仿宋"/>
          <w:sz w:val="32"/>
          <w:szCs w:val="32"/>
        </w:rPr>
        <w:t>，围绕安全操作、作业熟练度、作业效率、机收损失率、割茬高度、漏收情况六大核心指标开展综合考评，全面考核选手规范操作、精准减损、高效作业的综合能力。</w:t>
      </w:r>
    </w:p>
    <w:p w14:paraId="71BAE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" w:hAnsi="仿宋" w:eastAsia="仿宋" w:cs="仿宋"/>
          <w:sz w:val="32"/>
          <w:szCs w:val="32"/>
        </w:rPr>
      </w:pPr>
      <w:bookmarkStart w:id="5" w:name="heading_10"/>
      <w:r>
        <w:rPr>
          <w:rFonts w:hint="eastAsia" w:ascii="仿宋" w:hAnsi="仿宋" w:eastAsia="仿宋" w:cs="仿宋"/>
          <w:b/>
          <w:sz w:val="32"/>
          <w:szCs w:val="32"/>
        </w:rPr>
        <w:t>（三）结果判定</w:t>
      </w:r>
      <w:bookmarkEnd w:id="5"/>
    </w:p>
    <w:p w14:paraId="5677F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裁判</w:t>
      </w:r>
      <w:r>
        <w:rPr>
          <w:rFonts w:hint="eastAsia" w:ascii="仿宋" w:hAnsi="仿宋" w:eastAsia="仿宋" w:cs="仿宋"/>
          <w:sz w:val="32"/>
          <w:szCs w:val="32"/>
        </w:rPr>
        <w:t>组现场测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</w:t>
      </w:r>
      <w:r>
        <w:rPr>
          <w:rFonts w:hint="eastAsia" w:ascii="仿宋" w:hAnsi="仿宋" w:eastAsia="仿宋" w:cs="仿宋"/>
          <w:sz w:val="32"/>
          <w:szCs w:val="32"/>
        </w:rPr>
        <w:t>各项指标、逐项打分，汇总选手综合得分，按总分高低确定最终获奖名次。若总分相同，优先对比机收损失率，损失率更低者排名靠前；若总分、损失率均相同，对比作业效率，作业效率更高者排名靠前；三项指标均一致则为并列名次。</w:t>
      </w:r>
    </w:p>
    <w:p w14:paraId="5417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6" w:name="heading_12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、奖项设置</w:t>
      </w:r>
      <w:bookmarkEnd w:id="6"/>
    </w:p>
    <w:p w14:paraId="2E963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根据选手综合成绩排名设置梯度奖项，对获奖选手予以表彰激励，具体设置如下：</w:t>
      </w:r>
    </w:p>
    <w:p w14:paraId="1AC8C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1.一等奖：1名</w:t>
      </w:r>
    </w:p>
    <w:p w14:paraId="171E3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2.二等奖：2名</w:t>
      </w:r>
    </w:p>
    <w:p w14:paraId="46894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3.三等奖：3名</w:t>
      </w:r>
    </w:p>
    <w:p w14:paraId="1F2A6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4.优胜奖：12名</w:t>
      </w:r>
    </w:p>
    <w:p w14:paraId="5F3AB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7" w:name="heading_17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、其他事项</w:t>
      </w:r>
      <w:bookmarkEnd w:id="7"/>
    </w:p>
    <w:p w14:paraId="3243A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1.组委会负责活动现场整体布置、参赛人员统筹调度、赛事流程组织及媒体宣传报道工作，保障赛事全程有序开展。</w:t>
      </w:r>
    </w:p>
    <w:p w14:paraId="2E007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2.东方市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农机服务中心</w:t>
      </w:r>
      <w:r>
        <w:rPr>
          <w:rFonts w:hint="eastAsia" w:ascii="仿宋" w:hAnsi="仿宋" w:eastAsia="仿宋" w:cs="仿宋"/>
          <w:sz w:val="32"/>
          <w:szCs w:val="32"/>
        </w:rPr>
        <w:t>负责活动现场安全管控、人员秩序维护，全面排查场地、机具安全隐患，杜绝安全事故发生。</w:t>
      </w:r>
    </w:p>
    <w:p w14:paraId="13FB0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3.所有参赛选手须严格遵守赛事纪律，按抽签顺序参赛，逾期未到场视为弃权；竞赛期间严禁嬉戏打闹、扰乱赛场秩序，严禁违规操作机具，违者视情节扣分或取消参赛资格。</w:t>
      </w:r>
    </w:p>
    <w:p w14:paraId="0B4E3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4.竞赛过程中若出现机具故障、突发意外等情况，选手需立即举手示意，由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</w:t>
      </w:r>
      <w:r>
        <w:rPr>
          <w:rFonts w:hint="eastAsia" w:ascii="仿宋" w:hAnsi="仿宋" w:eastAsia="仿宋" w:cs="仿宋"/>
          <w:sz w:val="32"/>
          <w:szCs w:val="32"/>
        </w:rPr>
        <w:t>统一作出处理决定，选手不得擅自处置。</w:t>
      </w:r>
    </w:p>
    <w:p w14:paraId="1BE7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5.赛事成绩公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布</w:t>
      </w:r>
      <w:r>
        <w:rPr>
          <w:rFonts w:hint="eastAsia" w:ascii="仿宋" w:hAnsi="仿宋" w:eastAsia="仿宋" w:cs="仿宋"/>
          <w:sz w:val="32"/>
          <w:szCs w:val="32"/>
        </w:rPr>
        <w:t>后，若对成绩有异议，须由市县农业（农机）部门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参加活动的负责同志</w:t>
      </w:r>
      <w:r>
        <w:rPr>
          <w:rFonts w:hint="eastAsia" w:ascii="仿宋" w:hAnsi="仿宋" w:eastAsia="仿宋" w:cs="仿宋"/>
          <w:sz w:val="32"/>
          <w:szCs w:val="32"/>
        </w:rPr>
        <w:t>在30分钟内向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</w:t>
      </w:r>
      <w:r>
        <w:rPr>
          <w:rFonts w:hint="eastAsia" w:ascii="仿宋" w:hAnsi="仿宋" w:eastAsia="仿宋" w:cs="仿宋"/>
          <w:sz w:val="32"/>
          <w:szCs w:val="32"/>
        </w:rPr>
        <w:t>委会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提出</w:t>
      </w:r>
      <w:r>
        <w:rPr>
          <w:rFonts w:hint="eastAsia" w:ascii="仿宋" w:hAnsi="仿宋" w:eastAsia="仿宋" w:cs="仿宋"/>
          <w:sz w:val="32"/>
          <w:szCs w:val="32"/>
        </w:rPr>
        <w:t>申诉，严禁私自与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</w:t>
      </w:r>
      <w:r>
        <w:rPr>
          <w:rFonts w:hint="eastAsia" w:ascii="仿宋" w:hAnsi="仿宋" w:eastAsia="仿宋" w:cs="仿宋"/>
          <w:sz w:val="32"/>
          <w:szCs w:val="32"/>
        </w:rPr>
        <w:t>委、赛事工作人员交涉。</w:t>
      </w:r>
      <w:bookmarkStart w:id="9" w:name="_GoBack"/>
      <w:bookmarkEnd w:id="9"/>
    </w:p>
    <w:p w14:paraId="3A40F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本次活动同步开展制种稻测产工作，组织相关专家、种植主体观摩学习，推广优质机收减损技术经验。</w:t>
      </w:r>
    </w:p>
    <w:p w14:paraId="4DEF6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7.本次活动未</w:t>
      </w:r>
      <w:r>
        <w:rPr>
          <w:rFonts w:hint="eastAsia" w:ascii="仿宋" w:hAnsi="仿宋" w:eastAsia="仿宋" w:cs="仿宋"/>
          <w:sz w:val="32"/>
          <w:szCs w:val="32"/>
        </w:rPr>
        <w:t>尽事宜，由组委会赛前统一讲解说明。</w:t>
      </w:r>
    </w:p>
    <w:p w14:paraId="5CE79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1"/>
        <w:rPr>
          <w:rFonts w:hint="eastAsia" w:ascii="仿宋" w:hAnsi="仿宋" w:eastAsia="仿宋" w:cs="仿宋"/>
          <w:b/>
          <w:sz w:val="32"/>
          <w:szCs w:val="32"/>
        </w:rPr>
      </w:pPr>
      <w:bookmarkStart w:id="8" w:name="heading_18"/>
    </w:p>
    <w:p w14:paraId="39430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w w:val="98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附件</w:t>
      </w:r>
      <w:bookmarkEnd w:id="8"/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w w:val="98"/>
          <w:sz w:val="32"/>
          <w:szCs w:val="32"/>
        </w:rPr>
        <w:t>谷物（水稻）联合收割机收获损失率测定方法</w:t>
      </w:r>
    </w:p>
    <w:p w14:paraId="07A986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.水稻机收减损技能大比武活动记录表</w:t>
      </w:r>
    </w:p>
    <w:p w14:paraId="67B33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600" w:firstLineChars="5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.水稻收获损失率测定记录表</w:t>
      </w:r>
    </w:p>
    <w:p w14:paraId="78DE3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1600" w:firstLineChars="5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水稻机收减损技能大比武活动评分标准</w:t>
      </w:r>
    </w:p>
    <w:p w14:paraId="7BCB0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843" w:right="1219" w:bottom="1559" w:left="1599" w:header="851" w:footer="992" w:gutter="0"/>
          <w:cols w:space="720" w:num="1"/>
          <w:docGrid w:type="lines" w:linePitch="312" w:charSpace="0"/>
        </w:sectPr>
      </w:pPr>
    </w:p>
    <w:p w14:paraId="2BFFAD82">
      <w:pPr>
        <w:widowControl/>
        <w:shd w:val="clear" w:color="FFFFFF" w:fill="FFFFFF"/>
        <w:spacing w:line="360" w:lineRule="auto"/>
        <w:jc w:val="both"/>
        <w:outlineLvl w:val="0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附件1</w:t>
      </w:r>
    </w:p>
    <w:p w14:paraId="0A627568">
      <w:pPr>
        <w:widowControl/>
        <w:shd w:val="clear" w:color="FFFFFF" w:fill="FFFFFF"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谷物（水稻）联合收割机收获损失率测定方法</w:t>
      </w:r>
    </w:p>
    <w:p w14:paraId="50DDC0A3">
      <w:pPr>
        <w:widowControl/>
        <w:outlineLvl w:val="1"/>
        <w:rPr>
          <w:rFonts w:ascii="Times New Roman" w:hAnsi="Times New Roman" w:eastAsia="黑体"/>
          <w:spacing w:val="4"/>
          <w:kern w:val="0"/>
          <w:szCs w:val="21"/>
        </w:rPr>
      </w:pPr>
    </w:p>
    <w:p w14:paraId="14B15C5E">
      <w:pPr>
        <w:spacing w:after="156" w:afterLines="50"/>
        <w:rPr>
          <w:rFonts w:ascii="宋体" w:hAnsi="宋体"/>
          <w:b/>
          <w:bCs/>
          <w:sz w:val="28"/>
          <w:szCs w:val="36"/>
        </w:rPr>
      </w:pPr>
      <w:r>
        <w:rPr>
          <w:rFonts w:hint="eastAsia" w:ascii="宋体" w:hAnsi="宋体"/>
          <w:b/>
          <w:bCs/>
          <w:sz w:val="28"/>
          <w:szCs w:val="36"/>
        </w:rPr>
        <w:t>1范围</w:t>
      </w:r>
    </w:p>
    <w:p w14:paraId="5E09B135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本文件规定了水稻收获时，全喂入谷物联合收割机收获损失率简易测定方法。</w:t>
      </w:r>
    </w:p>
    <w:p w14:paraId="4D688B6C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本文件适用于202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eastAsia="zh-CN"/>
        </w:rPr>
        <w:t>海南省</w:t>
      </w:r>
      <w:r>
        <w:rPr>
          <w:rFonts w:hint="eastAsia" w:ascii="宋体" w:hAnsi="宋体"/>
          <w:sz w:val="24"/>
          <w:szCs w:val="24"/>
        </w:rPr>
        <w:t>水稻机收减损技能大比武活动。</w:t>
      </w:r>
    </w:p>
    <w:p w14:paraId="532C74D1">
      <w:pPr>
        <w:spacing w:before="156" w:beforeLines="50" w:after="156" w:afterLines="50"/>
        <w:rPr>
          <w:rFonts w:ascii="宋体" w:hAnsi="宋体"/>
          <w:b/>
          <w:bCs/>
          <w:sz w:val="28"/>
          <w:szCs w:val="36"/>
        </w:rPr>
      </w:pPr>
      <w:r>
        <w:rPr>
          <w:rFonts w:hint="eastAsia" w:ascii="宋体" w:hAnsi="宋体"/>
          <w:b/>
          <w:bCs/>
          <w:sz w:val="28"/>
          <w:szCs w:val="36"/>
        </w:rPr>
        <w:t>2依据标准</w:t>
      </w:r>
    </w:p>
    <w:p w14:paraId="3FDA8CA1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GB/T5667-2008农业机械生产试验方法</w:t>
      </w:r>
    </w:p>
    <w:p w14:paraId="39CE17E3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NY/T498-2013水稻联合收割机作业质量</w:t>
      </w:r>
    </w:p>
    <w:p w14:paraId="351AA271">
      <w:pPr>
        <w:spacing w:before="156" w:beforeLines="50" w:after="156" w:afterLines="5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3术语和定义</w:t>
      </w:r>
    </w:p>
    <w:p w14:paraId="78BFE1D4"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下列术语和定义适用于本文件。</w:t>
      </w:r>
    </w:p>
    <w:p w14:paraId="40550EF6">
      <w:pPr>
        <w:spacing w:before="156" w:beforeLines="50" w:after="156" w:afterLine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3.1</w:t>
      </w:r>
    </w:p>
    <w:p w14:paraId="1E4CC964">
      <w:pPr>
        <w:spacing w:before="156" w:beforeLines="50" w:after="156" w:afterLines="50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损失率</w:t>
      </w:r>
    </w:p>
    <w:p w14:paraId="70B307E8"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收获作业后，田块内</w:t>
      </w:r>
      <w:r>
        <w:rPr>
          <w:rFonts w:hint="eastAsia" w:ascii="宋体" w:hAnsi="宋体"/>
          <w:sz w:val="24"/>
          <w:szCs w:val="24"/>
        </w:rPr>
        <w:t>损失籽粒质量占</w:t>
      </w:r>
      <w:r>
        <w:rPr>
          <w:rFonts w:hint="eastAsia" w:ascii="宋体" w:hAnsi="宋体"/>
          <w:sz w:val="24"/>
          <w:szCs w:val="24"/>
          <w:lang w:eastAsia="zh-CN"/>
        </w:rPr>
        <w:t>应收</w:t>
      </w:r>
      <w:r>
        <w:rPr>
          <w:rFonts w:hint="eastAsia" w:ascii="宋体" w:hAnsi="宋体"/>
          <w:sz w:val="24"/>
          <w:szCs w:val="24"/>
        </w:rPr>
        <w:t>籽粒总质量的百分</w:t>
      </w:r>
      <w:r>
        <w:rPr>
          <w:rFonts w:hint="eastAsia" w:ascii="宋体" w:hAnsi="宋体"/>
          <w:sz w:val="24"/>
          <w:szCs w:val="24"/>
          <w:lang w:eastAsia="zh-CN"/>
        </w:rPr>
        <w:t>比</w:t>
      </w:r>
      <w:r>
        <w:rPr>
          <w:rFonts w:hint="eastAsia" w:ascii="宋体" w:hAnsi="宋体"/>
          <w:sz w:val="24"/>
          <w:szCs w:val="24"/>
        </w:rPr>
        <w:t>。</w:t>
      </w:r>
    </w:p>
    <w:p w14:paraId="57B0F4A7">
      <w:pPr>
        <w:spacing w:before="156" w:beforeLines="50" w:after="156" w:afterLines="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3.2</w:t>
      </w:r>
    </w:p>
    <w:p w14:paraId="16CFE1C3">
      <w:pPr>
        <w:spacing w:before="156" w:beforeLines="50" w:after="156" w:afterLines="50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自然落粒</w:t>
      </w:r>
    </w:p>
    <w:p w14:paraId="1B0636DA">
      <w:pPr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在水稻收割前掉落的籽粒和落穗。</w:t>
      </w:r>
    </w:p>
    <w:p w14:paraId="5C007588"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3.3</w:t>
      </w:r>
    </w:p>
    <w:p w14:paraId="00630AA7">
      <w:pPr>
        <w:spacing w:before="156" w:beforeLines="50" w:after="156" w:afterLines="50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割茬高度</w:t>
      </w:r>
    </w:p>
    <w:p w14:paraId="38ECB5DF">
      <w:pPr>
        <w:spacing w:before="156" w:beforeLines="50" w:after="156" w:afterLines="5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收割完成后，留在地面上的稻茬高度。</w:t>
      </w:r>
    </w:p>
    <w:p w14:paraId="5DB1E241">
      <w:pPr>
        <w:spacing w:before="156" w:after="156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3.4</w:t>
      </w:r>
    </w:p>
    <w:p w14:paraId="2105454F">
      <w:pPr>
        <w:spacing w:before="156" w:beforeLines="50" w:after="156" w:afterLines="50"/>
        <w:ind w:firstLine="482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倒伏程度</w:t>
      </w:r>
    </w:p>
    <w:p w14:paraId="6425888C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用不倒伏、中等倒伏和严重倒伏表示。穗头根部和茎秆基部连线与地面垂直线间的夹角，在0～30°为不倒伏，30°～60°为中等倒伏，60°以上为严重倒伏。</w:t>
      </w:r>
    </w:p>
    <w:p w14:paraId="6A7AC2F8">
      <w:pPr>
        <w:spacing w:before="156" w:beforeLines="50" w:after="156" w:afterLines="50"/>
        <w:rPr>
          <w:rFonts w:ascii="宋体" w:hAnsi="宋体"/>
          <w:szCs w:val="32"/>
        </w:rPr>
      </w:pPr>
      <w:r>
        <w:rPr>
          <w:rFonts w:hint="eastAsia" w:ascii="宋体" w:hAnsi="宋体"/>
          <w:b/>
          <w:bCs/>
          <w:sz w:val="28"/>
          <w:szCs w:val="36"/>
        </w:rPr>
        <w:t>4测量工具和辅助设备</w:t>
      </w:r>
    </w:p>
    <w:p w14:paraId="27821C20">
      <w:pPr>
        <w:spacing w:before="156" w:beforeLines="50" w:after="156" w:afterLines="50"/>
        <w:jc w:val="center"/>
        <w:rPr>
          <w:rFonts w:ascii="宋体" w:hAnsi="宋体"/>
          <w:szCs w:val="32"/>
        </w:rPr>
      </w:pPr>
    </w:p>
    <w:p w14:paraId="7A14C24B">
      <w:pPr>
        <w:spacing w:before="156" w:beforeLines="50" w:after="156" w:afterLines="50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/>
          <w:b/>
          <w:bCs/>
          <w:sz w:val="24"/>
          <w:szCs w:val="24"/>
        </w:rPr>
        <w:t>仪器设备和辅助工具表</w:t>
      </w:r>
    </w:p>
    <w:tbl>
      <w:tblPr>
        <w:tblStyle w:val="4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320"/>
        <w:gridCol w:w="1987"/>
        <w:gridCol w:w="3846"/>
      </w:tblGrid>
      <w:tr w14:paraId="420B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825" w:type="dxa"/>
            <w:noWrap w:val="0"/>
            <w:vAlign w:val="center"/>
          </w:tcPr>
          <w:p w14:paraId="0B87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序号</w:t>
            </w:r>
          </w:p>
        </w:tc>
        <w:tc>
          <w:tcPr>
            <w:tcW w:w="2320" w:type="dxa"/>
            <w:noWrap w:val="0"/>
            <w:vAlign w:val="center"/>
          </w:tcPr>
          <w:p w14:paraId="4AFCC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名称</w:t>
            </w:r>
          </w:p>
        </w:tc>
        <w:tc>
          <w:tcPr>
            <w:tcW w:w="1987" w:type="dxa"/>
            <w:noWrap w:val="0"/>
            <w:vAlign w:val="center"/>
          </w:tcPr>
          <w:p w14:paraId="59806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要求</w:t>
            </w:r>
          </w:p>
        </w:tc>
        <w:tc>
          <w:tcPr>
            <w:tcW w:w="3846" w:type="dxa"/>
            <w:noWrap w:val="0"/>
            <w:vAlign w:val="center"/>
          </w:tcPr>
          <w:p w14:paraId="7BFD9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用途</w:t>
            </w:r>
          </w:p>
        </w:tc>
      </w:tr>
      <w:tr w14:paraId="640D8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25" w:type="dxa"/>
            <w:noWrap w:val="0"/>
            <w:vAlign w:val="center"/>
          </w:tcPr>
          <w:p w14:paraId="434B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1</w:t>
            </w:r>
          </w:p>
        </w:tc>
        <w:tc>
          <w:tcPr>
            <w:tcW w:w="2320" w:type="dxa"/>
            <w:noWrap w:val="0"/>
            <w:vAlign w:val="center"/>
          </w:tcPr>
          <w:p w14:paraId="0378F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eastAsia="zh-CN"/>
              </w:rPr>
            </w:pPr>
            <w:r>
              <w:rPr>
                <w:rFonts w:hint="eastAsia" w:ascii="宋体" w:hAnsi="宋体" w:eastAsia="等线"/>
                <w:szCs w:val="32"/>
              </w:rPr>
              <w:t>计时器</w:t>
            </w:r>
            <w:r>
              <w:rPr>
                <w:rFonts w:hint="eastAsia" w:ascii="宋体" w:hAnsi="宋体" w:eastAsia="等线"/>
                <w:szCs w:val="32"/>
                <w:lang w:eastAsia="zh-CN"/>
              </w:rPr>
              <w:t>（秒表）</w:t>
            </w:r>
          </w:p>
        </w:tc>
        <w:tc>
          <w:tcPr>
            <w:tcW w:w="1987" w:type="dxa"/>
            <w:noWrap w:val="0"/>
            <w:vAlign w:val="center"/>
          </w:tcPr>
          <w:p w14:paraId="0936B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等线"/>
                <w:szCs w:val="32"/>
                <w:lang w:val="en-US"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0-24h</w:t>
            </w:r>
          </w:p>
        </w:tc>
        <w:tc>
          <w:tcPr>
            <w:tcW w:w="3846" w:type="dxa"/>
            <w:noWrap w:val="0"/>
            <w:vAlign w:val="center"/>
          </w:tcPr>
          <w:p w14:paraId="14EAD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测定</w:t>
            </w:r>
            <w:r>
              <w:rPr>
                <w:rFonts w:ascii="宋体" w:hAnsi="宋体" w:eastAsia="等线"/>
                <w:szCs w:val="32"/>
              </w:rPr>
              <w:t>收获作业时间</w:t>
            </w:r>
          </w:p>
        </w:tc>
      </w:tr>
      <w:tr w14:paraId="6E983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25" w:type="dxa"/>
            <w:noWrap w:val="0"/>
            <w:vAlign w:val="center"/>
          </w:tcPr>
          <w:p w14:paraId="0FF3D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2</w:t>
            </w:r>
          </w:p>
        </w:tc>
        <w:tc>
          <w:tcPr>
            <w:tcW w:w="2320" w:type="dxa"/>
            <w:noWrap w:val="0"/>
            <w:vAlign w:val="center"/>
          </w:tcPr>
          <w:p w14:paraId="53EB2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ascii="宋体" w:hAnsi="宋体" w:eastAsia="等线"/>
                <w:szCs w:val="32"/>
              </w:rPr>
              <w:t>钢卷尺</w:t>
            </w:r>
          </w:p>
        </w:tc>
        <w:tc>
          <w:tcPr>
            <w:tcW w:w="1987" w:type="dxa"/>
            <w:noWrap w:val="0"/>
            <w:vAlign w:val="center"/>
          </w:tcPr>
          <w:p w14:paraId="42685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10</w:t>
            </w:r>
            <w:r>
              <w:rPr>
                <w:rFonts w:hint="eastAsia" w:ascii="宋体" w:hAnsi="宋体" w:eastAsia="等线"/>
                <w:szCs w:val="32"/>
              </w:rPr>
              <w:t>m和50m</w:t>
            </w:r>
          </w:p>
        </w:tc>
        <w:tc>
          <w:tcPr>
            <w:tcW w:w="3846" w:type="dxa"/>
            <w:noWrap w:val="0"/>
            <w:vAlign w:val="center"/>
          </w:tcPr>
          <w:p w14:paraId="33B37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ascii="宋体" w:hAnsi="宋体" w:eastAsia="等线"/>
                <w:szCs w:val="32"/>
              </w:rPr>
              <w:t>测定工作幅宽</w:t>
            </w:r>
            <w:r>
              <w:rPr>
                <w:rFonts w:hint="eastAsia" w:ascii="宋体" w:hAnsi="宋体" w:eastAsia="等线"/>
                <w:szCs w:val="32"/>
              </w:rPr>
              <w:t>和测区长度</w:t>
            </w:r>
          </w:p>
        </w:tc>
      </w:tr>
      <w:tr w14:paraId="1F1E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825" w:type="dxa"/>
            <w:noWrap w:val="0"/>
            <w:vAlign w:val="center"/>
          </w:tcPr>
          <w:p w14:paraId="3B391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3</w:t>
            </w:r>
          </w:p>
        </w:tc>
        <w:tc>
          <w:tcPr>
            <w:tcW w:w="2320" w:type="dxa"/>
            <w:noWrap w:val="0"/>
            <w:vAlign w:val="center"/>
          </w:tcPr>
          <w:p w14:paraId="7F93A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ascii="宋体" w:hAnsi="宋体" w:eastAsia="等线"/>
                <w:szCs w:val="32"/>
              </w:rPr>
              <w:t>钢直尺</w:t>
            </w:r>
          </w:p>
        </w:tc>
        <w:tc>
          <w:tcPr>
            <w:tcW w:w="1987" w:type="dxa"/>
            <w:noWrap w:val="0"/>
            <w:vAlign w:val="center"/>
          </w:tcPr>
          <w:p w14:paraId="1DB27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60cm</w:t>
            </w:r>
          </w:p>
        </w:tc>
        <w:tc>
          <w:tcPr>
            <w:tcW w:w="3846" w:type="dxa"/>
            <w:noWrap w:val="0"/>
            <w:vAlign w:val="center"/>
          </w:tcPr>
          <w:p w14:paraId="53C7A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hAnsi="宋体" w:eastAsia="等线"/>
                <w:szCs w:val="32"/>
              </w:rPr>
            </w:pPr>
            <w:r>
              <w:rPr>
                <w:rFonts w:ascii="宋体" w:hAnsi="宋体" w:eastAsia="等线"/>
                <w:szCs w:val="32"/>
              </w:rPr>
              <w:t>测定</w:t>
            </w:r>
            <w:r>
              <w:rPr>
                <w:rFonts w:hint="eastAsia" w:ascii="宋体" w:hAnsi="宋体" w:eastAsia="等线"/>
                <w:szCs w:val="32"/>
              </w:rPr>
              <w:t>割</w:t>
            </w:r>
            <w:r>
              <w:rPr>
                <w:rFonts w:ascii="宋体" w:hAnsi="宋体" w:eastAsia="等线"/>
                <w:szCs w:val="32"/>
              </w:rPr>
              <w:t>茬高度</w:t>
            </w:r>
          </w:p>
        </w:tc>
      </w:tr>
      <w:tr w14:paraId="6394A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25" w:type="dxa"/>
            <w:noWrap w:val="0"/>
            <w:vAlign w:val="center"/>
          </w:tcPr>
          <w:p w14:paraId="12A0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val="en-US"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4</w:t>
            </w:r>
          </w:p>
        </w:tc>
        <w:tc>
          <w:tcPr>
            <w:tcW w:w="2320" w:type="dxa"/>
            <w:noWrap w:val="0"/>
            <w:vAlign w:val="center"/>
          </w:tcPr>
          <w:p w14:paraId="48716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eastAsia="zh-CN"/>
              </w:rPr>
            </w:pPr>
            <w:r>
              <w:rPr>
                <w:rFonts w:hint="eastAsia" w:ascii="宋体" w:hAnsi="宋体" w:eastAsia="等线"/>
                <w:szCs w:val="32"/>
                <w:lang w:eastAsia="zh-CN"/>
              </w:rPr>
              <w:t>电子天平</w:t>
            </w:r>
          </w:p>
        </w:tc>
        <w:tc>
          <w:tcPr>
            <w:tcW w:w="1987" w:type="dxa"/>
            <w:noWrap w:val="0"/>
            <w:vAlign w:val="center"/>
          </w:tcPr>
          <w:p w14:paraId="54461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等线"/>
                <w:szCs w:val="32"/>
                <w:lang w:val="en-US"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0-6000g</w:t>
            </w:r>
          </w:p>
        </w:tc>
        <w:tc>
          <w:tcPr>
            <w:tcW w:w="3846" w:type="dxa"/>
            <w:noWrap w:val="0"/>
            <w:vAlign w:val="center"/>
          </w:tcPr>
          <w:p w14:paraId="6A8AF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eastAsia="zh-CN"/>
              </w:rPr>
            </w:pPr>
            <w:r>
              <w:rPr>
                <w:rFonts w:hint="eastAsia" w:ascii="宋体" w:hAnsi="宋体" w:eastAsia="等线"/>
                <w:szCs w:val="32"/>
                <w:lang w:eastAsia="zh-CN"/>
              </w:rPr>
              <w:t>测定</w:t>
            </w:r>
            <w:r>
              <w:rPr>
                <w:rFonts w:hint="eastAsia" w:ascii="宋体" w:hAnsi="宋体" w:eastAsia="等线"/>
                <w:szCs w:val="32"/>
              </w:rPr>
              <w:t>损失的籽粒</w:t>
            </w:r>
            <w:r>
              <w:rPr>
                <w:rFonts w:hint="eastAsia" w:ascii="宋体" w:hAnsi="宋体" w:eastAsia="等线"/>
                <w:szCs w:val="32"/>
                <w:lang w:eastAsia="zh-CN"/>
              </w:rPr>
              <w:t>质量</w:t>
            </w:r>
          </w:p>
        </w:tc>
      </w:tr>
      <w:tr w14:paraId="77F4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25" w:type="dxa"/>
            <w:noWrap w:val="0"/>
            <w:vAlign w:val="center"/>
          </w:tcPr>
          <w:p w14:paraId="2BEDB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5</w:t>
            </w:r>
          </w:p>
        </w:tc>
        <w:tc>
          <w:tcPr>
            <w:tcW w:w="2320" w:type="dxa"/>
            <w:noWrap w:val="0"/>
            <w:vAlign w:val="center"/>
          </w:tcPr>
          <w:p w14:paraId="01DD5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val="en-US"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取样框</w:t>
            </w:r>
          </w:p>
        </w:tc>
        <w:tc>
          <w:tcPr>
            <w:tcW w:w="1987" w:type="dxa"/>
            <w:noWrap w:val="0"/>
            <w:vAlign w:val="center"/>
          </w:tcPr>
          <w:p w14:paraId="6271A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  <w:lang w:val="en-US" w:eastAsia="zh-CN"/>
              </w:rPr>
            </w:pPr>
            <w:r>
              <w:rPr>
                <w:rFonts w:hint="eastAsia" w:ascii="宋体" w:hAnsi="宋体" w:eastAsia="等线"/>
                <w:szCs w:val="32"/>
                <w:lang w:val="en-US" w:eastAsia="zh-CN"/>
              </w:rPr>
              <w:t>2.4m*0.5m</w:t>
            </w:r>
          </w:p>
        </w:tc>
        <w:tc>
          <w:tcPr>
            <w:tcW w:w="3846" w:type="dxa"/>
            <w:noWrap w:val="0"/>
            <w:vAlign w:val="center"/>
          </w:tcPr>
          <w:p w14:paraId="34593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等线"/>
                <w:szCs w:val="32"/>
              </w:rPr>
            </w:pPr>
            <w:r>
              <w:rPr>
                <w:rFonts w:hint="eastAsia" w:ascii="宋体" w:hAnsi="宋体" w:eastAsia="等线"/>
                <w:szCs w:val="32"/>
              </w:rPr>
              <w:t>调查损失的籽粒数量</w:t>
            </w:r>
          </w:p>
        </w:tc>
      </w:tr>
    </w:tbl>
    <w:p w14:paraId="6C379A47">
      <w:pPr>
        <w:spacing w:before="156" w:beforeLines="50" w:after="156" w:afterLines="50"/>
        <w:rPr>
          <w:rFonts w:ascii="宋体" w:hAnsi="宋体"/>
          <w:b/>
          <w:bCs/>
          <w:sz w:val="28"/>
          <w:szCs w:val="36"/>
        </w:rPr>
      </w:pPr>
      <w:r>
        <w:rPr>
          <w:rFonts w:hint="eastAsia" w:ascii="宋体" w:hAnsi="宋体"/>
          <w:b/>
          <w:bCs/>
          <w:sz w:val="28"/>
          <w:szCs w:val="36"/>
        </w:rPr>
        <w:t>5作业条件</w:t>
      </w:r>
    </w:p>
    <w:p w14:paraId="4AA0E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5.1农艺条件</w:t>
      </w:r>
    </w:p>
    <w:p w14:paraId="2E8F0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收割应在水稻的蜡熟末期至完熟期、不倒伏条件下进行。</w:t>
      </w:r>
    </w:p>
    <w:p w14:paraId="4C845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5.2地块条件</w:t>
      </w:r>
    </w:p>
    <w:p w14:paraId="0BD9D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地表应不陷脚、无积水，田块无明显杂草。地块相对集中连片（长度宜不小于40m，宽度宜不小于2</w:t>
      </w:r>
      <w:r>
        <w:rPr>
          <w:rFonts w:ascii="宋体" w:hAnsi="宋体"/>
          <w:sz w:val="24"/>
          <w:szCs w:val="24"/>
        </w:rPr>
        <w:t>0m）</w:t>
      </w:r>
      <w:r>
        <w:rPr>
          <w:rFonts w:hint="eastAsia" w:ascii="宋体" w:hAnsi="宋体"/>
          <w:sz w:val="24"/>
          <w:szCs w:val="24"/>
        </w:rPr>
        <w:t>，地势平坦，非坡地。</w:t>
      </w:r>
    </w:p>
    <w:p w14:paraId="11013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5.3环境条件</w:t>
      </w:r>
    </w:p>
    <w:p w14:paraId="4C5F4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不应在雨天或雨后收割，应在露水消散后作业。</w:t>
      </w:r>
    </w:p>
    <w:p w14:paraId="68058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5.4机具条件</w:t>
      </w:r>
    </w:p>
    <w:p w14:paraId="786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机具应提前进行检查和保养，做好机具调试，可在临近地块进行试割，确保机具达到正常作业状态。收获作业时，联合收割机应处于收获作业标准档位，以正常的作业速度作业。</w:t>
      </w:r>
    </w:p>
    <w:p w14:paraId="41B7D62A">
      <w:pPr>
        <w:spacing w:before="156" w:beforeLines="50" w:after="156" w:afterLines="50"/>
        <w:rPr>
          <w:rFonts w:ascii="宋体" w:hAnsi="宋体"/>
          <w:b/>
          <w:bCs/>
          <w:sz w:val="28"/>
          <w:szCs w:val="36"/>
        </w:rPr>
      </w:pPr>
      <w:r>
        <w:rPr>
          <w:rFonts w:hint="eastAsia" w:ascii="宋体" w:hAnsi="宋体"/>
          <w:b/>
          <w:bCs/>
          <w:sz w:val="28"/>
          <w:szCs w:val="36"/>
        </w:rPr>
        <w:t>6作业条件判定</w:t>
      </w:r>
    </w:p>
    <w:p w14:paraId="4A0BC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按照上文判定农艺条件、地块条件、环境条件和机具条件等是否符合，符合条件的作为标准工况进行评测，按照下文测定方法进行测评。</w:t>
      </w:r>
    </w:p>
    <w:p w14:paraId="4300685B">
      <w:pPr>
        <w:spacing w:before="156" w:beforeLines="50" w:after="156" w:afterLines="50"/>
        <w:rPr>
          <w:rFonts w:ascii="宋体" w:hAnsi="宋体"/>
          <w:b/>
          <w:bCs/>
          <w:szCs w:val="32"/>
        </w:rPr>
      </w:pPr>
      <w:r>
        <w:rPr>
          <w:rFonts w:hint="eastAsia" w:ascii="宋体" w:hAnsi="宋体"/>
          <w:b/>
          <w:bCs/>
          <w:sz w:val="28"/>
          <w:szCs w:val="36"/>
        </w:rPr>
        <w:t>7测定方法</w:t>
      </w:r>
    </w:p>
    <w:p w14:paraId="7EE47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7.1</w:t>
      </w:r>
      <w:r>
        <w:rPr>
          <w:rFonts w:hint="eastAsia" w:ascii="宋体" w:hAnsi="宋体"/>
          <w:sz w:val="24"/>
          <w:szCs w:val="24"/>
        </w:rPr>
        <w:t>按照上文作业条件与机手确定收获地块，进行2个满幅作业行程（1个来回）收获作业，每个作业行程大于30米，使用钢卷尺和计时器测量作业宽度和作业时间，计算作业面积。</w:t>
      </w:r>
    </w:p>
    <w:p w14:paraId="7094D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7.2作业小时生产率</w:t>
      </w:r>
    </w:p>
    <w:p w14:paraId="6194B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按照GB/T5667—2008《农业机械生产试验方法》6.1.2的规定，按公式（1）计算作业小时生产率。</w:t>
      </w:r>
    </w:p>
    <w:p w14:paraId="2839CC97">
      <w:pPr>
        <w:ind w:firstLine="420" w:firstLineChars="200"/>
        <w:jc w:val="right"/>
        <w:rPr>
          <w:rFonts w:ascii="宋体" w:hAnsi="宋体"/>
          <w:kern w:val="0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hint="default" w:ascii="Cambria Math" w:hAnsi="Cambria Math" w:cs="Times New Roman"/>
              <w:kern w:val="0"/>
              <w:sz w:val="21"/>
              <w:szCs w:val="24"/>
              <w:lang w:val="en-US" w:eastAsia="zh-CN" w:bidi="ar-SA"/>
            </w:rPr>
            <m:t>E</m:t>
          </m:r>
          <m:r>
            <m:rPr>
              <m:sty m:val="p"/>
            </m:rPr>
            <w:rPr>
              <w:rFonts w:hint="default" w:ascii="Cambria Math" w:hAnsi="Cambria Math" w:cs="Cambria Math"/>
              <w:kern w:val="0"/>
              <w:sz w:val="21"/>
              <w:szCs w:val="24"/>
              <w:lang w:val="en-US" w:eastAsia="zh-CN" w:bidi="ar-SA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  <m:t>S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  <m:t>3600</m:t>
              </m:r>
              <m:ctrl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  <m:t>T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  <m:t>666.67</m:t>
              </m:r>
              <m:ctrl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Cambria Math"/>
              <w:kern w:val="0"/>
              <w:sz w:val="21"/>
              <w:szCs w:val="24"/>
              <w:lang w:val="en-US" w:bidi="ar-SA"/>
            </w:rPr>
            <m:t>⋯⋯⋯⋯⋯⋯⋯⋯⋯⋯⋯⋯⋯⋯⋯⋯⋯⋯⋯⋯</m:t>
          </m:r>
          <m:r>
            <m:rPr>
              <m:sty m:val="p"/>
            </m:rPr>
            <w:rPr>
              <w:rFonts w:hint="default" w:ascii="Cambria Math" w:hAnsi="Cambria Math" w:cs="Cambria Math"/>
              <w:kern w:val="0"/>
              <w:sz w:val="21"/>
              <w:szCs w:val="24"/>
              <w:lang w:val="en-US" w:eastAsia="zh-CN" w:bidi="ar-SA"/>
            </w:rPr>
            <m:t>⋯</m:t>
          </m:r>
          <m:d>
            <m:dPr>
              <m:ctrl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</m:ctrlPr>
            </m:dPr>
            <m:e>
              <m:r>
                <m:rPr>
                  <m:sty m:val="p"/>
                </m:r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  <m:t>1</m:t>
              </m:r>
              <m:ctrlPr>
                <w:rPr>
                  <w:rFonts w:hint="default" w:ascii="Cambria Math" w:hAnsi="Cambria Math" w:cs="Cambria Math"/>
                  <w:kern w:val="0"/>
                  <w:sz w:val="21"/>
                  <w:szCs w:val="24"/>
                  <w:lang w:val="en-US" w:eastAsia="zh-CN" w:bidi="ar-SA"/>
                </w:rPr>
              </m:ctrlPr>
            </m:e>
          </m:d>
        </m:oMath>
      </m:oMathPara>
    </w:p>
    <w:p w14:paraId="26AC8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式中：</w:t>
      </w:r>
    </w:p>
    <w:p w14:paraId="595C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position w:val="-4"/>
          <w:sz w:val="24"/>
          <w:szCs w:val="24"/>
        </w:rPr>
        <w:object>
          <v:shape id="_x0000_i1025" o:spt="75" type="#_x0000_t75" style="height:13.2pt;width:12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rFonts w:hint="eastAsia" w:ascii="宋体" w:hAnsi="宋体"/>
          <w:kern w:val="0"/>
          <w:sz w:val="24"/>
          <w:szCs w:val="24"/>
        </w:rPr>
        <w:t>——作业小时生产率，单位为亩每小时（</w:t>
      </w:r>
      <w:r>
        <w:rPr>
          <w:rFonts w:hint="eastAsia" w:ascii="宋体" w:hAnsi="宋体"/>
          <w:sz w:val="24"/>
          <w:szCs w:val="24"/>
        </w:rPr>
        <w:t>亩</w:t>
      </w:r>
      <w:r>
        <w:rPr>
          <w:rFonts w:hint="eastAsia" w:ascii="宋体" w:hAnsi="宋体"/>
          <w:kern w:val="0"/>
          <w:sz w:val="24"/>
          <w:szCs w:val="24"/>
        </w:rPr>
        <w:t>/h）；</w:t>
      </w:r>
    </w:p>
    <w:p w14:paraId="1EA9F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position w:val="-6"/>
          <w:sz w:val="24"/>
          <w:szCs w:val="24"/>
        </w:rPr>
        <w:object>
          <v:shape id="_x0000_i1026" o:spt="75" type="#_x0000_t75" style="height:13.8pt;width:10.8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9">
            <o:LockedField>false</o:LockedField>
          </o:OLEObject>
        </w:object>
      </w:r>
      <w:r>
        <w:rPr>
          <w:rFonts w:hint="eastAsia" w:ascii="宋体" w:hAnsi="宋体"/>
          <w:kern w:val="0"/>
          <w:sz w:val="24"/>
          <w:szCs w:val="24"/>
        </w:rPr>
        <w:t>——作业面积，</w:t>
      </w:r>
      <w:r>
        <w:rPr>
          <w:rFonts w:hint="eastAsia" w:ascii="宋体" w:hAnsi="宋体"/>
          <w:sz w:val="24"/>
          <w:szCs w:val="24"/>
        </w:rPr>
        <w:t>单位为</w:t>
      </w:r>
      <w:r>
        <w:rPr>
          <w:rFonts w:hint="eastAsia" w:ascii="宋体" w:hAnsi="宋体"/>
          <w:kern w:val="0"/>
          <w:sz w:val="24"/>
          <w:szCs w:val="24"/>
        </w:rPr>
        <w:t>平方</w:t>
      </w:r>
      <w:r>
        <w:rPr>
          <w:rFonts w:hint="eastAsia" w:ascii="宋体" w:hAnsi="宋体"/>
          <w:sz w:val="24"/>
          <w:szCs w:val="24"/>
        </w:rPr>
        <w:t>米（m</w:t>
      </w:r>
      <w:r>
        <w:rPr>
          <w:rFonts w:ascii="宋体" w:hAnsi="宋体"/>
          <w:sz w:val="24"/>
          <w:szCs w:val="24"/>
          <w:vertAlign w:val="superscript"/>
        </w:rPr>
        <w:t>2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/>
          <w:kern w:val="0"/>
          <w:sz w:val="24"/>
          <w:szCs w:val="24"/>
        </w:rPr>
        <w:t>；</w:t>
      </w:r>
    </w:p>
    <w:p w14:paraId="4F245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ind w:firstLine="480" w:firstLineChars="200"/>
        <w:textAlignment w:val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position w:val="-4"/>
          <w:sz w:val="24"/>
          <w:szCs w:val="24"/>
        </w:rPr>
        <w:object>
          <v:shape id="_x0000_i1027" o:spt="75" type="#_x0000_t75" style="height:13.2pt;width:10.8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1">
            <o:LockedField>false</o:LockedField>
          </o:OLEObject>
        </w:object>
      </w:r>
      <w:r>
        <w:rPr>
          <w:rFonts w:hint="eastAsia" w:ascii="宋体" w:hAnsi="宋体"/>
          <w:kern w:val="0"/>
          <w:sz w:val="24"/>
          <w:szCs w:val="24"/>
        </w:rPr>
        <w:t>——作业时间，单位为秒（s）。</w:t>
      </w:r>
    </w:p>
    <w:p w14:paraId="69D44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7.3损失率</w:t>
      </w:r>
    </w:p>
    <w:p w14:paraId="0397A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半米幅宽法，</w:t>
      </w:r>
      <w:r>
        <w:rPr>
          <w:rFonts w:hint="eastAsia" w:ascii="宋体" w:hAnsi="宋体"/>
          <w:kern w:val="0"/>
          <w:sz w:val="24"/>
          <w:szCs w:val="24"/>
        </w:rPr>
        <w:t>取样区为沿着收割机前进方向长度为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0.5</w:t>
      </w:r>
      <w:r>
        <w:rPr>
          <w:rFonts w:hint="eastAsia" w:ascii="宋体" w:hAnsi="宋体"/>
          <w:kern w:val="0"/>
          <w:sz w:val="24"/>
          <w:szCs w:val="24"/>
        </w:rPr>
        <w:t>米，宽为联合收割机工作幅宽</w:t>
      </w:r>
      <w:r>
        <w:rPr>
          <w:rFonts w:hint="eastAsia" w:ascii="宋体" w:hAnsi="宋体"/>
          <w:color w:val="auto"/>
          <w:kern w:val="0"/>
          <w:sz w:val="24"/>
          <w:szCs w:val="24"/>
        </w:rPr>
        <w:t>2</w:t>
      </w:r>
      <w:r>
        <w:rPr>
          <w:rFonts w:ascii="宋体" w:hAnsi="宋体"/>
          <w:color w:val="auto"/>
          <w:kern w:val="0"/>
          <w:sz w:val="24"/>
          <w:szCs w:val="24"/>
        </w:rPr>
        <w:t>.</w:t>
      </w:r>
      <w:r>
        <w:rPr>
          <w:rFonts w:hint="eastAsia" w:ascii="宋体" w:hAnsi="宋体"/>
          <w:color w:val="auto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kern w:val="0"/>
          <w:sz w:val="24"/>
          <w:szCs w:val="24"/>
        </w:rPr>
        <w:t>米，按照公式（</w:t>
      </w:r>
      <w:r>
        <w:rPr>
          <w:rFonts w:ascii="宋体" w:hAnsi="宋体"/>
          <w:kern w:val="0"/>
          <w:sz w:val="24"/>
          <w:szCs w:val="24"/>
        </w:rPr>
        <w:t>2</w:t>
      </w:r>
      <w:r>
        <w:rPr>
          <w:rFonts w:hint="eastAsia" w:ascii="宋体" w:hAnsi="宋体"/>
          <w:kern w:val="0"/>
          <w:sz w:val="24"/>
          <w:szCs w:val="24"/>
        </w:rPr>
        <w:t>）计算取样区的损失率。</w:t>
      </w:r>
    </w:p>
    <w:p w14:paraId="56A0B191">
      <w:pPr>
        <w:ind w:left="840" w:leftChars="0" w:firstLine="420" w:firstLineChars="200"/>
        <w:jc w:val="both"/>
        <w:rPr>
          <w:rFonts w:hint="eastAsia" w:ascii="宋体" w:hAnsi="宋体"/>
          <w:color w:val="auto"/>
          <w:kern w:val="0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hint="default" w:ascii="Cambria Math" w:hAnsi="Cambria Math"/>
              <w:color w:val="auto"/>
              <w:kern w:val="0"/>
              <w:sz w:val="21"/>
              <w:szCs w:val="21"/>
              <w:lang w:val="en-US" w:eastAsia="zh-CN" w:bidi="ar-SA"/>
            </w:rPr>
            <m:t>S</m:t>
          </m:r>
          <m:r>
            <m:rPr>
              <m:sty m:val="p"/>
            </m:rPr>
            <w:rPr>
              <w:rFonts w:hint="default" w:ascii="Cambria Math" w:hAnsi="Cambria Math" w:cs="Cambria Math"/>
              <w:color w:val="auto"/>
              <w:kern w:val="0"/>
              <w:sz w:val="21"/>
              <w:szCs w:val="21"/>
              <w:lang w:val="en-US" w:eastAsia="zh-CN" w:bidi="ar-SA"/>
            </w:rPr>
            <m:t>=</m:t>
          </m:r>
          <m:f>
            <m:fPr>
              <m:ctrl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  <m:t>2W</m:t>
              </m:r>
              <m:ctrl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  <m:t>3M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  <m:t>L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bidi="ar-SA"/>
                </w:rPr>
                <m:t>×</m:t>
              </m:r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  <m:t>0.5</m:t>
              </m:r>
              <m:ctrl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Cambria Math"/>
              <w:color w:val="auto"/>
              <w:kern w:val="0"/>
              <w:sz w:val="21"/>
              <w:szCs w:val="21"/>
              <w:lang w:val="en-US" w:eastAsia="zh-CN" w:bidi="ar-SA"/>
            </w:rPr>
            <m:t>×100</m:t>
          </m:r>
          <m:r>
            <m:rPr>
              <m:sty m:val="p"/>
            </m:rPr>
            <w:rPr>
              <w:rFonts w:hint="default" w:ascii="Cambria Math" w:hAnsi="Cambria Math" w:cs="Cambria Math"/>
              <w:color w:val="auto"/>
              <w:kern w:val="0"/>
              <w:sz w:val="21"/>
              <w:szCs w:val="21"/>
              <w:lang w:val="en-US" w:bidi="ar-SA"/>
            </w:rPr>
            <m:t>⋯⋯⋯⋯⋯⋯⋯⋯⋯⋯⋯⋯⋯⋯⋯⋯⋯</m:t>
          </m:r>
          <m:r>
            <m:rPr>
              <m:sty m:val="p"/>
            </m:rPr>
            <w:rPr>
              <w:rFonts w:hint="default" w:ascii="Cambria Math" w:hAnsi="Cambria Math" w:cs="Cambria Math"/>
              <w:color w:val="auto"/>
              <w:kern w:val="0"/>
              <w:sz w:val="21"/>
              <w:szCs w:val="21"/>
              <w:lang w:val="en-US" w:eastAsia="zh-CN" w:bidi="ar-SA"/>
            </w:rPr>
            <m:t>⋯</m:t>
          </m:r>
          <m:d>
            <m:dPr>
              <m:ctrl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</m:ctrlPr>
            </m:dPr>
            <m:e>
              <m:r>
                <m:rPr>
                  <m:sty m:val="p"/>
                </m:r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  <m:t>2</m:t>
              </m:r>
              <m:ctrlPr>
                <w:rPr>
                  <w:rFonts w:hint="default" w:ascii="Cambria Math" w:hAnsi="Cambria Math" w:cs="Cambria Math"/>
                  <w:color w:val="auto"/>
                  <w:kern w:val="0"/>
                  <w:sz w:val="21"/>
                  <w:szCs w:val="21"/>
                  <w:lang w:val="en-US" w:eastAsia="zh-CN" w:bidi="ar-SA"/>
                </w:rPr>
              </m:ctrlPr>
            </m:e>
          </m:d>
        </m:oMath>
      </m:oMathPara>
    </w:p>
    <w:p w14:paraId="50E7B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式中：S—损失率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%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)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；</w:t>
      </w:r>
    </w:p>
    <w:p w14:paraId="384B9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m:oMath>
        <m:r>
          <m:rPr>
            <m:sty m:val="p"/>
          </m:rPr>
          <w:rPr>
            <w:rFonts w:hint="eastAsia" w:ascii="Cambria Math" w:hAnsi="Cambria Math" w:eastAsia="宋体" w:cs="宋体"/>
            <w:color w:val="auto"/>
            <w:kern w:val="0"/>
            <w:sz w:val="24"/>
            <w:szCs w:val="24"/>
            <w:lang w:val="en-US" w:eastAsia="zh-CN" w:bidi="ar-SA"/>
          </w:rPr>
          <m:t>W</m:t>
        </m:r>
      </m:oMath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—取样区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水稻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籽粒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损失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质量，单位为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；</w:t>
      </w:r>
    </w:p>
    <w:p w14:paraId="6A1A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lang w:val="en-US" w:eastAsia="zh-CN"/>
        </w:rPr>
      </w:pPr>
      <m:oMath>
        <m:r>
          <m:rPr>
            <m:sty m:val="p"/>
          </m:rPr>
          <w:rPr>
            <w:rFonts w:hint="eastAsia" w:ascii="Cambria Math" w:hAnsi="Cambria Math" w:eastAsia="宋体" w:cs="宋体"/>
            <w:color w:val="auto"/>
            <w:kern w:val="0"/>
            <w:sz w:val="24"/>
            <w:szCs w:val="24"/>
            <w:lang w:val="en-US" w:eastAsia="zh-CN" w:bidi="ar-SA"/>
          </w:rPr>
          <m:t>M</m:t>
        </m:r>
        <m:r>
          <m:rPr>
            <m:sty m:val="p"/>
          </m:rPr>
          <w:rPr>
            <w:rFonts w:hint="eastAsia" w:ascii="Cambria Math" w:hAnsi="Cambria Math" w:eastAsia="宋体" w:cs="宋体"/>
            <w:color w:val="auto"/>
            <w:kern w:val="0"/>
            <w:sz w:val="24"/>
            <w:szCs w:val="24"/>
          </w:rPr>
          <m:t>—</m:t>
        </m:r>
      </m:oMath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单位面积水稻籽粒产量</w:t>
      </w:r>
      <w:r>
        <w:rPr>
          <w:rFonts w:hint="eastAsia" w:ascii="宋体" w:hAnsi="宋体" w:eastAsia="宋体" w:cs="宋体"/>
          <w:i w:val="0"/>
          <w:color w:val="auto"/>
          <w:kern w:val="0"/>
          <w:sz w:val="24"/>
          <w:szCs w:val="24"/>
          <w:lang w:val="en-US" w:eastAsia="zh-CN"/>
        </w:rPr>
        <w:t>，单位为：千克/亩；</w:t>
      </w:r>
    </w:p>
    <w:p w14:paraId="1DE0B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m:oMath>
        <m:r>
          <m:rPr>
            <m:sty m:val="p"/>
          </m:rPr>
          <w:rPr>
            <w:rFonts w:hint="eastAsia" w:ascii="Cambria Math" w:hAnsi="Cambria Math" w:eastAsia="宋体" w:cs="宋体"/>
            <w:color w:val="auto"/>
            <w:kern w:val="0"/>
            <w:sz w:val="24"/>
            <w:szCs w:val="24"/>
            <w:lang w:val="en-US" w:eastAsia="zh-CN" w:bidi="ar-SA"/>
          </w:rPr>
          <m:t>L</m:t>
        </m:r>
        <m:r>
          <m:rPr>
            <m:sty m:val="p"/>
          </m:rPr>
          <w:rPr>
            <w:rFonts w:hint="eastAsia" w:ascii="Cambria Math" w:hAnsi="Cambria Math" w:eastAsia="宋体" w:cs="宋体"/>
            <w:color w:val="auto"/>
            <w:kern w:val="0"/>
            <w:sz w:val="24"/>
            <w:szCs w:val="24"/>
          </w:rPr>
          <m:t>—</m:t>
        </m:r>
      </m:oMath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联合收割机工作幅宽，单位为：米。</w:t>
      </w:r>
    </w:p>
    <w:p w14:paraId="13A92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/>
          <w:kern w:val="0"/>
          <w:sz w:val="24"/>
          <w:szCs w:val="24"/>
          <w:lang w:val="en-US" w:eastAsia="zh-CN"/>
        </w:rPr>
        <w:t>注：W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指</w:t>
      </w:r>
      <w:r>
        <w:rPr>
          <w:rFonts w:hint="eastAsia" w:ascii="宋体" w:hAnsi="宋体"/>
          <w:kern w:val="0"/>
          <w:sz w:val="24"/>
          <w:szCs w:val="24"/>
        </w:rPr>
        <w:t>分别收集各取样区域内夹杂在秸秆和杂余内的籽粒、穗头（不含超出取样区域部分）上未脱净的籽粒和掉落在地面的籽粒，脱粒去杂后称其质量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。</w:t>
      </w:r>
    </w:p>
    <w:p w14:paraId="7C1CF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7.4割茬高度</w:t>
      </w:r>
    </w:p>
    <w:p w14:paraId="5BD96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在测区内，按对角线法取3点测割茬高度，取平均值。</w:t>
      </w:r>
    </w:p>
    <w:p w14:paraId="4E025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7.5漏收情况</w:t>
      </w:r>
    </w:p>
    <w:p w14:paraId="61E52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用目测法检查收割后田块有无漏收的现象。</w:t>
      </w:r>
    </w:p>
    <w:p w14:paraId="1184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23DB8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0B4C7D9">
      <w:pPr>
        <w:widowControl/>
        <w:autoSpaceDE w:val="0"/>
        <w:autoSpaceDN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E7CAABE">
      <w:pPr>
        <w:pStyle w:val="3"/>
        <w:widowControl/>
        <w:shd w:val="clear" w:color="auto" w:fill="FFFFFF"/>
        <w:spacing w:before="0" w:beforeAutospacing="0" w:after="0" w:afterAutospacing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  <w:t>水稻机收减损技能大比武活动记录表</w:t>
      </w:r>
    </w:p>
    <w:p w14:paraId="5D38ACF0">
      <w:pPr>
        <w:pStyle w:val="3"/>
        <w:widowControl/>
        <w:shd w:val="clear" w:color="auto" w:fill="FFFFFF"/>
        <w:spacing w:before="0" w:beforeAutospacing="0" w:after="0" w:afterAutospacing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</w:p>
    <w:p w14:paraId="0B264ACF">
      <w:pPr>
        <w:pStyle w:val="3"/>
        <w:widowControl/>
        <w:shd w:val="clear" w:color="auto" w:fill="FFFFFF"/>
        <w:spacing w:before="0" w:beforeAutospacing="0" w:after="0" w:afterAutospacing="0"/>
        <w:ind w:left="0" w:leftChars="0" w:firstLine="0" w:firstLineChars="0"/>
        <w:jc w:val="both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田块编号：                               机具编号：</w:t>
      </w:r>
    </w:p>
    <w:tbl>
      <w:tblPr>
        <w:tblStyle w:val="5"/>
        <w:tblW w:w="8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308"/>
        <w:gridCol w:w="1625"/>
        <w:gridCol w:w="1114"/>
        <w:gridCol w:w="2727"/>
      </w:tblGrid>
      <w:tr w14:paraId="7F7AE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681" w:type="dxa"/>
            <w:gridSpan w:val="5"/>
            <w:noWrap w:val="0"/>
            <w:vAlign w:val="center"/>
          </w:tcPr>
          <w:p w14:paraId="65C11A39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作业地点：</w:t>
            </w:r>
          </w:p>
        </w:tc>
      </w:tr>
      <w:tr w14:paraId="13EC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restart"/>
            <w:noWrap w:val="0"/>
            <w:vAlign w:val="center"/>
          </w:tcPr>
          <w:p w14:paraId="32C0249E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机手</w:t>
            </w:r>
          </w:p>
          <w:p w14:paraId="6AC16856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情况</w:t>
            </w:r>
          </w:p>
        </w:tc>
        <w:tc>
          <w:tcPr>
            <w:tcW w:w="2308" w:type="dxa"/>
            <w:noWrap w:val="0"/>
            <w:vAlign w:val="center"/>
          </w:tcPr>
          <w:p w14:paraId="121652BE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0A4BA52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手机</w:t>
            </w:r>
          </w:p>
        </w:tc>
        <w:tc>
          <w:tcPr>
            <w:tcW w:w="2727" w:type="dxa"/>
            <w:noWrap w:val="0"/>
            <w:vAlign w:val="center"/>
          </w:tcPr>
          <w:p w14:paraId="467FEB3E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年龄</w:t>
            </w:r>
          </w:p>
        </w:tc>
      </w:tr>
      <w:tr w14:paraId="716C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05836440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1AC00D63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39" w:type="dxa"/>
            <w:gridSpan w:val="2"/>
            <w:noWrap w:val="0"/>
            <w:vAlign w:val="center"/>
          </w:tcPr>
          <w:p w14:paraId="6BD804D7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27" w:type="dxa"/>
            <w:noWrap w:val="0"/>
            <w:vAlign w:val="center"/>
          </w:tcPr>
          <w:p w14:paraId="4CB634CD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62B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43991BE4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48E06DC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驾龄（年）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78167A8C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联合收割机驾驶证</w:t>
            </w:r>
          </w:p>
        </w:tc>
        <w:tc>
          <w:tcPr>
            <w:tcW w:w="2727" w:type="dxa"/>
            <w:noWrap w:val="0"/>
            <w:vAlign w:val="center"/>
          </w:tcPr>
          <w:p w14:paraId="6BE0B5D6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已作业量（亩）</w:t>
            </w:r>
          </w:p>
        </w:tc>
      </w:tr>
      <w:tr w14:paraId="727A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6491EAA0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7148D351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39" w:type="dxa"/>
            <w:gridSpan w:val="2"/>
            <w:noWrap w:val="0"/>
            <w:vAlign w:val="center"/>
          </w:tcPr>
          <w:p w14:paraId="0E75693F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方正仿宋_GBK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□有□无</w:t>
            </w:r>
          </w:p>
        </w:tc>
        <w:tc>
          <w:tcPr>
            <w:tcW w:w="2727" w:type="dxa"/>
            <w:noWrap w:val="0"/>
            <w:vAlign w:val="center"/>
          </w:tcPr>
          <w:p w14:paraId="018CD83A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497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restart"/>
            <w:noWrap w:val="0"/>
            <w:vAlign w:val="center"/>
          </w:tcPr>
          <w:p w14:paraId="1FC64EF1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机具</w:t>
            </w:r>
          </w:p>
          <w:p w14:paraId="4D806F52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情况</w:t>
            </w:r>
          </w:p>
        </w:tc>
        <w:tc>
          <w:tcPr>
            <w:tcW w:w="2308" w:type="dxa"/>
            <w:noWrap w:val="0"/>
            <w:vAlign w:val="center"/>
          </w:tcPr>
          <w:p w14:paraId="7EC9B0B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生产企业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5E54C48D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机具型号名称</w:t>
            </w:r>
          </w:p>
        </w:tc>
        <w:tc>
          <w:tcPr>
            <w:tcW w:w="2727" w:type="dxa"/>
            <w:noWrap w:val="0"/>
            <w:vAlign w:val="center"/>
          </w:tcPr>
          <w:p w14:paraId="365950C7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号牌</w:t>
            </w:r>
          </w:p>
        </w:tc>
      </w:tr>
      <w:tr w14:paraId="11D96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46BC697D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56B56FE8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39" w:type="dxa"/>
            <w:gridSpan w:val="2"/>
            <w:noWrap w:val="0"/>
            <w:vAlign w:val="center"/>
          </w:tcPr>
          <w:p w14:paraId="3806E12B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27" w:type="dxa"/>
            <w:noWrap w:val="0"/>
            <w:vAlign w:val="center"/>
          </w:tcPr>
          <w:p w14:paraId="70523DB6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BC7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0627C316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6BCE6524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工作幅宽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7D56928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配套发动机（kW）</w:t>
            </w:r>
          </w:p>
        </w:tc>
        <w:tc>
          <w:tcPr>
            <w:tcW w:w="2727" w:type="dxa"/>
            <w:noWrap w:val="0"/>
            <w:vAlign w:val="center"/>
          </w:tcPr>
          <w:p w14:paraId="5D2BFB67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出厂编号</w:t>
            </w:r>
          </w:p>
        </w:tc>
      </w:tr>
      <w:tr w14:paraId="015F1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342717F6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1D941411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39" w:type="dxa"/>
            <w:gridSpan w:val="2"/>
            <w:noWrap w:val="0"/>
            <w:vAlign w:val="center"/>
          </w:tcPr>
          <w:p w14:paraId="52C3EB63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27" w:type="dxa"/>
            <w:noWrap w:val="0"/>
            <w:vAlign w:val="center"/>
          </w:tcPr>
          <w:p w14:paraId="52C83683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4E9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restart"/>
            <w:noWrap w:val="0"/>
            <w:vAlign w:val="center"/>
          </w:tcPr>
          <w:p w14:paraId="5AD9BC77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作物</w:t>
            </w:r>
          </w:p>
          <w:p w14:paraId="571833F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状况</w:t>
            </w:r>
          </w:p>
        </w:tc>
        <w:tc>
          <w:tcPr>
            <w:tcW w:w="2308" w:type="dxa"/>
            <w:noWrap w:val="0"/>
            <w:vAlign w:val="center"/>
          </w:tcPr>
          <w:p w14:paraId="5F69A222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作物品种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1349F0AE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成熟期</w:t>
            </w:r>
          </w:p>
        </w:tc>
        <w:tc>
          <w:tcPr>
            <w:tcW w:w="2727" w:type="dxa"/>
            <w:noWrap w:val="0"/>
            <w:vAlign w:val="center"/>
          </w:tcPr>
          <w:p w14:paraId="15AF52CC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倒伏程度</w:t>
            </w:r>
          </w:p>
        </w:tc>
      </w:tr>
      <w:tr w14:paraId="6CA9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1FD56AF0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743B881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水稻</w:t>
            </w:r>
          </w:p>
        </w:tc>
        <w:tc>
          <w:tcPr>
            <w:tcW w:w="2739" w:type="dxa"/>
            <w:gridSpan w:val="2"/>
            <w:noWrap w:val="0"/>
            <w:vAlign w:val="center"/>
          </w:tcPr>
          <w:p w14:paraId="56F7DFF9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□完熟期□蜡熟期</w:t>
            </w:r>
          </w:p>
        </w:tc>
        <w:tc>
          <w:tcPr>
            <w:tcW w:w="2727" w:type="dxa"/>
            <w:noWrap w:val="0"/>
            <w:vAlign w:val="center"/>
          </w:tcPr>
          <w:p w14:paraId="24160BA5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□不倒伏□倒伏</w:t>
            </w:r>
          </w:p>
        </w:tc>
      </w:tr>
      <w:tr w14:paraId="122A0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restart"/>
            <w:noWrap w:val="0"/>
            <w:vAlign w:val="center"/>
          </w:tcPr>
          <w:p w14:paraId="356670A2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田块</w:t>
            </w:r>
          </w:p>
          <w:p w14:paraId="3A33AE4E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情况</w:t>
            </w:r>
          </w:p>
        </w:tc>
        <w:tc>
          <w:tcPr>
            <w:tcW w:w="3933" w:type="dxa"/>
            <w:gridSpan w:val="2"/>
            <w:noWrap w:val="0"/>
            <w:vAlign w:val="center"/>
          </w:tcPr>
          <w:p w14:paraId="59F8EBCD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陷脚情况</w:t>
            </w:r>
          </w:p>
        </w:tc>
        <w:tc>
          <w:tcPr>
            <w:tcW w:w="3841" w:type="dxa"/>
            <w:gridSpan w:val="2"/>
            <w:noWrap w:val="0"/>
            <w:vAlign w:val="center"/>
          </w:tcPr>
          <w:p w14:paraId="1768873C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积水情况</w:t>
            </w:r>
          </w:p>
        </w:tc>
      </w:tr>
      <w:tr w14:paraId="229B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42F9E701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933" w:type="dxa"/>
            <w:gridSpan w:val="2"/>
            <w:noWrap w:val="0"/>
            <w:vAlign w:val="center"/>
          </w:tcPr>
          <w:p w14:paraId="087B440F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□不陷脚□陷脚</w:t>
            </w:r>
          </w:p>
        </w:tc>
        <w:tc>
          <w:tcPr>
            <w:tcW w:w="3841" w:type="dxa"/>
            <w:gridSpan w:val="2"/>
            <w:noWrap w:val="0"/>
            <w:vAlign w:val="center"/>
          </w:tcPr>
          <w:p w14:paraId="7E874642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□不积水□积水</w:t>
            </w:r>
          </w:p>
        </w:tc>
      </w:tr>
      <w:tr w14:paraId="138B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restart"/>
            <w:noWrap w:val="0"/>
            <w:vAlign w:val="center"/>
          </w:tcPr>
          <w:p w14:paraId="7287E08F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天气</w:t>
            </w:r>
          </w:p>
          <w:p w14:paraId="521E5045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情况</w:t>
            </w:r>
          </w:p>
        </w:tc>
        <w:tc>
          <w:tcPr>
            <w:tcW w:w="3933" w:type="dxa"/>
            <w:gridSpan w:val="2"/>
            <w:noWrap w:val="0"/>
            <w:vAlign w:val="center"/>
          </w:tcPr>
          <w:p w14:paraId="7C571D83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天气状况</w:t>
            </w:r>
          </w:p>
        </w:tc>
        <w:tc>
          <w:tcPr>
            <w:tcW w:w="3841" w:type="dxa"/>
            <w:gridSpan w:val="2"/>
            <w:noWrap w:val="0"/>
            <w:vAlign w:val="center"/>
          </w:tcPr>
          <w:p w14:paraId="5C4B2765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环境温度（℃）</w:t>
            </w:r>
          </w:p>
        </w:tc>
      </w:tr>
      <w:tr w14:paraId="389B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07" w:type="dxa"/>
            <w:vMerge w:val="continue"/>
            <w:noWrap w:val="0"/>
            <w:vAlign w:val="center"/>
          </w:tcPr>
          <w:p w14:paraId="17AC8968">
            <w:pPr>
              <w:pStyle w:val="3"/>
              <w:widowControl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933" w:type="dxa"/>
            <w:gridSpan w:val="2"/>
            <w:noWrap w:val="0"/>
            <w:vAlign w:val="center"/>
          </w:tcPr>
          <w:p w14:paraId="4E63E5BC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□晴天□阴天□雨天</w:t>
            </w:r>
          </w:p>
        </w:tc>
        <w:tc>
          <w:tcPr>
            <w:tcW w:w="3841" w:type="dxa"/>
            <w:gridSpan w:val="2"/>
            <w:noWrap w:val="0"/>
            <w:vAlign w:val="center"/>
          </w:tcPr>
          <w:p w14:paraId="2BD15736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BA4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907" w:type="dxa"/>
            <w:noWrap w:val="0"/>
            <w:vAlign w:val="center"/>
          </w:tcPr>
          <w:p w14:paraId="01B0D206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774" w:type="dxa"/>
            <w:gridSpan w:val="4"/>
            <w:noWrap w:val="0"/>
            <w:vAlign w:val="center"/>
          </w:tcPr>
          <w:p w14:paraId="3FFAF9F2">
            <w:pPr>
              <w:pStyle w:val="3"/>
              <w:widowControl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6EFCE926">
      <w:pPr>
        <w:jc w:val="left"/>
        <w:rPr>
          <w:rFonts w:hint="eastAsia" w:ascii="Times New Roman" w:hAnsi="Times New Roman" w:eastAsia="黑体" w:cs="黑体"/>
          <w:sz w:val="30"/>
          <w:szCs w:val="30"/>
        </w:rPr>
      </w:pPr>
    </w:p>
    <w:p w14:paraId="3FC7A8DB">
      <w:pPr>
        <w:jc w:val="left"/>
        <w:rPr>
          <w:rFonts w:hint="eastAsia" w:ascii="Times New Roman" w:hAnsi="Times New Roman" w:eastAsia="黑体" w:cs="黑体"/>
          <w:sz w:val="30"/>
          <w:szCs w:val="30"/>
        </w:rPr>
      </w:pPr>
    </w:p>
    <w:p w14:paraId="1452D0CD">
      <w:pPr>
        <w:jc w:val="left"/>
        <w:rPr>
          <w:rFonts w:hint="eastAsia" w:ascii="Times New Roman" w:hAnsi="Times New Roman" w:eastAsia="黑体" w:cs="黑体"/>
          <w:sz w:val="30"/>
          <w:szCs w:val="30"/>
        </w:rPr>
      </w:pPr>
    </w:p>
    <w:p w14:paraId="3D46C4E3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168EB88">
      <w:pPr>
        <w:widowControl/>
        <w:shd w:val="clear" w:color="FFFFFF" w:fill="FFFFFF"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水稻收获损失率测定记录表</w:t>
      </w:r>
    </w:p>
    <w:p w14:paraId="494D562D">
      <w:pPr>
        <w:widowControl/>
        <w:jc w:val="left"/>
        <w:rPr>
          <w:rFonts w:hint="eastAsia" w:ascii="仿宋" w:hAnsi="仿宋" w:eastAsia="仿宋" w:cs="仿宋"/>
          <w:b/>
          <w:kern w:val="0"/>
          <w:sz w:val="48"/>
          <w:szCs w:val="48"/>
          <w:lang w:eastAsia="zh-CN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选手编号：</w:t>
      </w:r>
    </w:p>
    <w:tbl>
      <w:tblPr>
        <w:tblStyle w:val="4"/>
        <w:tblW w:w="90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753"/>
        <w:gridCol w:w="1728"/>
        <w:gridCol w:w="1386"/>
        <w:gridCol w:w="756"/>
        <w:gridCol w:w="205"/>
        <w:gridCol w:w="200"/>
        <w:gridCol w:w="429"/>
        <w:gridCol w:w="631"/>
        <w:gridCol w:w="101"/>
        <w:gridCol w:w="530"/>
        <w:gridCol w:w="631"/>
      </w:tblGrid>
      <w:tr w14:paraId="2F33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259B4252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作业情况</w:t>
            </w:r>
          </w:p>
        </w:tc>
        <w:tc>
          <w:tcPr>
            <w:tcW w:w="1753" w:type="dxa"/>
            <w:vMerge w:val="restart"/>
            <w:noWrap w:val="0"/>
            <w:vAlign w:val="center"/>
          </w:tcPr>
          <w:p w14:paraId="6D29A1D6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测区长度A（</w:t>
            </w:r>
            <w:r>
              <w:rPr>
                <w:rFonts w:ascii="宋体" w:hAnsi="宋体" w:cs="仿宋_GB2312"/>
              </w:rPr>
              <w:t>m</w:t>
            </w:r>
            <w:r>
              <w:rPr>
                <w:rFonts w:hint="eastAsia" w:ascii="宋体" w:hAnsi="宋体" w:cs="仿宋_GB2312"/>
              </w:rPr>
              <w:t>）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22B4EC6C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  <w:tc>
          <w:tcPr>
            <w:tcW w:w="2142" w:type="dxa"/>
            <w:gridSpan w:val="2"/>
            <w:vMerge w:val="restart"/>
            <w:noWrap w:val="0"/>
            <w:vAlign w:val="center"/>
          </w:tcPr>
          <w:p w14:paraId="6939DCF8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作业宽度B（</w:t>
            </w:r>
            <w:r>
              <w:rPr>
                <w:rFonts w:ascii="宋体" w:hAnsi="宋体" w:cs="仿宋_GB2312"/>
              </w:rPr>
              <w:t>m</w:t>
            </w:r>
            <w:r>
              <w:rPr>
                <w:rFonts w:hint="eastAsia" w:ascii="宋体" w:hAnsi="宋体" w:cs="仿宋_GB2312"/>
              </w:rPr>
              <w:t>）</w:t>
            </w:r>
          </w:p>
        </w:tc>
        <w:tc>
          <w:tcPr>
            <w:tcW w:w="834" w:type="dxa"/>
            <w:gridSpan w:val="3"/>
            <w:noWrap w:val="0"/>
            <w:vAlign w:val="center"/>
          </w:tcPr>
          <w:p w14:paraId="3AD26280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1</w:t>
            </w:r>
          </w:p>
        </w:tc>
        <w:tc>
          <w:tcPr>
            <w:tcW w:w="631" w:type="dxa"/>
            <w:noWrap w:val="0"/>
            <w:vAlign w:val="center"/>
          </w:tcPr>
          <w:p w14:paraId="5F6CDEC1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2</w:t>
            </w:r>
          </w:p>
        </w:tc>
        <w:tc>
          <w:tcPr>
            <w:tcW w:w="631" w:type="dxa"/>
            <w:gridSpan w:val="2"/>
            <w:noWrap w:val="0"/>
            <w:vAlign w:val="center"/>
          </w:tcPr>
          <w:p w14:paraId="6D72C6B2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3</w:t>
            </w:r>
          </w:p>
        </w:tc>
        <w:tc>
          <w:tcPr>
            <w:tcW w:w="631" w:type="dxa"/>
            <w:noWrap w:val="0"/>
            <w:vAlign w:val="center"/>
          </w:tcPr>
          <w:p w14:paraId="041F54F2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  <w:sz w:val="20"/>
                <w:szCs w:val="22"/>
              </w:rPr>
              <w:t>平均</w:t>
            </w:r>
          </w:p>
        </w:tc>
      </w:tr>
      <w:tr w14:paraId="22ED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4319BA05">
            <w:pPr>
              <w:jc w:val="center"/>
              <w:rPr>
                <w:rFonts w:hint="eastAsia" w:ascii="宋体" w:hAnsi="宋体" w:cs="仿宋_GB2312"/>
              </w:rPr>
            </w:pPr>
          </w:p>
        </w:tc>
        <w:tc>
          <w:tcPr>
            <w:tcW w:w="1753" w:type="dxa"/>
            <w:vMerge w:val="continue"/>
            <w:noWrap w:val="0"/>
            <w:vAlign w:val="center"/>
          </w:tcPr>
          <w:p w14:paraId="2C004893">
            <w:pPr>
              <w:jc w:val="center"/>
              <w:rPr>
                <w:rFonts w:hint="eastAsia" w:ascii="宋体" w:hAnsi="宋体" w:cs="仿宋_GB2312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 w14:paraId="5EEDDF9D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2142" w:type="dxa"/>
            <w:gridSpan w:val="2"/>
            <w:vMerge w:val="continue"/>
            <w:noWrap w:val="0"/>
            <w:vAlign w:val="center"/>
          </w:tcPr>
          <w:p w14:paraId="5AEAD29C">
            <w:pPr>
              <w:jc w:val="center"/>
              <w:rPr>
                <w:rFonts w:hint="eastAsia" w:ascii="宋体" w:hAnsi="宋体" w:cs="仿宋_GB2312"/>
              </w:rPr>
            </w:pPr>
          </w:p>
        </w:tc>
        <w:tc>
          <w:tcPr>
            <w:tcW w:w="834" w:type="dxa"/>
            <w:gridSpan w:val="3"/>
            <w:noWrap w:val="0"/>
            <w:vAlign w:val="center"/>
          </w:tcPr>
          <w:p w14:paraId="59C4C621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  <w:tc>
          <w:tcPr>
            <w:tcW w:w="631" w:type="dxa"/>
            <w:noWrap w:val="0"/>
            <w:vAlign w:val="center"/>
          </w:tcPr>
          <w:p w14:paraId="53F63F82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  <w:tc>
          <w:tcPr>
            <w:tcW w:w="631" w:type="dxa"/>
            <w:gridSpan w:val="2"/>
            <w:noWrap w:val="0"/>
            <w:vAlign w:val="center"/>
          </w:tcPr>
          <w:p w14:paraId="123F794B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  <w:tc>
          <w:tcPr>
            <w:tcW w:w="631" w:type="dxa"/>
            <w:noWrap w:val="0"/>
            <w:vAlign w:val="center"/>
          </w:tcPr>
          <w:p w14:paraId="36A5C43A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</w:tr>
      <w:tr w14:paraId="2189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22A6E487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332BF5FD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作业面积C（</w:t>
            </w:r>
            <w:r>
              <w:rPr>
                <w:rFonts w:hint="eastAsia" w:ascii="宋体" w:hAnsi="宋体" w:cs="仿宋"/>
                <w:szCs w:val="32"/>
              </w:rPr>
              <w:t>m</w:t>
            </w:r>
            <w:r>
              <w:rPr>
                <w:rFonts w:hint="eastAsia" w:ascii="宋体" w:hAnsi="宋体" w:cs="仿宋"/>
                <w:szCs w:val="32"/>
                <w:vertAlign w:val="superscript"/>
              </w:rPr>
              <w:t>2</w:t>
            </w:r>
            <w:r>
              <w:rPr>
                <w:rFonts w:hint="eastAsia" w:ascii="宋体" w:hAnsi="宋体" w:cs="仿宋_GB2312"/>
              </w:rPr>
              <w:t>）</w:t>
            </w:r>
          </w:p>
        </w:tc>
        <w:tc>
          <w:tcPr>
            <w:tcW w:w="1728" w:type="dxa"/>
            <w:noWrap w:val="0"/>
            <w:vAlign w:val="center"/>
          </w:tcPr>
          <w:p w14:paraId="52A2E0C8">
            <w:pPr>
              <w:jc w:val="left"/>
              <w:rPr>
                <w:rFonts w:hint="default" w:ascii="宋体" w:hAnsi="宋体" w:eastAsia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</w:rPr>
              <w:t>（A*B）</w:t>
            </w:r>
          </w:p>
        </w:tc>
        <w:tc>
          <w:tcPr>
            <w:tcW w:w="2142" w:type="dxa"/>
            <w:gridSpan w:val="2"/>
            <w:noWrap w:val="0"/>
            <w:vAlign w:val="center"/>
          </w:tcPr>
          <w:p w14:paraId="05435251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平均割幅</w:t>
            </w:r>
            <w:r>
              <w:rPr>
                <w:rFonts w:hint="eastAsia" w:ascii="宋体" w:hAnsi="宋体" w:cs="仿宋_GB2312"/>
                <w:lang w:val="en-US" w:eastAsia="zh-CN"/>
              </w:rPr>
              <w:t>N</w:t>
            </w:r>
            <w:r>
              <w:rPr>
                <w:rFonts w:hint="eastAsia" w:ascii="宋体" w:hAnsi="宋体" w:cs="仿宋_GB2312"/>
              </w:rPr>
              <w:t>（</w:t>
            </w:r>
            <w:r>
              <w:rPr>
                <w:rFonts w:ascii="宋体" w:hAnsi="宋体" w:cs="仿宋_GB2312"/>
              </w:rPr>
              <w:t>m</w:t>
            </w:r>
            <w:r>
              <w:rPr>
                <w:rFonts w:hint="eastAsia" w:ascii="宋体" w:hAnsi="宋体" w:cs="仿宋_GB2312"/>
              </w:rPr>
              <w:t>）</w:t>
            </w:r>
          </w:p>
        </w:tc>
        <w:tc>
          <w:tcPr>
            <w:tcW w:w="2727" w:type="dxa"/>
            <w:gridSpan w:val="7"/>
            <w:noWrap w:val="0"/>
            <w:vAlign w:val="center"/>
          </w:tcPr>
          <w:p w14:paraId="686902A2">
            <w:pPr>
              <w:jc w:val="left"/>
              <w:rPr>
                <w:rFonts w:hint="default" w:ascii="宋体" w:hAnsi="宋体" w:eastAsia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</w:rPr>
              <w:t>（B/2）</w:t>
            </w:r>
          </w:p>
        </w:tc>
      </w:tr>
      <w:tr w14:paraId="4730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17CE233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2DD1881A">
            <w:pPr>
              <w:jc w:val="center"/>
              <w:rPr>
                <w:rFonts w:ascii="宋体" w:hAnsi="宋体" w:cs="仿宋_GB2312"/>
              </w:rPr>
            </w:pPr>
            <w:r>
              <w:rPr>
                <w:rFonts w:ascii="宋体" w:hAnsi="宋体" w:cs="仿宋_GB2312"/>
              </w:rPr>
              <w:t>作业</w:t>
            </w:r>
            <w:r>
              <w:rPr>
                <w:rFonts w:hint="eastAsia" w:ascii="宋体" w:hAnsi="宋体" w:cs="仿宋_GB2312"/>
              </w:rPr>
              <w:t>时间D</w:t>
            </w:r>
            <w:r>
              <w:rPr>
                <w:rFonts w:ascii="宋体" w:hAnsi="宋体" w:cs="仿宋_GB2312"/>
              </w:rPr>
              <w:t>(</w:t>
            </w:r>
            <w:r>
              <w:rPr>
                <w:rFonts w:hint="eastAsia" w:ascii="宋体" w:hAnsi="宋体" w:cs="仿宋_GB2312"/>
              </w:rPr>
              <w:t>s</w:t>
            </w:r>
            <w:r>
              <w:rPr>
                <w:rFonts w:ascii="宋体" w:hAnsi="宋体" w:cs="仿宋_GB2312"/>
              </w:rPr>
              <w:t>)</w:t>
            </w:r>
          </w:p>
        </w:tc>
        <w:tc>
          <w:tcPr>
            <w:tcW w:w="1728" w:type="dxa"/>
            <w:noWrap w:val="0"/>
            <w:vAlign w:val="center"/>
          </w:tcPr>
          <w:p w14:paraId="21BC566D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  <w:tc>
          <w:tcPr>
            <w:tcW w:w="2142" w:type="dxa"/>
            <w:gridSpan w:val="2"/>
            <w:noWrap w:val="0"/>
            <w:vAlign w:val="center"/>
          </w:tcPr>
          <w:p w14:paraId="49499348">
            <w:pPr>
              <w:jc w:val="center"/>
              <w:rPr>
                <w:rFonts w:hint="eastAsia"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机收效率（亩/h）</w:t>
            </w:r>
          </w:p>
        </w:tc>
        <w:tc>
          <w:tcPr>
            <w:tcW w:w="2727" w:type="dxa"/>
            <w:gridSpan w:val="7"/>
            <w:noWrap w:val="0"/>
            <w:vAlign w:val="center"/>
          </w:tcPr>
          <w:p w14:paraId="3C300F2F">
            <w:pPr>
              <w:jc w:val="left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（C/66</w:t>
            </w:r>
            <w:r>
              <w:rPr>
                <w:rFonts w:ascii="宋体" w:hAnsi="宋体" w:cs="仿宋_GB2312"/>
              </w:rPr>
              <w:t>6.66</w:t>
            </w:r>
            <w:r>
              <w:rPr>
                <w:rFonts w:hint="eastAsia" w:ascii="宋体" w:hAnsi="宋体" w:cs="仿宋_GB2312"/>
              </w:rPr>
              <w:t>）</w:t>
            </w:r>
            <w:r>
              <w:rPr>
                <w:rFonts w:ascii="宋体" w:hAnsi="宋体" w:cs="Arial"/>
              </w:rPr>
              <w:t>÷</w:t>
            </w:r>
            <w:r>
              <w:rPr>
                <w:rFonts w:hint="eastAsia" w:ascii="宋体" w:hAnsi="宋体" w:cs="仿宋_GB2312"/>
              </w:rPr>
              <w:t>（D/3600）</w:t>
            </w:r>
          </w:p>
        </w:tc>
      </w:tr>
      <w:tr w14:paraId="3879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2DBAAB2C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753" w:type="dxa"/>
            <w:noWrap w:val="0"/>
            <w:vAlign w:val="center"/>
          </w:tcPr>
          <w:p w14:paraId="052A7484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漏割穗数</w:t>
            </w:r>
          </w:p>
        </w:tc>
        <w:tc>
          <w:tcPr>
            <w:tcW w:w="6597" w:type="dxa"/>
            <w:gridSpan w:val="10"/>
            <w:noWrap w:val="0"/>
            <w:vAlign w:val="center"/>
          </w:tcPr>
          <w:p w14:paraId="68EBA43C">
            <w:pPr>
              <w:ind w:firstLine="1050" w:firstLineChars="500"/>
              <w:jc w:val="both"/>
              <w:rPr>
                <w:rFonts w:hint="default" w:ascii="宋体" w:hAnsi="宋体" w:eastAsia="等线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（</w:t>
            </w:r>
            <w:r>
              <w:rPr>
                <w:rFonts w:hint="eastAsia" w:ascii="宋体" w:hAnsi="宋体" w:eastAsia="等线"/>
                <w:szCs w:val="21"/>
              </w:rPr>
              <w:t>窝</w:t>
            </w:r>
            <w:r>
              <w:rPr>
                <w:rFonts w:hint="eastAsia" w:ascii="宋体" w:hAnsi="宋体" w:cs="仿宋_GB2312"/>
                <w:lang w:val="en-US" w:eastAsia="zh-CN"/>
              </w:rPr>
              <w:t>）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仿宋_GB2312"/>
              </w:rPr>
              <w:t>穗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）</w:t>
            </w:r>
          </w:p>
        </w:tc>
      </w:tr>
      <w:tr w14:paraId="6663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6CC5E0EC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数据测定</w:t>
            </w:r>
          </w:p>
        </w:tc>
        <w:tc>
          <w:tcPr>
            <w:tcW w:w="3481" w:type="dxa"/>
            <w:gridSpan w:val="2"/>
            <w:noWrap w:val="0"/>
            <w:vAlign w:val="center"/>
          </w:tcPr>
          <w:p w14:paraId="5DB6B108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取样点</w:t>
            </w:r>
          </w:p>
        </w:tc>
        <w:tc>
          <w:tcPr>
            <w:tcW w:w="1386" w:type="dxa"/>
            <w:noWrap w:val="0"/>
            <w:vAlign w:val="center"/>
          </w:tcPr>
          <w:p w14:paraId="4D97F1B2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1</w:t>
            </w:r>
          </w:p>
        </w:tc>
        <w:tc>
          <w:tcPr>
            <w:tcW w:w="1161" w:type="dxa"/>
            <w:gridSpan w:val="3"/>
            <w:noWrap w:val="0"/>
            <w:vAlign w:val="center"/>
          </w:tcPr>
          <w:p w14:paraId="63EF5973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2</w:t>
            </w:r>
          </w:p>
        </w:tc>
        <w:tc>
          <w:tcPr>
            <w:tcW w:w="1161" w:type="dxa"/>
            <w:gridSpan w:val="3"/>
            <w:noWrap w:val="0"/>
            <w:vAlign w:val="center"/>
          </w:tcPr>
          <w:p w14:paraId="43BF02A7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3</w:t>
            </w:r>
          </w:p>
        </w:tc>
        <w:tc>
          <w:tcPr>
            <w:tcW w:w="1161" w:type="dxa"/>
            <w:gridSpan w:val="2"/>
            <w:noWrap w:val="0"/>
            <w:vAlign w:val="center"/>
          </w:tcPr>
          <w:p w14:paraId="358095D5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</w:rPr>
              <w:t>平均</w:t>
            </w:r>
          </w:p>
        </w:tc>
      </w:tr>
      <w:tr w14:paraId="2471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0E7683BE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2FF6953E">
            <w:pPr>
              <w:jc w:val="center"/>
              <w:rPr>
                <w:rFonts w:ascii="宋体" w:hAnsi="宋体" w:cs="仿宋_GB2312"/>
              </w:rPr>
            </w:pPr>
            <w:r>
              <w:rPr>
                <w:rFonts w:ascii="宋体" w:hAnsi="宋体" w:cs="仿宋_GB2312"/>
              </w:rPr>
              <w:t>割茬高度(cm)</w:t>
            </w:r>
          </w:p>
        </w:tc>
        <w:tc>
          <w:tcPr>
            <w:tcW w:w="1386" w:type="dxa"/>
            <w:noWrap w:val="0"/>
            <w:vAlign w:val="center"/>
          </w:tcPr>
          <w:p w14:paraId="7D0792C4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161" w:type="dxa"/>
            <w:gridSpan w:val="3"/>
            <w:noWrap w:val="0"/>
            <w:vAlign w:val="center"/>
          </w:tcPr>
          <w:p w14:paraId="090CD52A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161" w:type="dxa"/>
            <w:gridSpan w:val="3"/>
            <w:noWrap w:val="0"/>
            <w:vAlign w:val="center"/>
          </w:tcPr>
          <w:p w14:paraId="6B918B0C">
            <w:pPr>
              <w:jc w:val="center"/>
              <w:rPr>
                <w:rFonts w:ascii="宋体" w:hAnsi="宋体" w:cs="仿宋_GB2312"/>
              </w:rPr>
            </w:pPr>
          </w:p>
        </w:tc>
        <w:tc>
          <w:tcPr>
            <w:tcW w:w="1161" w:type="dxa"/>
            <w:gridSpan w:val="2"/>
            <w:noWrap w:val="0"/>
            <w:vAlign w:val="center"/>
          </w:tcPr>
          <w:p w14:paraId="7963CD90">
            <w:pPr>
              <w:jc w:val="center"/>
              <w:rPr>
                <w:rFonts w:ascii="宋体" w:hAnsi="宋体" w:cs="仿宋_GB2312"/>
              </w:rPr>
            </w:pPr>
          </w:p>
        </w:tc>
      </w:tr>
      <w:tr w14:paraId="75787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DE974DF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7042BF87">
            <w:pPr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水稻亩产量M</w:t>
            </w:r>
            <w:r>
              <w:rPr>
                <w:rFonts w:hint="eastAsia" w:ascii="宋体" w:hAnsi="宋体" w:cs="仿宋_GB2312"/>
                <w:lang w:val="en-US" w:eastAsia="zh-CN"/>
              </w:rPr>
              <w:t>（千克/亩）</w:t>
            </w:r>
          </w:p>
        </w:tc>
        <w:tc>
          <w:tcPr>
            <w:tcW w:w="4869" w:type="dxa"/>
            <w:gridSpan w:val="9"/>
            <w:noWrap w:val="0"/>
            <w:vAlign w:val="center"/>
          </w:tcPr>
          <w:p w14:paraId="3AD1D466">
            <w:pPr>
              <w:jc w:val="center"/>
              <w:rPr>
                <w:rFonts w:ascii="宋体" w:hAnsi="宋体" w:cs="仿宋_GB2312"/>
              </w:rPr>
            </w:pPr>
          </w:p>
        </w:tc>
      </w:tr>
      <w:tr w14:paraId="36231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1BF0E9E0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016B5F32">
            <w:pPr>
              <w:jc w:val="center"/>
              <w:rPr>
                <w:rFonts w:hint="eastAsia" w:ascii="宋体" w:hAnsi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取样区域宽度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（m）</w:t>
            </w:r>
          </w:p>
        </w:tc>
        <w:tc>
          <w:tcPr>
            <w:tcW w:w="4869" w:type="dxa"/>
            <w:gridSpan w:val="9"/>
            <w:noWrap w:val="0"/>
            <w:vAlign w:val="center"/>
          </w:tcPr>
          <w:p w14:paraId="3B95A363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</w:tr>
      <w:tr w14:paraId="7DD01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2428A30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08B61CB6">
            <w:pPr>
              <w:jc w:val="center"/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取样区域长度（m）</w:t>
            </w:r>
          </w:p>
        </w:tc>
        <w:tc>
          <w:tcPr>
            <w:tcW w:w="4869" w:type="dxa"/>
            <w:gridSpan w:val="9"/>
            <w:noWrap w:val="0"/>
            <w:vAlign w:val="center"/>
          </w:tcPr>
          <w:p w14:paraId="26164561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</w:tr>
      <w:tr w14:paraId="0F5D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17F86964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2DB2D064">
            <w:pPr>
              <w:jc w:val="center"/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取样面积（m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）</w:t>
            </w:r>
          </w:p>
        </w:tc>
        <w:tc>
          <w:tcPr>
            <w:tcW w:w="4869" w:type="dxa"/>
            <w:gridSpan w:val="9"/>
            <w:noWrap w:val="0"/>
            <w:vAlign w:val="center"/>
          </w:tcPr>
          <w:p w14:paraId="0711CD22">
            <w:pPr>
              <w:jc w:val="center"/>
              <w:rPr>
                <w:rFonts w:hint="default" w:ascii="宋体" w:hAnsi="宋体" w:eastAsia="宋体" w:cs="仿宋_GB2312"/>
                <w:lang w:val="en-US" w:eastAsia="zh-CN"/>
              </w:rPr>
            </w:pPr>
          </w:p>
        </w:tc>
      </w:tr>
      <w:tr w14:paraId="1D2E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CDA0485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55EF063B">
            <w:pPr>
              <w:jc w:val="center"/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取样区籽粒损失质量W（g）</w:t>
            </w:r>
          </w:p>
        </w:tc>
        <w:tc>
          <w:tcPr>
            <w:tcW w:w="2347" w:type="dxa"/>
            <w:gridSpan w:val="3"/>
            <w:noWrap w:val="0"/>
            <w:vAlign w:val="center"/>
          </w:tcPr>
          <w:p w14:paraId="6565EB8A">
            <w:pPr>
              <w:jc w:val="both"/>
              <w:rPr>
                <w:rFonts w:hint="default" w:ascii="宋体" w:hAnsi="宋体" w:eastAsia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测点1：</w:t>
            </w:r>
          </w:p>
        </w:tc>
        <w:tc>
          <w:tcPr>
            <w:tcW w:w="2522" w:type="dxa"/>
            <w:gridSpan w:val="6"/>
            <w:noWrap w:val="0"/>
            <w:vAlign w:val="center"/>
          </w:tcPr>
          <w:p w14:paraId="65988FDB">
            <w:pPr>
              <w:jc w:val="both"/>
              <w:rPr>
                <w:rFonts w:hint="eastAsia" w:ascii="宋体" w:hAnsi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测点2：</w:t>
            </w:r>
          </w:p>
        </w:tc>
      </w:tr>
      <w:tr w14:paraId="2661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0F4E35E9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5F030D8F">
            <w:pPr>
              <w:jc w:val="center"/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测点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收获损失率S（%）</w:t>
            </w:r>
          </w:p>
        </w:tc>
        <w:tc>
          <w:tcPr>
            <w:tcW w:w="2347" w:type="dxa"/>
            <w:gridSpan w:val="3"/>
            <w:noWrap w:val="0"/>
            <w:vAlign w:val="center"/>
          </w:tcPr>
          <w:p w14:paraId="22E6DD72">
            <w:pPr>
              <w:jc w:val="both"/>
              <w:rPr>
                <w:rFonts w:hint="eastAsia" w:ascii="宋体" w:hAnsi="宋体" w:cs="仿宋_GB2312"/>
                <w:lang w:val="en-US" w:eastAsia="zh-CN"/>
              </w:rPr>
            </w:pPr>
          </w:p>
        </w:tc>
        <w:tc>
          <w:tcPr>
            <w:tcW w:w="2522" w:type="dxa"/>
            <w:gridSpan w:val="6"/>
            <w:noWrap w:val="0"/>
            <w:vAlign w:val="center"/>
          </w:tcPr>
          <w:p w14:paraId="36094E56">
            <w:pPr>
              <w:jc w:val="both"/>
              <w:rPr>
                <w:rFonts w:hint="eastAsia" w:ascii="宋体" w:hAnsi="宋体" w:cs="仿宋_GB2312"/>
                <w:lang w:val="en-US" w:eastAsia="zh-CN"/>
              </w:rPr>
            </w:pPr>
          </w:p>
        </w:tc>
      </w:tr>
      <w:tr w14:paraId="0E7D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7BED7F37">
            <w:pPr>
              <w:jc w:val="center"/>
              <w:rPr>
                <w:rFonts w:ascii="宋体" w:hAnsi="宋体" w:cs="仿宋_GB2312"/>
                <w:color w:val="FF0000"/>
              </w:rPr>
            </w:pPr>
          </w:p>
        </w:tc>
        <w:tc>
          <w:tcPr>
            <w:tcW w:w="3481" w:type="dxa"/>
            <w:gridSpan w:val="2"/>
            <w:noWrap w:val="0"/>
            <w:vAlign w:val="center"/>
          </w:tcPr>
          <w:p w14:paraId="5575D582">
            <w:pPr>
              <w:jc w:val="center"/>
              <w:rPr>
                <w:rFonts w:hint="default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平均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损失率S（%）</w:t>
            </w:r>
          </w:p>
        </w:tc>
        <w:tc>
          <w:tcPr>
            <w:tcW w:w="4869" w:type="dxa"/>
            <w:gridSpan w:val="9"/>
            <w:noWrap w:val="0"/>
            <w:vAlign w:val="center"/>
          </w:tcPr>
          <w:p w14:paraId="57EB9169">
            <w:pPr>
              <w:jc w:val="both"/>
              <w:rPr>
                <w:rFonts w:hint="eastAsia" w:ascii="宋体" w:hAnsi="宋体" w:cs="仿宋_GB2312"/>
                <w:lang w:val="en-US" w:eastAsia="zh-CN"/>
              </w:rPr>
            </w:pPr>
          </w:p>
        </w:tc>
      </w:tr>
      <w:tr w14:paraId="379B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9077" w:type="dxa"/>
            <w:gridSpan w:val="12"/>
            <w:noWrap w:val="0"/>
            <w:vAlign w:val="center"/>
          </w:tcPr>
          <w:p w14:paraId="773A7580">
            <w:pPr>
              <w:adjustRightInd w:val="0"/>
              <w:snapToGrid w:val="0"/>
              <w:jc w:val="left"/>
              <w:rPr>
                <w:rFonts w:hint="eastAsia" w:ascii="宋体" w:hAnsi="宋体" w:eastAsia="宋体" w:cs="仿宋_GB2312"/>
                <w:lang w:eastAsia="zh-CN"/>
              </w:rPr>
            </w:pPr>
            <w:r>
              <w:rPr>
                <w:rFonts w:hint="eastAsia" w:ascii="宋体" w:hAnsi="宋体" w:cs="仿宋_GB2312"/>
              </w:rPr>
              <w:t>备注：</w:t>
            </w:r>
            <w:r>
              <w:rPr>
                <w:rFonts w:hint="eastAsia" w:ascii="宋体" w:hAnsi="宋体" w:cs="仿宋_GB2312"/>
                <w:lang w:val="en-US" w:eastAsia="zh-CN"/>
              </w:rPr>
              <w:t>1、</w:t>
            </w:r>
            <w:r>
              <w:rPr>
                <w:rFonts w:hint="eastAsia" w:ascii="宋体" w:hAnsi="宋体" w:cs="仿宋_GB2312"/>
              </w:rPr>
              <w:t>作业宽度B</w:t>
            </w:r>
            <w:r>
              <w:rPr>
                <w:rFonts w:hint="eastAsia" w:ascii="宋体" w:hAnsi="宋体" w:cs="仿宋_GB2312"/>
                <w:lang w:eastAsia="zh-CN"/>
              </w:rPr>
              <w:t>指</w:t>
            </w:r>
            <w:r>
              <w:rPr>
                <w:rFonts w:hint="eastAsia" w:ascii="宋体" w:hAnsi="宋体" w:cs="仿宋_GB2312"/>
              </w:rPr>
              <w:t>2个满幅作业行程（1个来回）</w:t>
            </w:r>
            <w:r>
              <w:rPr>
                <w:rFonts w:hint="eastAsia" w:ascii="宋体" w:hAnsi="宋体" w:cs="仿宋_GB2312"/>
                <w:lang w:eastAsia="zh-CN"/>
              </w:rPr>
              <w:t>的</w:t>
            </w:r>
            <w:r>
              <w:rPr>
                <w:rFonts w:hint="eastAsia" w:ascii="宋体" w:hAnsi="宋体" w:cs="仿宋_GB2312"/>
              </w:rPr>
              <w:t>两端及中央</w:t>
            </w:r>
            <w:r>
              <w:rPr>
                <w:rFonts w:hint="eastAsia" w:ascii="宋体" w:hAnsi="宋体" w:cs="仿宋_GB2312"/>
                <w:lang w:eastAsia="zh-CN"/>
              </w:rPr>
              <w:t>处，</w:t>
            </w:r>
            <w:r>
              <w:rPr>
                <w:rFonts w:hint="eastAsia" w:ascii="宋体" w:hAnsi="宋体" w:cs="仿宋_GB2312"/>
              </w:rPr>
              <w:t>共测量三次</w:t>
            </w:r>
            <w:r>
              <w:rPr>
                <w:rFonts w:hint="eastAsia" w:ascii="宋体" w:hAnsi="宋体" w:cs="仿宋_GB2312"/>
                <w:lang w:eastAsia="zh-CN"/>
              </w:rPr>
              <w:t>，</w:t>
            </w:r>
            <w:r>
              <w:rPr>
                <w:rFonts w:hint="eastAsia" w:ascii="宋体" w:hAnsi="宋体" w:cs="仿宋_GB2312"/>
              </w:rPr>
              <w:t>取平均值</w:t>
            </w:r>
            <w:r>
              <w:rPr>
                <w:rFonts w:hint="eastAsia" w:ascii="宋体" w:hAnsi="宋体" w:cs="仿宋_GB2312"/>
                <w:lang w:eastAsia="zh-CN"/>
              </w:rPr>
              <w:t>；</w:t>
            </w:r>
          </w:p>
          <w:p w14:paraId="7FF45126">
            <w:pPr>
              <w:adjustRightInd w:val="0"/>
              <w:snapToGrid w:val="0"/>
              <w:ind w:firstLine="630" w:firstLineChars="300"/>
              <w:jc w:val="left"/>
              <w:rPr>
                <w:rFonts w:hint="default" w:ascii="宋体" w:hAnsi="宋体" w:eastAsia="宋体" w:cs="仿宋_GB2312"/>
                <w:lang w:val="en-US" w:eastAsia="zh-CN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2、取样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区选择：测点1为</w:t>
            </w:r>
            <w:r>
              <w:rPr>
                <w:rFonts w:hint="eastAsia" w:ascii="宋体" w:hAnsi="宋体"/>
                <w:szCs w:val="32"/>
              </w:rPr>
              <w:t>作业行程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前进方向起点位置，测点2为同一</w:t>
            </w:r>
            <w:r>
              <w:rPr>
                <w:rFonts w:hint="eastAsia" w:ascii="宋体" w:hAnsi="宋体"/>
                <w:szCs w:val="32"/>
              </w:rPr>
              <w:t>作业行程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中间位置；</w:t>
            </w:r>
          </w:p>
          <w:p w14:paraId="5471B940">
            <w:pPr>
              <w:adjustRightInd w:val="0"/>
              <w:snapToGrid w:val="0"/>
              <w:ind w:firstLine="630" w:firstLineChars="30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cs="仿宋_GB2312"/>
                <w:lang w:val="en-US" w:eastAsia="zh-CN"/>
              </w:rPr>
              <w:t>3、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水稻亩产量以近三年该乡镇大面积种植品种的平均亩产量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计,数据由当地农业农村部门在活动开始前提供给</w:t>
            </w:r>
            <w:r>
              <w:rPr>
                <w:rFonts w:hint="eastAsia" w:ascii="宋体" w:hAnsi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评判专家</w:t>
            </w:r>
            <w:r>
              <w:rPr>
                <w:rFonts w:hint="eastAsia" w:ascii="宋体" w:hAnsi="宋体" w:eastAsia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小组</w:t>
            </w:r>
            <w:r>
              <w:rPr>
                <w:rFonts w:hint="eastAsia" w:ascii="宋体" w:hAnsi="宋体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  <w:t>。</w:t>
            </w:r>
          </w:p>
        </w:tc>
      </w:tr>
    </w:tbl>
    <w:p w14:paraId="771B44AC">
      <w:pPr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</w:p>
    <w:p w14:paraId="4E2A553F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记录人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签名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                 机手签名：</w:t>
      </w:r>
    </w:p>
    <w:p w14:paraId="2146085E">
      <w:pPr>
        <w:rPr>
          <w:rFonts w:hint="eastAsia"/>
          <w:sz w:val="24"/>
          <w:szCs w:val="24"/>
          <w:lang w:val="en-US" w:eastAsia="zh-CN"/>
        </w:rPr>
      </w:pPr>
    </w:p>
    <w:p w14:paraId="1D25AB21">
      <w:pPr>
        <w:rPr>
          <w:rFonts w:hint="default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日期：        年     月     日</w:t>
      </w:r>
    </w:p>
    <w:p w14:paraId="6BFF4AAB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68AFE73D">
      <w:pPr>
        <w:widowControl/>
        <w:shd w:val="clear" w:color="FFFFFF" w:fill="FFFFFF"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</w:rPr>
        <w:t>水稻机收减损技能大比武活动评分标准</w:t>
      </w:r>
    </w:p>
    <w:p w14:paraId="059D41C7"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选手编号：</w:t>
      </w:r>
      <w:r>
        <w:rPr>
          <w:rFonts w:hint="eastAsia" w:ascii="仿宋" w:hAnsi="仿宋" w:eastAsia="仿宋" w:cs="仿宋"/>
          <w:spacing w:val="4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pacing w:val="4"/>
          <w:sz w:val="32"/>
          <w:szCs w:val="32"/>
        </w:rPr>
        <w:t>总分：</w:t>
      </w:r>
    </w:p>
    <w:tbl>
      <w:tblPr>
        <w:tblStyle w:val="4"/>
        <w:tblW w:w="88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328"/>
        <w:gridCol w:w="4747"/>
        <w:gridCol w:w="856"/>
        <w:gridCol w:w="861"/>
      </w:tblGrid>
      <w:tr w14:paraId="296D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noWrap w:val="0"/>
            <w:vAlign w:val="center"/>
          </w:tcPr>
          <w:p w14:paraId="1A35E7CF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 w:eastAsia="等线"/>
                <w:b/>
                <w:bCs/>
                <w:szCs w:val="21"/>
              </w:rPr>
            </w:pPr>
            <w:r>
              <w:rPr>
                <w:rFonts w:hint="eastAsia" w:ascii="宋体" w:hAnsi="宋体" w:eastAsia="等线"/>
                <w:b/>
                <w:bCs/>
                <w:szCs w:val="21"/>
              </w:rPr>
              <w:t>评价项目</w:t>
            </w:r>
          </w:p>
        </w:tc>
        <w:tc>
          <w:tcPr>
            <w:tcW w:w="1328" w:type="dxa"/>
            <w:noWrap w:val="0"/>
            <w:vAlign w:val="center"/>
          </w:tcPr>
          <w:p w14:paraId="19E94FB1"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 w:eastAsia="等线"/>
                <w:b/>
                <w:bCs/>
                <w:szCs w:val="21"/>
              </w:rPr>
            </w:pPr>
            <w:r>
              <w:rPr>
                <w:rFonts w:hint="eastAsia" w:ascii="宋体" w:hAnsi="宋体" w:eastAsia="等线"/>
                <w:b/>
                <w:bCs/>
                <w:szCs w:val="21"/>
              </w:rPr>
              <w:t>评价内容</w:t>
            </w:r>
          </w:p>
        </w:tc>
        <w:tc>
          <w:tcPr>
            <w:tcW w:w="4747" w:type="dxa"/>
            <w:noWrap w:val="0"/>
            <w:vAlign w:val="center"/>
          </w:tcPr>
          <w:p w14:paraId="5ABCC5E5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b/>
                <w:bCs/>
                <w:szCs w:val="21"/>
              </w:rPr>
            </w:pPr>
            <w:r>
              <w:rPr>
                <w:rFonts w:hint="eastAsia" w:ascii="宋体" w:hAnsi="宋体" w:eastAsia="等线"/>
                <w:b/>
                <w:bCs/>
                <w:szCs w:val="21"/>
              </w:rPr>
              <w:t>技术内容</w:t>
            </w:r>
          </w:p>
        </w:tc>
        <w:tc>
          <w:tcPr>
            <w:tcW w:w="856" w:type="dxa"/>
            <w:noWrap w:val="0"/>
            <w:vAlign w:val="center"/>
          </w:tcPr>
          <w:p w14:paraId="236ED333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eastAsia="等线"/>
                <w:b/>
                <w:bCs/>
                <w:szCs w:val="21"/>
                <w:lang w:eastAsia="zh-CN"/>
              </w:rPr>
              <w:t>扣</w:t>
            </w:r>
            <w:r>
              <w:rPr>
                <w:rFonts w:hint="eastAsia" w:ascii="宋体" w:hAnsi="宋体" w:eastAsia="等线"/>
                <w:b/>
                <w:bCs/>
                <w:szCs w:val="21"/>
              </w:rPr>
              <w:t>分</w:t>
            </w:r>
          </w:p>
        </w:tc>
        <w:tc>
          <w:tcPr>
            <w:tcW w:w="861" w:type="dxa"/>
            <w:noWrap w:val="0"/>
            <w:vAlign w:val="center"/>
          </w:tcPr>
          <w:p w14:paraId="0B76684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等线"/>
                <w:b/>
                <w:bCs/>
                <w:szCs w:val="21"/>
                <w:lang w:eastAsia="zh-CN"/>
              </w:rPr>
              <w:t>得分</w:t>
            </w:r>
          </w:p>
        </w:tc>
      </w:tr>
      <w:tr w14:paraId="747C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restart"/>
            <w:noWrap w:val="0"/>
            <w:vAlign w:val="center"/>
          </w:tcPr>
          <w:p w14:paraId="65A55319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安全意识及操作熟练度</w:t>
            </w:r>
          </w:p>
        </w:tc>
        <w:tc>
          <w:tcPr>
            <w:tcW w:w="1328" w:type="dxa"/>
            <w:noWrap w:val="0"/>
            <w:vAlign w:val="center"/>
          </w:tcPr>
          <w:p w14:paraId="6701B7D2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安全意识（</w:t>
            </w:r>
            <w:r>
              <w:rPr>
                <w:rFonts w:ascii="宋体" w:hAnsi="宋体" w:eastAsia="等线"/>
                <w:szCs w:val="21"/>
              </w:rPr>
              <w:t>5</w:t>
            </w:r>
            <w:r>
              <w:rPr>
                <w:rFonts w:hint="eastAsia" w:ascii="宋体" w:hAnsi="宋体" w:eastAsia="等线"/>
                <w:szCs w:val="21"/>
              </w:rPr>
              <w:t>分）</w:t>
            </w:r>
          </w:p>
        </w:tc>
        <w:tc>
          <w:tcPr>
            <w:tcW w:w="4747" w:type="dxa"/>
            <w:noWrap w:val="0"/>
            <w:vAlign w:val="center"/>
          </w:tcPr>
          <w:p w14:paraId="78079485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上车前，机手应开展机车安全检查，并安全规范上下车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等线"/>
                <w:szCs w:val="21"/>
              </w:rPr>
              <w:t>上车后，机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手</w:t>
            </w:r>
            <w:r>
              <w:rPr>
                <w:rFonts w:hint="eastAsia" w:ascii="宋体" w:hAnsi="宋体" w:eastAsia="等线"/>
                <w:szCs w:val="21"/>
              </w:rPr>
              <w:t>检查操作手柄处于空档位置，先踩刹车小油门启动发动机，低速空负荷运转再让整机工作部件运转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等线"/>
                <w:szCs w:val="21"/>
              </w:rPr>
              <w:t>起步前应鸣号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等线"/>
                <w:szCs w:val="21"/>
              </w:rPr>
              <w:t>收割后应先放下割台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等线"/>
                <w:szCs w:val="21"/>
              </w:rPr>
              <w:t>机械停好各档位归位，先刹车后熄火。（每一个错误动作扣1分）</w:t>
            </w:r>
          </w:p>
        </w:tc>
        <w:tc>
          <w:tcPr>
            <w:tcW w:w="856" w:type="dxa"/>
            <w:noWrap w:val="0"/>
            <w:vAlign w:val="center"/>
          </w:tcPr>
          <w:p w14:paraId="0715F6E0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097B7CB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</w:tr>
      <w:tr w14:paraId="19AD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 w14:paraId="19BA8E5B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4F85944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操作熟练度（5分）</w:t>
            </w:r>
          </w:p>
        </w:tc>
        <w:tc>
          <w:tcPr>
            <w:tcW w:w="4747" w:type="dxa"/>
            <w:noWrap w:val="0"/>
            <w:vAlign w:val="center"/>
          </w:tcPr>
          <w:p w14:paraId="4CE0F994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收割过程中机械行走顺畅，无冒黑烟现象，无不必要的停机、倒车等现象。（每发生一次扣1分）</w:t>
            </w:r>
          </w:p>
        </w:tc>
        <w:tc>
          <w:tcPr>
            <w:tcW w:w="856" w:type="dxa"/>
            <w:noWrap w:val="0"/>
            <w:vAlign w:val="center"/>
          </w:tcPr>
          <w:p w14:paraId="345F447A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EC343FF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</w:tr>
      <w:tr w14:paraId="75EE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noWrap w:val="0"/>
            <w:vAlign w:val="center"/>
          </w:tcPr>
          <w:p w14:paraId="6339F9B7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作业效率</w:t>
            </w:r>
          </w:p>
        </w:tc>
        <w:tc>
          <w:tcPr>
            <w:tcW w:w="1328" w:type="dxa"/>
            <w:noWrap w:val="0"/>
            <w:vAlign w:val="center"/>
          </w:tcPr>
          <w:p w14:paraId="34E1D5B6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作业效率（</w:t>
            </w:r>
            <w:r>
              <w:rPr>
                <w:rFonts w:ascii="宋体" w:hAnsi="宋体" w:eastAsia="等线"/>
                <w:szCs w:val="21"/>
              </w:rPr>
              <w:t>20</w:t>
            </w:r>
            <w:r>
              <w:rPr>
                <w:rFonts w:hint="eastAsia" w:ascii="宋体" w:hAnsi="宋体" w:eastAsia="等线"/>
                <w:szCs w:val="21"/>
              </w:rPr>
              <w:t>分）</w:t>
            </w:r>
          </w:p>
        </w:tc>
        <w:tc>
          <w:tcPr>
            <w:tcW w:w="4747" w:type="dxa"/>
            <w:noWrap w:val="0"/>
            <w:vAlign w:val="center"/>
          </w:tcPr>
          <w:p w14:paraId="394E27E9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机收速率≥5亩/小时得分20分，机收速率每减少0.</w:t>
            </w:r>
            <w:r>
              <w:rPr>
                <w:rFonts w:ascii="宋体" w:hAnsi="宋体" w:eastAsia="等线"/>
                <w:szCs w:val="21"/>
              </w:rPr>
              <w:t>1</w:t>
            </w:r>
            <w:r>
              <w:rPr>
                <w:rFonts w:hint="eastAsia" w:ascii="宋体" w:hAnsi="宋体" w:eastAsia="等线"/>
                <w:szCs w:val="21"/>
              </w:rPr>
              <w:t>亩/小时扣1分。</w:t>
            </w:r>
          </w:p>
          <w:p w14:paraId="29CC3800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另外还需考察平均割幅，若平均割幅</w:t>
            </w:r>
            <w:r>
              <w:rPr>
                <w:rFonts w:ascii="Times New Roman" w:hAnsi="Times New Roman" w:eastAsia="等线"/>
                <w:szCs w:val="21"/>
              </w:rPr>
              <w:t>˂</w:t>
            </w:r>
            <w:r>
              <w:rPr>
                <w:rFonts w:hint="eastAsia" w:ascii="宋体" w:hAnsi="宋体" w:eastAsia="等线"/>
                <w:szCs w:val="21"/>
              </w:rPr>
              <w:t>2.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等线"/>
                <w:szCs w:val="21"/>
              </w:rPr>
              <w:t>m，扣2分。</w:t>
            </w:r>
          </w:p>
        </w:tc>
        <w:tc>
          <w:tcPr>
            <w:tcW w:w="856" w:type="dxa"/>
            <w:noWrap w:val="0"/>
            <w:vAlign w:val="center"/>
          </w:tcPr>
          <w:p w14:paraId="5AE0937A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FA5E7D9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</w:p>
        </w:tc>
      </w:tr>
      <w:tr w14:paraId="2898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restart"/>
            <w:noWrap w:val="0"/>
            <w:vAlign w:val="center"/>
          </w:tcPr>
          <w:p w14:paraId="30D9144D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作业质量</w:t>
            </w:r>
          </w:p>
        </w:tc>
        <w:tc>
          <w:tcPr>
            <w:tcW w:w="1328" w:type="dxa"/>
            <w:noWrap w:val="0"/>
            <w:vAlign w:val="center"/>
          </w:tcPr>
          <w:p w14:paraId="634A186C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机收损失率（60分）</w:t>
            </w:r>
          </w:p>
        </w:tc>
        <w:tc>
          <w:tcPr>
            <w:tcW w:w="4747" w:type="dxa"/>
            <w:noWrap w:val="0"/>
            <w:vAlign w:val="center"/>
          </w:tcPr>
          <w:p w14:paraId="1C306FB2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  <w:lang w:eastAsia="zh-CN"/>
              </w:rPr>
            </w:pPr>
            <w:r>
              <w:rPr>
                <w:rFonts w:hint="eastAsia" w:ascii="宋体" w:hAnsi="宋体" w:eastAsia="等线"/>
                <w:szCs w:val="21"/>
              </w:rPr>
              <w:t>≤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1.8</w:t>
            </w:r>
            <w:r>
              <w:rPr>
                <w:rFonts w:hint="eastAsia" w:ascii="宋体" w:hAnsi="宋体" w:eastAsia="等线"/>
                <w:szCs w:val="21"/>
              </w:rPr>
              <w:t>%得分60分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</w:p>
          <w:p w14:paraId="50F7356E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  <w:lang w:eastAsia="zh-CN"/>
              </w:rPr>
            </w:pPr>
            <w:r>
              <w:rPr>
                <w:rFonts w:hint="eastAsia" w:ascii="宋体" w:hAnsi="宋体" w:eastAsia="等线"/>
                <w:szCs w:val="21"/>
              </w:rPr>
              <w:t>≤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等线"/>
                <w:szCs w:val="21"/>
              </w:rPr>
              <w:t>%得分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55</w:t>
            </w:r>
            <w:r>
              <w:rPr>
                <w:rFonts w:hint="eastAsia" w:ascii="宋体" w:hAnsi="宋体" w:eastAsia="等线"/>
                <w:szCs w:val="21"/>
              </w:rPr>
              <w:t>分</w:t>
            </w:r>
            <w:r>
              <w:rPr>
                <w:rFonts w:hint="eastAsia" w:ascii="宋体" w:hAnsi="宋体" w:eastAsia="等线"/>
                <w:szCs w:val="21"/>
                <w:lang w:eastAsia="zh-CN"/>
              </w:rPr>
              <w:t>；</w:t>
            </w:r>
          </w:p>
          <w:p w14:paraId="6A4DE52A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≤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2.5</w:t>
            </w:r>
            <w:r>
              <w:rPr>
                <w:rFonts w:hint="eastAsia" w:ascii="宋体" w:hAnsi="宋体" w:eastAsia="等线"/>
                <w:szCs w:val="21"/>
              </w:rPr>
              <w:t>%得分</w:t>
            </w:r>
            <w:r>
              <w:rPr>
                <w:rFonts w:hint="eastAsia" w:ascii="宋体" w:hAnsi="宋体" w:eastAsia="等线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等线"/>
                <w:szCs w:val="21"/>
              </w:rPr>
              <w:t>0分，否则不得分。</w:t>
            </w:r>
          </w:p>
        </w:tc>
        <w:tc>
          <w:tcPr>
            <w:tcW w:w="856" w:type="dxa"/>
            <w:noWrap w:val="0"/>
            <w:vAlign w:val="center"/>
          </w:tcPr>
          <w:p w14:paraId="7D4C6F3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CD45FD7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</w:tr>
      <w:tr w14:paraId="7A60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 w14:paraId="7AF6425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1253A3C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割茬高度（5分）</w:t>
            </w:r>
          </w:p>
        </w:tc>
        <w:tc>
          <w:tcPr>
            <w:tcW w:w="4747" w:type="dxa"/>
            <w:noWrap w:val="0"/>
            <w:vAlign w:val="center"/>
          </w:tcPr>
          <w:p w14:paraId="70BA8664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平均</w:t>
            </w:r>
            <w:r>
              <w:rPr>
                <w:rFonts w:ascii="宋体" w:hAnsi="宋体" w:eastAsia="等线"/>
                <w:szCs w:val="21"/>
              </w:rPr>
              <w:t>割茬高度</w:t>
            </w:r>
            <w:r>
              <w:rPr>
                <w:rFonts w:hint="eastAsia" w:ascii="宋体" w:hAnsi="宋体" w:eastAsia="等线"/>
                <w:szCs w:val="21"/>
              </w:rPr>
              <w:t>≤</w:t>
            </w:r>
            <w:r>
              <w:rPr>
                <w:rFonts w:hint="eastAsia" w:ascii="宋体" w:hAnsi="宋体" w:eastAsia="等线"/>
                <w:color w:val="auto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eastAsia="等线"/>
                <w:szCs w:val="21"/>
              </w:rPr>
              <w:t>厘米得5分，</w:t>
            </w:r>
            <w:r>
              <w:rPr>
                <w:rFonts w:hint="eastAsia" w:ascii="宋体" w:hAnsi="宋体"/>
                <w:szCs w:val="21"/>
              </w:rPr>
              <w:t>每增加1厘米</w:t>
            </w:r>
            <w:r>
              <w:rPr>
                <w:rFonts w:ascii="宋体" w:hAnsi="宋体"/>
                <w:szCs w:val="21"/>
              </w:rPr>
              <w:t>扣</w:t>
            </w:r>
            <w:r>
              <w:rPr>
                <w:rFonts w:hint="eastAsia" w:ascii="宋体" w:hAnsi="宋体"/>
                <w:szCs w:val="21"/>
              </w:rPr>
              <w:t>0.5</w:t>
            </w:r>
            <w:r>
              <w:rPr>
                <w:rFonts w:hint="eastAsia" w:ascii="宋体" w:hAnsi="宋体" w:eastAsia="等线"/>
                <w:szCs w:val="21"/>
              </w:rPr>
              <w:t>分。</w:t>
            </w:r>
          </w:p>
        </w:tc>
        <w:tc>
          <w:tcPr>
            <w:tcW w:w="856" w:type="dxa"/>
            <w:noWrap w:val="0"/>
            <w:vAlign w:val="center"/>
          </w:tcPr>
          <w:p w14:paraId="7B350A8F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37DD7DE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</w:tr>
      <w:tr w14:paraId="2FE6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vMerge w:val="continue"/>
            <w:noWrap w:val="0"/>
            <w:vAlign w:val="center"/>
          </w:tcPr>
          <w:p w14:paraId="398AD151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AB753B7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有无漏收（5分）</w:t>
            </w:r>
          </w:p>
        </w:tc>
        <w:tc>
          <w:tcPr>
            <w:tcW w:w="4747" w:type="dxa"/>
            <w:noWrap w:val="0"/>
            <w:vAlign w:val="center"/>
          </w:tcPr>
          <w:p w14:paraId="4EF6CA94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目测无整窝漏收得5分，有整窝漏收每整窝扣2分，每漏割一穗扣</w:t>
            </w:r>
            <w:r>
              <w:rPr>
                <w:rFonts w:ascii="宋体" w:hAnsi="宋体" w:eastAsia="等线"/>
                <w:szCs w:val="21"/>
              </w:rPr>
              <w:t>0.2</w:t>
            </w:r>
            <w:r>
              <w:rPr>
                <w:rFonts w:hint="eastAsia" w:ascii="宋体" w:hAnsi="宋体" w:eastAsia="等线"/>
                <w:szCs w:val="21"/>
              </w:rPr>
              <w:t>分。</w:t>
            </w:r>
          </w:p>
        </w:tc>
        <w:tc>
          <w:tcPr>
            <w:tcW w:w="856" w:type="dxa"/>
            <w:noWrap w:val="0"/>
            <w:vAlign w:val="center"/>
          </w:tcPr>
          <w:p w14:paraId="3A51006C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20DED00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</w:tr>
      <w:tr w14:paraId="2D79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0" w:type="dxa"/>
            <w:noWrap w:val="0"/>
            <w:vAlign w:val="center"/>
          </w:tcPr>
          <w:p w14:paraId="7934A0C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合计</w:t>
            </w:r>
          </w:p>
        </w:tc>
        <w:tc>
          <w:tcPr>
            <w:tcW w:w="7792" w:type="dxa"/>
            <w:gridSpan w:val="4"/>
            <w:noWrap w:val="0"/>
            <w:vAlign w:val="center"/>
          </w:tcPr>
          <w:p w14:paraId="7D1414D8"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宋体" w:hAnsi="宋体" w:eastAsia="等线"/>
                <w:szCs w:val="21"/>
              </w:rPr>
            </w:pPr>
          </w:p>
        </w:tc>
      </w:tr>
      <w:tr w14:paraId="2605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82" w:type="dxa"/>
            <w:gridSpan w:val="5"/>
            <w:noWrap w:val="0"/>
            <w:vAlign w:val="center"/>
          </w:tcPr>
          <w:p w14:paraId="48EF3616">
            <w:pPr>
              <w:adjustRightInd w:val="0"/>
              <w:snapToGrid w:val="0"/>
              <w:spacing w:before="156" w:beforeLines="50" w:after="156" w:afterLines="50"/>
              <w:jc w:val="left"/>
              <w:rPr>
                <w:rFonts w:hint="eastAsia" w:ascii="宋体" w:hAnsi="宋体" w:eastAsia="等线"/>
                <w:szCs w:val="21"/>
              </w:rPr>
            </w:pPr>
            <w:r>
              <w:rPr>
                <w:rFonts w:hint="eastAsia" w:ascii="宋体" w:hAnsi="宋体" w:eastAsia="等线"/>
                <w:szCs w:val="21"/>
              </w:rPr>
              <w:t>备注：若分数相同，按机收损失率由低到高排序；若分数相同且机收损失率相同，按作业效率由高到低排序；若分数、机收损失率、作业效率均相同则为同等名次。</w:t>
            </w:r>
          </w:p>
        </w:tc>
      </w:tr>
    </w:tbl>
    <w:p w14:paraId="4F81242C">
      <w:pPr>
        <w:spacing w:before="156" w:beforeLines="50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专家</w:t>
      </w:r>
      <w:r>
        <w:rPr>
          <w:rFonts w:hint="eastAsia" w:ascii="仿宋_GB2312" w:hAnsi="仿宋_GB2312" w:eastAsia="仿宋_GB2312" w:cs="仿宋_GB2312"/>
          <w:sz w:val="28"/>
          <w:szCs w:val="28"/>
        </w:rPr>
        <w:t>签名：</w:t>
      </w:r>
    </w:p>
    <w:sectPr>
      <w:headerReference r:id="rId4" w:type="default"/>
      <w:footerReference r:id="rId5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67AEB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3C1AE87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FE7F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0A1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rsids>
    <w:rsidRoot w:val="00000000"/>
    <w:rsid w:val="01790D1B"/>
    <w:rsid w:val="01DC1A74"/>
    <w:rsid w:val="0BB74A0E"/>
    <w:rsid w:val="1CFFA598"/>
    <w:rsid w:val="28BF3505"/>
    <w:rsid w:val="2B7D3C27"/>
    <w:rsid w:val="2DFA3BCA"/>
    <w:rsid w:val="35F20D6E"/>
    <w:rsid w:val="38621630"/>
    <w:rsid w:val="3FB36E3C"/>
    <w:rsid w:val="427D5E63"/>
    <w:rsid w:val="44F763A1"/>
    <w:rsid w:val="48D12EB4"/>
    <w:rsid w:val="4D096C71"/>
    <w:rsid w:val="4F7F4C5E"/>
    <w:rsid w:val="50635CA2"/>
    <w:rsid w:val="55F43787"/>
    <w:rsid w:val="5A026F22"/>
    <w:rsid w:val="5B744A36"/>
    <w:rsid w:val="616D2CE9"/>
    <w:rsid w:val="677F6D7B"/>
    <w:rsid w:val="69576763"/>
    <w:rsid w:val="69EF1DF9"/>
    <w:rsid w:val="6F7FB269"/>
    <w:rsid w:val="70F01D72"/>
    <w:rsid w:val="722308A1"/>
    <w:rsid w:val="73490955"/>
    <w:rsid w:val="77C78362"/>
    <w:rsid w:val="77CF65BF"/>
    <w:rsid w:val="77DF78F1"/>
    <w:rsid w:val="7AAE0B3A"/>
    <w:rsid w:val="7AFC276D"/>
    <w:rsid w:val="7BFD2EF8"/>
    <w:rsid w:val="7CDC8E0A"/>
    <w:rsid w:val="7FBBB000"/>
    <w:rsid w:val="B97FE71E"/>
    <w:rsid w:val="BBEBDBDE"/>
    <w:rsid w:val="BF6E19BA"/>
    <w:rsid w:val="DDBE5A7C"/>
    <w:rsid w:val="DEEFF1F5"/>
    <w:rsid w:val="FDE914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4568</Words>
  <Characters>4917</Characters>
  <TotalTime>5</TotalTime>
  <ScaleCrop>false</ScaleCrop>
  <LinksUpToDate>false</LinksUpToDate>
  <CharactersWithSpaces>5087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2026-05-25T16:05:00Z</dcterms:created>
  <dc:creator>Apache POI</dc:creator>
  <cp:lastModifiedBy>男孩φ很忙</cp:lastModifiedBy>
  <dcterms:modified xsi:type="dcterms:W3CDTF">2026-05-25T04:12:25Z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eyJoZGlkIjoiMjBhNjM3ZDJhMTIzZjE3NTM2MTc5NTBiODYxNWIwNjMiLCJ1c2VySWQiOiI2NzYyNTYwMDcifQ==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9459C6D5DE9C49028102666965C1336F_12</vt:lpwstr>
  </property>
</Properties>
</file>