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5508E0">
      <w:pPr>
        <w:rPr>
          <w:color w:val="auto"/>
          <w:highlight w:val="none"/>
        </w:rPr>
      </w:pPr>
    </w:p>
    <w:p w14:paraId="13914B62">
      <w:pPr>
        <w:rPr>
          <w:color w:val="auto"/>
          <w:highlight w:val="none"/>
        </w:rPr>
      </w:pPr>
    </w:p>
    <w:p w14:paraId="3A4EA584">
      <w:pPr>
        <w:rPr>
          <w:color w:val="auto"/>
          <w:highlight w:val="none"/>
        </w:rPr>
      </w:pPr>
    </w:p>
    <w:p w14:paraId="5C6F9A47">
      <w:pPr>
        <w:rPr>
          <w:color w:val="auto"/>
          <w:highlight w:val="none"/>
        </w:rPr>
      </w:pPr>
    </w:p>
    <w:p w14:paraId="2FF2383A">
      <w:pPr>
        <w:rPr>
          <w:color w:val="auto"/>
          <w:highlight w:val="none"/>
        </w:rPr>
      </w:pPr>
    </w:p>
    <w:p w14:paraId="60EF51FD">
      <w:pPr>
        <w:jc w:val="center"/>
        <w:rPr>
          <w:rFonts w:hint="eastAsia" w:ascii="黑体" w:hAnsi="黑体" w:eastAsia="黑体"/>
          <w:b/>
          <w:color w:val="auto"/>
          <w:sz w:val="52"/>
          <w:szCs w:val="52"/>
          <w:highlight w:val="none"/>
        </w:rPr>
      </w:pPr>
      <w:bookmarkStart w:id="0" w:name="_Toc32667"/>
      <w:bookmarkStart w:id="1" w:name="_Toc19991"/>
      <w:bookmarkStart w:id="2" w:name="_Toc27275"/>
      <w:r>
        <w:rPr>
          <w:rFonts w:hint="eastAsia" w:ascii="黑体" w:hAnsi="黑体" w:eastAsia="黑体"/>
          <w:b/>
          <w:color w:val="auto"/>
          <w:sz w:val="52"/>
          <w:szCs w:val="52"/>
          <w:highlight w:val="none"/>
        </w:rPr>
        <w:t>海南省</w:t>
      </w:r>
      <w:r>
        <w:rPr>
          <w:rFonts w:hint="eastAsia" w:ascii="黑体" w:hAnsi="黑体" w:eastAsia="黑体"/>
          <w:b/>
          <w:color w:val="auto"/>
          <w:sz w:val="52"/>
          <w:szCs w:val="52"/>
          <w:highlight w:val="none"/>
          <w:lang w:val="en-US" w:eastAsia="zh-CN"/>
        </w:rPr>
        <w:t>农田建设</w:t>
      </w:r>
      <w:r>
        <w:rPr>
          <w:rFonts w:hint="eastAsia" w:ascii="黑体" w:hAnsi="黑体" w:eastAsia="黑体"/>
          <w:b/>
          <w:color w:val="auto"/>
          <w:sz w:val="52"/>
          <w:szCs w:val="52"/>
          <w:highlight w:val="none"/>
        </w:rPr>
        <w:t>施工</w:t>
      </w:r>
    </w:p>
    <w:p w14:paraId="26A8785A">
      <w:pPr>
        <w:pStyle w:val="29"/>
        <w:rPr>
          <w:rFonts w:hint="eastAsia"/>
          <w:color w:val="auto"/>
          <w:sz w:val="11"/>
          <w:szCs w:val="11"/>
          <w:highlight w:val="none"/>
        </w:rPr>
      </w:pPr>
    </w:p>
    <w:p w14:paraId="0BC7CF83">
      <w:pPr>
        <w:jc w:val="center"/>
        <w:rPr>
          <w:rFonts w:hint="eastAsia" w:ascii="黑体" w:hAnsi="黑体" w:eastAsia="黑体"/>
          <w:b/>
          <w:color w:val="auto"/>
          <w:sz w:val="52"/>
          <w:szCs w:val="52"/>
          <w:highlight w:val="none"/>
          <w:lang w:eastAsia="zh-CN"/>
        </w:rPr>
      </w:pPr>
      <w:r>
        <w:rPr>
          <w:rFonts w:hint="eastAsia" w:ascii="黑体" w:hAnsi="黑体" w:eastAsia="黑体"/>
          <w:b/>
          <w:color w:val="auto"/>
          <w:sz w:val="52"/>
          <w:szCs w:val="52"/>
          <w:highlight w:val="none"/>
        </w:rPr>
        <w:t>招标文件</w:t>
      </w:r>
      <w:r>
        <w:rPr>
          <w:rFonts w:hint="eastAsia" w:ascii="黑体" w:hAnsi="黑体" w:eastAsia="黑体"/>
          <w:b/>
          <w:color w:val="auto"/>
          <w:sz w:val="52"/>
          <w:szCs w:val="52"/>
          <w:highlight w:val="none"/>
          <w:lang w:eastAsia="zh-CN"/>
        </w:rPr>
        <w:t>（</w:t>
      </w:r>
      <w:r>
        <w:rPr>
          <w:rFonts w:hint="eastAsia" w:ascii="黑体" w:hAnsi="黑体" w:eastAsia="黑体"/>
          <w:b/>
          <w:color w:val="auto"/>
          <w:sz w:val="52"/>
          <w:szCs w:val="52"/>
          <w:highlight w:val="none"/>
          <w:lang w:val="en-US" w:eastAsia="zh-CN"/>
        </w:rPr>
        <w:t>范本</w:t>
      </w:r>
      <w:r>
        <w:rPr>
          <w:rFonts w:hint="eastAsia" w:ascii="黑体" w:hAnsi="黑体" w:eastAsia="黑体"/>
          <w:b/>
          <w:color w:val="auto"/>
          <w:sz w:val="52"/>
          <w:szCs w:val="52"/>
          <w:highlight w:val="none"/>
          <w:lang w:eastAsia="zh-CN"/>
        </w:rPr>
        <w:t>）</w:t>
      </w:r>
      <w:bookmarkEnd w:id="0"/>
      <w:bookmarkEnd w:id="1"/>
      <w:bookmarkEnd w:id="2"/>
    </w:p>
    <w:p w14:paraId="024CA8D6">
      <w:pPr>
        <w:rPr>
          <w:color w:val="auto"/>
          <w:highlight w:val="none"/>
        </w:rPr>
      </w:pPr>
    </w:p>
    <w:p w14:paraId="69980B24">
      <w:pPr>
        <w:rPr>
          <w:color w:val="auto"/>
          <w:highlight w:val="none"/>
        </w:rPr>
      </w:pPr>
    </w:p>
    <w:p w14:paraId="76C7BBF9">
      <w:pPr>
        <w:rPr>
          <w:color w:val="auto"/>
          <w:highlight w:val="none"/>
        </w:rPr>
      </w:pPr>
    </w:p>
    <w:p w14:paraId="25B3DB03">
      <w:pPr>
        <w:rPr>
          <w:color w:val="auto"/>
          <w:highlight w:val="none"/>
        </w:rPr>
      </w:pPr>
    </w:p>
    <w:p w14:paraId="39A9A761">
      <w:pPr>
        <w:rPr>
          <w:color w:val="auto"/>
          <w:highlight w:val="none"/>
        </w:rPr>
      </w:pPr>
    </w:p>
    <w:p w14:paraId="2F722AD4">
      <w:pPr>
        <w:rPr>
          <w:color w:val="auto"/>
          <w:highlight w:val="none"/>
        </w:rPr>
      </w:pPr>
    </w:p>
    <w:p w14:paraId="205BFA21">
      <w:pPr>
        <w:rPr>
          <w:color w:val="auto"/>
          <w:highlight w:val="none"/>
        </w:rPr>
      </w:pPr>
    </w:p>
    <w:p w14:paraId="2BF7F12E">
      <w:pPr>
        <w:rPr>
          <w:color w:val="auto"/>
          <w:highlight w:val="none"/>
        </w:rPr>
      </w:pPr>
    </w:p>
    <w:p w14:paraId="2BD2CA62">
      <w:pPr>
        <w:rPr>
          <w:color w:val="auto"/>
          <w:highlight w:val="none"/>
        </w:rPr>
      </w:pPr>
    </w:p>
    <w:p w14:paraId="15B7684B">
      <w:pPr>
        <w:rPr>
          <w:color w:val="auto"/>
          <w:highlight w:val="none"/>
        </w:rPr>
      </w:pPr>
    </w:p>
    <w:p w14:paraId="769F5D50">
      <w:pPr>
        <w:rPr>
          <w:color w:val="auto"/>
          <w:highlight w:val="none"/>
        </w:rPr>
      </w:pPr>
    </w:p>
    <w:p w14:paraId="078F043B">
      <w:pPr>
        <w:rPr>
          <w:color w:val="auto"/>
          <w:highlight w:val="none"/>
        </w:rPr>
      </w:pPr>
    </w:p>
    <w:p w14:paraId="575D827E">
      <w:pPr>
        <w:rPr>
          <w:color w:val="auto"/>
          <w:highlight w:val="none"/>
        </w:rPr>
      </w:pPr>
    </w:p>
    <w:p w14:paraId="54D13E5D">
      <w:pPr>
        <w:rPr>
          <w:color w:val="auto"/>
          <w:highlight w:val="none"/>
        </w:rPr>
      </w:pPr>
    </w:p>
    <w:p w14:paraId="43B9CE09">
      <w:pPr>
        <w:rPr>
          <w:color w:val="auto"/>
          <w:highlight w:val="none"/>
        </w:rPr>
      </w:pPr>
    </w:p>
    <w:p w14:paraId="262BEC20">
      <w:pPr>
        <w:rPr>
          <w:color w:val="auto"/>
          <w:highlight w:val="none"/>
        </w:rPr>
      </w:pPr>
    </w:p>
    <w:p w14:paraId="46940CDD">
      <w:pPr>
        <w:rPr>
          <w:color w:val="auto"/>
          <w:highlight w:val="none"/>
        </w:rPr>
      </w:pPr>
    </w:p>
    <w:p w14:paraId="4476D3A0">
      <w:pPr>
        <w:rPr>
          <w:color w:val="auto"/>
          <w:highlight w:val="none"/>
        </w:rPr>
      </w:pPr>
    </w:p>
    <w:p w14:paraId="0FFD0281">
      <w:pPr>
        <w:rPr>
          <w:color w:val="auto"/>
          <w:highlight w:val="none"/>
        </w:rPr>
      </w:pPr>
    </w:p>
    <w:p w14:paraId="341A9794">
      <w:pPr>
        <w:rPr>
          <w:color w:val="auto"/>
          <w:highlight w:val="none"/>
        </w:rPr>
      </w:pPr>
    </w:p>
    <w:p w14:paraId="39CD43F4">
      <w:pPr>
        <w:rPr>
          <w:color w:val="auto"/>
          <w:highlight w:val="none"/>
        </w:rPr>
      </w:pPr>
    </w:p>
    <w:p w14:paraId="056278B5">
      <w:pPr>
        <w:rPr>
          <w:color w:val="auto"/>
          <w:highlight w:val="none"/>
        </w:rPr>
      </w:pPr>
    </w:p>
    <w:p w14:paraId="3DD436F2">
      <w:pPr>
        <w:rPr>
          <w:color w:val="auto"/>
          <w:highlight w:val="none"/>
        </w:rPr>
      </w:pPr>
    </w:p>
    <w:p w14:paraId="6BF79763">
      <w:pPr>
        <w:rPr>
          <w:color w:val="auto"/>
          <w:highlight w:val="none"/>
        </w:rPr>
      </w:pPr>
    </w:p>
    <w:p w14:paraId="5F7EF60B">
      <w:pPr>
        <w:jc w:val="center"/>
        <w:rPr>
          <w:b/>
          <w:color w:val="auto"/>
          <w:sz w:val="52"/>
          <w:szCs w:val="52"/>
          <w:highlight w:val="none"/>
        </w:rPr>
      </w:pPr>
      <w:r>
        <w:rPr>
          <w:rFonts w:hint="eastAsia"/>
          <w:b/>
          <w:color w:val="auto"/>
          <w:sz w:val="52"/>
          <w:szCs w:val="52"/>
          <w:highlight w:val="none"/>
        </w:rPr>
        <w:t>海南省</w:t>
      </w:r>
      <w:r>
        <w:rPr>
          <w:rFonts w:hint="eastAsia"/>
          <w:b/>
          <w:i w:val="0"/>
          <w:iCs w:val="0"/>
          <w:color w:val="auto"/>
          <w:sz w:val="52"/>
          <w:szCs w:val="52"/>
          <w:highlight w:val="none"/>
          <w:lang w:val="en-US" w:eastAsia="zh-CN"/>
        </w:rPr>
        <w:t>农业农村</w:t>
      </w:r>
      <w:r>
        <w:rPr>
          <w:rFonts w:hint="eastAsia"/>
          <w:b/>
          <w:i w:val="0"/>
          <w:iCs w:val="0"/>
          <w:color w:val="auto"/>
          <w:sz w:val="52"/>
          <w:szCs w:val="52"/>
          <w:highlight w:val="none"/>
        </w:rPr>
        <w:t>厅</w:t>
      </w:r>
    </w:p>
    <w:p w14:paraId="0B192FBE">
      <w:pPr>
        <w:rPr>
          <w:color w:val="auto"/>
          <w:highlight w:val="none"/>
        </w:rPr>
      </w:pPr>
    </w:p>
    <w:p w14:paraId="5BEB9C1E">
      <w:pPr>
        <w:rPr>
          <w:color w:val="auto"/>
          <w:highlight w:val="none"/>
        </w:rPr>
      </w:pPr>
      <w:r>
        <w:rPr>
          <w:color w:val="auto"/>
          <w:highlight w:val="none"/>
        </w:rPr>
        <w:br w:type="page"/>
      </w:r>
    </w:p>
    <w:p w14:paraId="73E79A15">
      <w:pPr>
        <w:rPr>
          <w:color w:val="auto"/>
          <w:highlight w:val="none"/>
        </w:rPr>
      </w:pPr>
      <w:bookmarkStart w:id="3" w:name="目录"/>
      <w:bookmarkEnd w:id="3"/>
    </w:p>
    <w:p w14:paraId="4594031A">
      <w:pPr>
        <w:spacing w:before="0" w:beforeLines="0" w:after="0" w:afterLines="0" w:line="240" w:lineRule="auto"/>
        <w:ind w:left="0" w:leftChars="0" w:right="0" w:rightChars="0" w:firstLine="0" w:firstLineChars="0"/>
        <w:jc w:val="center"/>
        <w:rPr>
          <w:b/>
          <w:bCs/>
          <w:color w:val="auto"/>
          <w:sz w:val="36"/>
          <w:szCs w:val="36"/>
          <w:highlight w:val="none"/>
        </w:rPr>
      </w:pPr>
      <w:r>
        <w:rPr>
          <w:rFonts w:ascii="宋体" w:hAnsi="宋体" w:eastAsia="宋体"/>
          <w:b/>
          <w:bCs/>
          <w:color w:val="auto"/>
          <w:sz w:val="36"/>
          <w:szCs w:val="36"/>
          <w:highlight w:val="none"/>
        </w:rPr>
        <w:t>目</w:t>
      </w:r>
      <w:r>
        <w:rPr>
          <w:rFonts w:hint="eastAsia" w:ascii="宋体" w:hAnsi="宋体"/>
          <w:b/>
          <w:bCs/>
          <w:color w:val="auto"/>
          <w:sz w:val="36"/>
          <w:szCs w:val="36"/>
          <w:highlight w:val="none"/>
          <w:lang w:val="en-US" w:eastAsia="zh-CN"/>
        </w:rPr>
        <w:t xml:space="preserve"> </w:t>
      </w:r>
      <w:r>
        <w:rPr>
          <w:rFonts w:ascii="宋体" w:hAnsi="宋体" w:eastAsia="宋体"/>
          <w:b/>
          <w:bCs/>
          <w:color w:val="auto"/>
          <w:sz w:val="36"/>
          <w:szCs w:val="36"/>
          <w:highlight w:val="none"/>
        </w:rPr>
        <w:t>录</w:t>
      </w:r>
    </w:p>
    <w:p w14:paraId="350FD068">
      <w:pPr>
        <w:pStyle w:val="16"/>
        <w:tabs>
          <w:tab w:val="right" w:leader="dot" w:pos="9127"/>
        </w:tabs>
        <w:rPr>
          <w:color w:val="auto"/>
          <w:highlight w:val="none"/>
        </w:rPr>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color w:val="auto"/>
          <w:highlight w:val="none"/>
        </w:rPr>
        <w:instrText xml:space="preserve"> HYPERLINK \l _Toc9644 </w:instrText>
      </w:r>
      <w:r>
        <w:rPr>
          <w:color w:val="auto"/>
          <w:highlight w:val="none"/>
        </w:rPr>
        <w:fldChar w:fldCharType="separate"/>
      </w:r>
      <w:r>
        <w:rPr>
          <w:rFonts w:hint="eastAsia" w:ascii="黑体" w:hAnsi="黑体" w:eastAsia="黑体" w:cs="Times New Roman"/>
          <w:color w:val="auto"/>
          <w:szCs w:val="52"/>
          <w:highlight w:val="none"/>
        </w:rPr>
        <w:t>第一卷</w:t>
      </w:r>
      <w:r>
        <w:rPr>
          <w:color w:val="auto"/>
          <w:highlight w:val="none"/>
        </w:rPr>
        <w:tab/>
      </w:r>
      <w:r>
        <w:rPr>
          <w:color w:val="auto"/>
          <w:highlight w:val="none"/>
        </w:rPr>
        <w:fldChar w:fldCharType="begin"/>
      </w:r>
      <w:r>
        <w:rPr>
          <w:color w:val="auto"/>
          <w:highlight w:val="none"/>
        </w:rPr>
        <w:instrText xml:space="preserve"> PAGEREF _Toc9644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47E51C91">
      <w:pPr>
        <w:pStyle w:val="16"/>
        <w:tabs>
          <w:tab w:val="right" w:leader="dot" w:pos="9127"/>
        </w:tabs>
        <w:rPr>
          <w:color w:val="auto"/>
          <w:highlight w:val="none"/>
        </w:rPr>
      </w:pPr>
      <w:r>
        <w:rPr>
          <w:color w:val="auto"/>
          <w:highlight w:val="none"/>
        </w:rPr>
        <w:fldChar w:fldCharType="begin"/>
      </w:r>
      <w:r>
        <w:rPr>
          <w:color w:val="auto"/>
          <w:highlight w:val="none"/>
        </w:rPr>
        <w:instrText xml:space="preserve"> HYPERLINK \l _Toc22110 </w:instrText>
      </w:r>
      <w:r>
        <w:rPr>
          <w:color w:val="auto"/>
          <w:highlight w:val="none"/>
        </w:rPr>
        <w:fldChar w:fldCharType="separate"/>
      </w:r>
      <w:r>
        <w:rPr>
          <w:rFonts w:hAnsi="黑体" w:eastAsia="黑体"/>
          <w:color w:val="auto"/>
          <w:szCs w:val="32"/>
          <w:highlight w:val="none"/>
        </w:rPr>
        <w:t>第</w:t>
      </w:r>
      <w:r>
        <w:rPr>
          <w:rFonts w:eastAsia="黑体"/>
          <w:color w:val="auto"/>
          <w:szCs w:val="32"/>
          <w:highlight w:val="none"/>
        </w:rPr>
        <w:t>1</w:t>
      </w:r>
      <w:r>
        <w:rPr>
          <w:rFonts w:hAnsi="黑体" w:eastAsia="黑体"/>
          <w:color w:val="auto"/>
          <w:szCs w:val="32"/>
          <w:highlight w:val="none"/>
        </w:rPr>
        <w:t>章　招标公告</w:t>
      </w:r>
      <w:r>
        <w:rPr>
          <w:rFonts w:hint="eastAsia" w:eastAsia="黑体"/>
          <w:color w:val="auto"/>
          <w:szCs w:val="32"/>
          <w:highlight w:val="none"/>
          <w:lang w:eastAsia="zh-CN"/>
        </w:rPr>
        <w:t>（</w:t>
      </w:r>
      <w:r>
        <w:rPr>
          <w:rFonts w:hAnsi="黑体" w:eastAsia="黑体"/>
          <w:color w:val="auto"/>
          <w:szCs w:val="32"/>
          <w:highlight w:val="none"/>
        </w:rPr>
        <w:t>适用于未进行资格预审</w:t>
      </w:r>
      <w:r>
        <w:rPr>
          <w:rFonts w:hint="eastAsia" w:eastAsia="黑体"/>
          <w:color w:val="auto"/>
          <w:szCs w:val="32"/>
          <w:highlight w:val="none"/>
          <w:lang w:eastAsia="zh-CN"/>
        </w:rPr>
        <w:t>）</w:t>
      </w:r>
      <w:r>
        <w:rPr>
          <w:color w:val="auto"/>
          <w:highlight w:val="none"/>
        </w:rPr>
        <w:tab/>
      </w:r>
      <w:r>
        <w:rPr>
          <w:color w:val="auto"/>
          <w:highlight w:val="none"/>
        </w:rPr>
        <w:fldChar w:fldCharType="begin"/>
      </w:r>
      <w:r>
        <w:rPr>
          <w:color w:val="auto"/>
          <w:highlight w:val="none"/>
        </w:rPr>
        <w:instrText xml:space="preserve"> PAGEREF _Toc22110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62B5B535">
      <w:pPr>
        <w:pStyle w:val="18"/>
        <w:tabs>
          <w:tab w:val="right" w:leader="dot" w:pos="9127"/>
        </w:tabs>
        <w:rPr>
          <w:color w:val="auto"/>
          <w:highlight w:val="none"/>
        </w:rPr>
      </w:pPr>
      <w:r>
        <w:rPr>
          <w:color w:val="auto"/>
          <w:highlight w:val="none"/>
        </w:rPr>
        <w:fldChar w:fldCharType="begin"/>
      </w:r>
      <w:r>
        <w:rPr>
          <w:color w:val="auto"/>
          <w:highlight w:val="none"/>
        </w:rPr>
        <w:instrText xml:space="preserve"> HYPERLINK \l _Toc29163 </w:instrText>
      </w:r>
      <w:r>
        <w:rPr>
          <w:color w:val="auto"/>
          <w:highlight w:val="none"/>
        </w:rPr>
        <w:fldChar w:fldCharType="separate"/>
      </w:r>
      <w:r>
        <w:rPr>
          <w:rFonts w:hint="eastAsia"/>
          <w:color w:val="auto"/>
          <w:highlight w:val="none"/>
        </w:rPr>
        <w:t>1　招标条件</w:t>
      </w:r>
      <w:r>
        <w:rPr>
          <w:color w:val="auto"/>
          <w:highlight w:val="none"/>
        </w:rPr>
        <w:tab/>
      </w:r>
      <w:r>
        <w:rPr>
          <w:color w:val="auto"/>
          <w:highlight w:val="none"/>
        </w:rPr>
        <w:fldChar w:fldCharType="begin"/>
      </w:r>
      <w:r>
        <w:rPr>
          <w:color w:val="auto"/>
          <w:highlight w:val="none"/>
        </w:rPr>
        <w:instrText xml:space="preserve"> PAGEREF _Toc29163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384FC744">
      <w:pPr>
        <w:pStyle w:val="18"/>
        <w:tabs>
          <w:tab w:val="right" w:leader="dot" w:pos="9127"/>
        </w:tabs>
        <w:rPr>
          <w:color w:val="auto"/>
          <w:highlight w:val="none"/>
        </w:rPr>
      </w:pPr>
      <w:r>
        <w:rPr>
          <w:color w:val="auto"/>
          <w:highlight w:val="none"/>
        </w:rPr>
        <w:fldChar w:fldCharType="begin"/>
      </w:r>
      <w:r>
        <w:rPr>
          <w:color w:val="auto"/>
          <w:highlight w:val="none"/>
        </w:rPr>
        <w:instrText xml:space="preserve"> HYPERLINK \l _Toc20491 </w:instrText>
      </w:r>
      <w:r>
        <w:rPr>
          <w:color w:val="auto"/>
          <w:highlight w:val="none"/>
        </w:rPr>
        <w:fldChar w:fldCharType="separate"/>
      </w:r>
      <w:r>
        <w:rPr>
          <w:rFonts w:hint="eastAsia"/>
          <w:color w:val="auto"/>
          <w:highlight w:val="none"/>
        </w:rPr>
        <w:t>2　项目概况与招标范围</w:t>
      </w:r>
      <w:r>
        <w:rPr>
          <w:color w:val="auto"/>
          <w:highlight w:val="none"/>
        </w:rPr>
        <w:tab/>
      </w:r>
      <w:r>
        <w:rPr>
          <w:color w:val="auto"/>
          <w:highlight w:val="none"/>
        </w:rPr>
        <w:fldChar w:fldCharType="begin"/>
      </w:r>
      <w:r>
        <w:rPr>
          <w:color w:val="auto"/>
          <w:highlight w:val="none"/>
        </w:rPr>
        <w:instrText xml:space="preserve"> PAGEREF _Toc20491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2107B014">
      <w:pPr>
        <w:pStyle w:val="18"/>
        <w:tabs>
          <w:tab w:val="right" w:leader="dot" w:pos="9127"/>
        </w:tabs>
        <w:rPr>
          <w:color w:val="auto"/>
          <w:highlight w:val="none"/>
        </w:rPr>
      </w:pPr>
      <w:r>
        <w:rPr>
          <w:color w:val="auto"/>
          <w:highlight w:val="none"/>
        </w:rPr>
        <w:fldChar w:fldCharType="begin"/>
      </w:r>
      <w:r>
        <w:rPr>
          <w:color w:val="auto"/>
          <w:highlight w:val="none"/>
        </w:rPr>
        <w:instrText xml:space="preserve"> HYPERLINK \l _Toc13890 </w:instrText>
      </w:r>
      <w:r>
        <w:rPr>
          <w:color w:val="auto"/>
          <w:highlight w:val="none"/>
        </w:rPr>
        <w:fldChar w:fldCharType="separate"/>
      </w:r>
      <w:r>
        <w:rPr>
          <w:rFonts w:hint="eastAsia"/>
          <w:color w:val="auto"/>
          <w:highlight w:val="none"/>
        </w:rPr>
        <w:t>3　投标人资格要求</w:t>
      </w:r>
      <w:r>
        <w:rPr>
          <w:color w:val="auto"/>
          <w:highlight w:val="none"/>
        </w:rPr>
        <w:tab/>
      </w:r>
      <w:r>
        <w:rPr>
          <w:color w:val="auto"/>
          <w:highlight w:val="none"/>
        </w:rPr>
        <w:fldChar w:fldCharType="begin"/>
      </w:r>
      <w:r>
        <w:rPr>
          <w:color w:val="auto"/>
          <w:highlight w:val="none"/>
        </w:rPr>
        <w:instrText xml:space="preserve"> PAGEREF _Toc13890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2B4614B3">
      <w:pPr>
        <w:pStyle w:val="18"/>
        <w:tabs>
          <w:tab w:val="right" w:leader="dot" w:pos="9127"/>
        </w:tabs>
        <w:rPr>
          <w:color w:val="auto"/>
          <w:highlight w:val="none"/>
        </w:rPr>
      </w:pPr>
      <w:r>
        <w:rPr>
          <w:color w:val="auto"/>
          <w:highlight w:val="none"/>
        </w:rPr>
        <w:fldChar w:fldCharType="begin"/>
      </w:r>
      <w:r>
        <w:rPr>
          <w:color w:val="auto"/>
          <w:highlight w:val="none"/>
        </w:rPr>
        <w:instrText xml:space="preserve"> HYPERLINK \l _Toc2309 </w:instrText>
      </w:r>
      <w:r>
        <w:rPr>
          <w:color w:val="auto"/>
          <w:highlight w:val="none"/>
        </w:rPr>
        <w:fldChar w:fldCharType="separate"/>
      </w:r>
      <w:r>
        <w:rPr>
          <w:rFonts w:hint="eastAsia"/>
          <w:color w:val="auto"/>
          <w:highlight w:val="none"/>
        </w:rPr>
        <w:t>4　招标文件的获取</w:t>
      </w:r>
      <w:r>
        <w:rPr>
          <w:color w:val="auto"/>
          <w:highlight w:val="none"/>
        </w:rPr>
        <w:tab/>
      </w:r>
      <w:r>
        <w:rPr>
          <w:color w:val="auto"/>
          <w:highlight w:val="none"/>
        </w:rPr>
        <w:fldChar w:fldCharType="begin"/>
      </w:r>
      <w:r>
        <w:rPr>
          <w:color w:val="auto"/>
          <w:highlight w:val="none"/>
        </w:rPr>
        <w:instrText xml:space="preserve"> PAGEREF _Toc2309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03967B43">
      <w:pPr>
        <w:pStyle w:val="18"/>
        <w:tabs>
          <w:tab w:val="right" w:leader="dot" w:pos="9127"/>
        </w:tabs>
        <w:rPr>
          <w:color w:val="auto"/>
          <w:highlight w:val="none"/>
        </w:rPr>
      </w:pPr>
      <w:r>
        <w:rPr>
          <w:color w:val="auto"/>
          <w:highlight w:val="none"/>
        </w:rPr>
        <w:fldChar w:fldCharType="begin"/>
      </w:r>
      <w:r>
        <w:rPr>
          <w:color w:val="auto"/>
          <w:highlight w:val="none"/>
        </w:rPr>
        <w:instrText xml:space="preserve"> HYPERLINK \l _Toc10998 </w:instrText>
      </w:r>
      <w:r>
        <w:rPr>
          <w:color w:val="auto"/>
          <w:highlight w:val="none"/>
        </w:rPr>
        <w:fldChar w:fldCharType="separate"/>
      </w:r>
      <w:r>
        <w:rPr>
          <w:rFonts w:hint="eastAsia"/>
          <w:color w:val="auto"/>
          <w:highlight w:val="none"/>
        </w:rPr>
        <w:t>5　投标文件的递交</w:t>
      </w:r>
      <w:r>
        <w:rPr>
          <w:color w:val="auto"/>
          <w:highlight w:val="none"/>
        </w:rPr>
        <w:tab/>
      </w:r>
      <w:r>
        <w:rPr>
          <w:color w:val="auto"/>
          <w:highlight w:val="none"/>
        </w:rPr>
        <w:fldChar w:fldCharType="begin"/>
      </w:r>
      <w:r>
        <w:rPr>
          <w:color w:val="auto"/>
          <w:highlight w:val="none"/>
        </w:rPr>
        <w:instrText xml:space="preserve"> PAGEREF _Toc10998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5F7AFEB8">
      <w:pPr>
        <w:pStyle w:val="18"/>
        <w:tabs>
          <w:tab w:val="right" w:leader="dot" w:pos="9127"/>
        </w:tabs>
        <w:rPr>
          <w:color w:val="auto"/>
          <w:highlight w:val="none"/>
        </w:rPr>
      </w:pPr>
      <w:r>
        <w:rPr>
          <w:color w:val="auto"/>
          <w:highlight w:val="none"/>
        </w:rPr>
        <w:fldChar w:fldCharType="begin"/>
      </w:r>
      <w:r>
        <w:rPr>
          <w:color w:val="auto"/>
          <w:highlight w:val="none"/>
        </w:rPr>
        <w:instrText xml:space="preserve"> HYPERLINK \l _Toc14122 </w:instrText>
      </w:r>
      <w:r>
        <w:rPr>
          <w:color w:val="auto"/>
          <w:highlight w:val="none"/>
        </w:rPr>
        <w:fldChar w:fldCharType="separate"/>
      </w:r>
      <w:r>
        <w:rPr>
          <w:rFonts w:hint="eastAsia"/>
          <w:i w:val="0"/>
          <w:iCs w:val="0"/>
          <w:color w:val="auto"/>
          <w:highlight w:val="none"/>
        </w:rPr>
        <w:t>6　</w:t>
      </w:r>
      <w:r>
        <w:rPr>
          <w:rFonts w:hint="eastAsia"/>
          <w:color w:val="auto"/>
          <w:highlight w:val="none"/>
        </w:rPr>
        <w:t>发布公告的媒介</w:t>
      </w:r>
      <w:r>
        <w:rPr>
          <w:color w:val="auto"/>
          <w:highlight w:val="none"/>
        </w:rPr>
        <w:tab/>
      </w:r>
      <w:r>
        <w:rPr>
          <w:color w:val="auto"/>
          <w:highlight w:val="none"/>
        </w:rPr>
        <w:fldChar w:fldCharType="begin"/>
      </w:r>
      <w:r>
        <w:rPr>
          <w:color w:val="auto"/>
          <w:highlight w:val="none"/>
        </w:rPr>
        <w:instrText xml:space="preserve"> PAGEREF _Toc14122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484E9A28">
      <w:pPr>
        <w:pStyle w:val="18"/>
        <w:tabs>
          <w:tab w:val="right" w:leader="dot" w:pos="9127"/>
        </w:tabs>
        <w:rPr>
          <w:color w:val="auto"/>
          <w:highlight w:val="none"/>
        </w:rPr>
      </w:pPr>
      <w:r>
        <w:rPr>
          <w:color w:val="auto"/>
          <w:highlight w:val="none"/>
        </w:rPr>
        <w:fldChar w:fldCharType="begin"/>
      </w:r>
      <w:r>
        <w:rPr>
          <w:color w:val="auto"/>
          <w:highlight w:val="none"/>
        </w:rPr>
        <w:instrText xml:space="preserve"> HYPERLINK \l _Toc14954 </w:instrText>
      </w:r>
      <w:r>
        <w:rPr>
          <w:color w:val="auto"/>
          <w:highlight w:val="none"/>
        </w:rPr>
        <w:fldChar w:fldCharType="separate"/>
      </w:r>
      <w:r>
        <w:rPr>
          <w:rFonts w:hint="eastAsia"/>
          <w:color w:val="auto"/>
          <w:highlight w:val="none"/>
          <w:lang w:val="en-US" w:eastAsia="zh-CN"/>
        </w:rPr>
        <w:t>7  其他</w:t>
      </w:r>
      <w:r>
        <w:rPr>
          <w:color w:val="auto"/>
          <w:highlight w:val="none"/>
        </w:rPr>
        <w:tab/>
      </w:r>
      <w:r>
        <w:rPr>
          <w:color w:val="auto"/>
          <w:highlight w:val="none"/>
        </w:rPr>
        <w:fldChar w:fldCharType="begin"/>
      </w:r>
      <w:r>
        <w:rPr>
          <w:color w:val="auto"/>
          <w:highlight w:val="none"/>
        </w:rPr>
        <w:instrText xml:space="preserve"> PAGEREF _Toc14954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5D285493">
      <w:pPr>
        <w:pStyle w:val="18"/>
        <w:tabs>
          <w:tab w:val="right" w:leader="dot" w:pos="9127"/>
        </w:tabs>
        <w:rPr>
          <w:color w:val="auto"/>
          <w:highlight w:val="none"/>
        </w:rPr>
      </w:pPr>
      <w:r>
        <w:rPr>
          <w:color w:val="auto"/>
          <w:highlight w:val="none"/>
        </w:rPr>
        <w:fldChar w:fldCharType="begin"/>
      </w:r>
      <w:r>
        <w:rPr>
          <w:color w:val="auto"/>
          <w:highlight w:val="none"/>
        </w:rPr>
        <w:instrText xml:space="preserve"> HYPERLINK \l _Toc32581 </w:instrText>
      </w:r>
      <w:r>
        <w:rPr>
          <w:color w:val="auto"/>
          <w:highlight w:val="none"/>
        </w:rPr>
        <w:fldChar w:fldCharType="separate"/>
      </w:r>
      <w:r>
        <w:rPr>
          <w:rFonts w:hint="eastAsia"/>
          <w:color w:val="auto"/>
          <w:highlight w:val="none"/>
        </w:rPr>
        <w:t>8　联系方式</w:t>
      </w:r>
      <w:r>
        <w:rPr>
          <w:color w:val="auto"/>
          <w:highlight w:val="none"/>
        </w:rPr>
        <w:tab/>
      </w:r>
      <w:r>
        <w:rPr>
          <w:color w:val="auto"/>
          <w:highlight w:val="none"/>
        </w:rPr>
        <w:fldChar w:fldCharType="begin"/>
      </w:r>
      <w:r>
        <w:rPr>
          <w:color w:val="auto"/>
          <w:highlight w:val="none"/>
        </w:rPr>
        <w:instrText xml:space="preserve"> PAGEREF _Toc32581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1F5B247B">
      <w:pPr>
        <w:pStyle w:val="16"/>
        <w:tabs>
          <w:tab w:val="right" w:leader="dot" w:pos="9127"/>
        </w:tabs>
        <w:rPr>
          <w:color w:val="auto"/>
          <w:highlight w:val="none"/>
        </w:rPr>
      </w:pPr>
      <w:r>
        <w:rPr>
          <w:color w:val="auto"/>
          <w:highlight w:val="none"/>
        </w:rPr>
        <w:fldChar w:fldCharType="begin"/>
      </w:r>
      <w:r>
        <w:rPr>
          <w:color w:val="auto"/>
          <w:highlight w:val="none"/>
        </w:rPr>
        <w:instrText xml:space="preserve"> HYPERLINK \l _Toc12877 </w:instrText>
      </w:r>
      <w:r>
        <w:rPr>
          <w:color w:val="auto"/>
          <w:highlight w:val="none"/>
        </w:rPr>
        <w:fldChar w:fldCharType="separate"/>
      </w:r>
      <w:r>
        <w:rPr>
          <w:rFonts w:hAnsi="黑体" w:eastAsia="黑体"/>
          <w:color w:val="auto"/>
          <w:szCs w:val="32"/>
          <w:highlight w:val="none"/>
        </w:rPr>
        <w:t>第</w:t>
      </w:r>
      <w:r>
        <w:rPr>
          <w:rFonts w:eastAsia="黑体"/>
          <w:color w:val="auto"/>
          <w:szCs w:val="32"/>
          <w:highlight w:val="none"/>
        </w:rPr>
        <w:t>2</w:t>
      </w:r>
      <w:r>
        <w:rPr>
          <w:rFonts w:hAnsi="黑体" w:eastAsia="黑体"/>
          <w:color w:val="auto"/>
          <w:szCs w:val="32"/>
          <w:highlight w:val="none"/>
        </w:rPr>
        <w:t>章　投标人须知</w:t>
      </w:r>
      <w:r>
        <w:rPr>
          <w:color w:val="auto"/>
          <w:highlight w:val="none"/>
        </w:rPr>
        <w:tab/>
      </w:r>
      <w:r>
        <w:rPr>
          <w:color w:val="auto"/>
          <w:highlight w:val="none"/>
        </w:rPr>
        <w:fldChar w:fldCharType="begin"/>
      </w:r>
      <w:r>
        <w:rPr>
          <w:color w:val="auto"/>
          <w:highlight w:val="none"/>
        </w:rPr>
        <w:instrText xml:space="preserve"> PAGEREF _Toc12877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53BEA163">
      <w:pPr>
        <w:pStyle w:val="18"/>
        <w:tabs>
          <w:tab w:val="right" w:leader="dot" w:pos="9127"/>
        </w:tabs>
        <w:rPr>
          <w:color w:val="auto"/>
          <w:highlight w:val="none"/>
        </w:rPr>
      </w:pPr>
      <w:r>
        <w:rPr>
          <w:color w:val="auto"/>
          <w:highlight w:val="none"/>
        </w:rPr>
        <w:fldChar w:fldCharType="begin"/>
      </w:r>
      <w:r>
        <w:rPr>
          <w:color w:val="auto"/>
          <w:highlight w:val="none"/>
        </w:rPr>
        <w:instrText xml:space="preserve"> HYPERLINK \l _Toc3095 </w:instrText>
      </w:r>
      <w:r>
        <w:rPr>
          <w:color w:val="auto"/>
          <w:highlight w:val="none"/>
        </w:rPr>
        <w:fldChar w:fldCharType="separate"/>
      </w:r>
      <w:r>
        <w:rPr>
          <w:rFonts w:hint="eastAsia" w:ascii="黑体" w:hAnsi="黑体" w:eastAsia="黑体"/>
          <w:color w:val="auto"/>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_Toc3095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21B43C5C">
      <w:pPr>
        <w:pStyle w:val="18"/>
        <w:tabs>
          <w:tab w:val="right" w:leader="dot" w:pos="9127"/>
        </w:tabs>
        <w:rPr>
          <w:color w:val="auto"/>
          <w:highlight w:val="none"/>
        </w:rPr>
      </w:pPr>
      <w:r>
        <w:rPr>
          <w:color w:val="auto"/>
          <w:highlight w:val="none"/>
        </w:rPr>
        <w:fldChar w:fldCharType="begin"/>
      </w:r>
      <w:r>
        <w:rPr>
          <w:color w:val="auto"/>
          <w:highlight w:val="none"/>
        </w:rPr>
        <w:instrText xml:space="preserve"> HYPERLINK \l _Toc32518 </w:instrText>
      </w:r>
      <w:r>
        <w:rPr>
          <w:color w:val="auto"/>
          <w:highlight w:val="none"/>
        </w:rPr>
        <w:fldChar w:fldCharType="separate"/>
      </w:r>
      <w:r>
        <w:rPr>
          <w:rFonts w:hint="eastAsia" w:ascii="宋体" w:hAnsi="宋体" w:eastAsia="宋体" w:cs="宋体"/>
          <w:color w:val="auto"/>
          <w:highlight w:val="none"/>
        </w:rPr>
        <w:t>1　总则</w:t>
      </w:r>
      <w:r>
        <w:rPr>
          <w:color w:val="auto"/>
          <w:highlight w:val="none"/>
        </w:rPr>
        <w:tab/>
      </w:r>
      <w:r>
        <w:rPr>
          <w:color w:val="auto"/>
          <w:highlight w:val="none"/>
        </w:rPr>
        <w:fldChar w:fldCharType="begin"/>
      </w:r>
      <w:r>
        <w:rPr>
          <w:color w:val="auto"/>
          <w:highlight w:val="none"/>
        </w:rPr>
        <w:instrText xml:space="preserve"> PAGEREF _Toc32518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6811B29D">
      <w:pPr>
        <w:pStyle w:val="18"/>
        <w:tabs>
          <w:tab w:val="right" w:leader="dot" w:pos="9127"/>
        </w:tabs>
        <w:rPr>
          <w:color w:val="auto"/>
          <w:highlight w:val="none"/>
        </w:rPr>
      </w:pPr>
      <w:r>
        <w:rPr>
          <w:color w:val="auto"/>
          <w:highlight w:val="none"/>
        </w:rPr>
        <w:fldChar w:fldCharType="begin"/>
      </w:r>
      <w:r>
        <w:rPr>
          <w:color w:val="auto"/>
          <w:highlight w:val="none"/>
        </w:rPr>
        <w:instrText xml:space="preserve"> HYPERLINK \l _Toc15693 </w:instrText>
      </w:r>
      <w:r>
        <w:rPr>
          <w:color w:val="auto"/>
          <w:highlight w:val="none"/>
        </w:rPr>
        <w:fldChar w:fldCharType="separate"/>
      </w:r>
      <w:r>
        <w:rPr>
          <w:rFonts w:hint="eastAsia" w:ascii="宋体" w:hAnsi="宋体" w:eastAsia="宋体" w:cs="宋体"/>
          <w:color w:val="auto"/>
          <w:highlight w:val="none"/>
        </w:rPr>
        <w:t>2　招标文件</w:t>
      </w:r>
      <w:r>
        <w:rPr>
          <w:color w:val="auto"/>
          <w:highlight w:val="none"/>
        </w:rPr>
        <w:tab/>
      </w:r>
      <w:r>
        <w:rPr>
          <w:color w:val="auto"/>
          <w:highlight w:val="none"/>
        </w:rPr>
        <w:fldChar w:fldCharType="begin"/>
      </w:r>
      <w:r>
        <w:rPr>
          <w:color w:val="auto"/>
          <w:highlight w:val="none"/>
        </w:rPr>
        <w:instrText xml:space="preserve"> PAGEREF _Toc15693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79EB3D08">
      <w:pPr>
        <w:pStyle w:val="18"/>
        <w:tabs>
          <w:tab w:val="right" w:leader="dot" w:pos="9127"/>
        </w:tabs>
        <w:rPr>
          <w:color w:val="auto"/>
          <w:highlight w:val="none"/>
        </w:rPr>
      </w:pPr>
      <w:r>
        <w:rPr>
          <w:color w:val="auto"/>
          <w:highlight w:val="none"/>
        </w:rPr>
        <w:fldChar w:fldCharType="begin"/>
      </w:r>
      <w:r>
        <w:rPr>
          <w:color w:val="auto"/>
          <w:highlight w:val="none"/>
        </w:rPr>
        <w:instrText xml:space="preserve"> HYPERLINK \l _Toc17802 </w:instrText>
      </w:r>
      <w:r>
        <w:rPr>
          <w:color w:val="auto"/>
          <w:highlight w:val="none"/>
        </w:rPr>
        <w:fldChar w:fldCharType="separate"/>
      </w:r>
      <w:r>
        <w:rPr>
          <w:rFonts w:hint="eastAsia" w:ascii="宋体" w:hAnsi="宋体" w:eastAsia="宋体" w:cs="宋体"/>
          <w:color w:val="auto"/>
          <w:highlight w:val="none"/>
        </w:rPr>
        <w:t>3　投标文件</w:t>
      </w:r>
      <w:r>
        <w:rPr>
          <w:color w:val="auto"/>
          <w:highlight w:val="none"/>
        </w:rPr>
        <w:tab/>
      </w:r>
      <w:r>
        <w:rPr>
          <w:color w:val="auto"/>
          <w:highlight w:val="none"/>
        </w:rPr>
        <w:fldChar w:fldCharType="begin"/>
      </w:r>
      <w:r>
        <w:rPr>
          <w:color w:val="auto"/>
          <w:highlight w:val="none"/>
        </w:rPr>
        <w:instrText xml:space="preserve"> PAGEREF _Toc17802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55E657BD">
      <w:pPr>
        <w:pStyle w:val="18"/>
        <w:tabs>
          <w:tab w:val="right" w:leader="dot" w:pos="9127"/>
        </w:tabs>
        <w:rPr>
          <w:color w:val="auto"/>
          <w:highlight w:val="none"/>
        </w:rPr>
      </w:pPr>
      <w:r>
        <w:rPr>
          <w:color w:val="auto"/>
          <w:highlight w:val="none"/>
        </w:rPr>
        <w:fldChar w:fldCharType="begin"/>
      </w:r>
      <w:r>
        <w:rPr>
          <w:color w:val="auto"/>
          <w:highlight w:val="none"/>
        </w:rPr>
        <w:instrText xml:space="preserve"> HYPERLINK \l _Toc7227 </w:instrText>
      </w:r>
      <w:r>
        <w:rPr>
          <w:color w:val="auto"/>
          <w:highlight w:val="none"/>
        </w:rPr>
        <w:fldChar w:fldCharType="separate"/>
      </w:r>
      <w:r>
        <w:rPr>
          <w:rFonts w:hint="eastAsia" w:ascii="宋体" w:hAnsi="宋体" w:eastAsia="宋体" w:cs="宋体"/>
          <w:i w:val="0"/>
          <w:iCs w:val="0"/>
          <w:color w:val="auto"/>
          <w:highlight w:val="none"/>
        </w:rPr>
        <w:t>4　投标</w:t>
      </w:r>
      <w:r>
        <w:rPr>
          <w:color w:val="auto"/>
          <w:highlight w:val="none"/>
        </w:rPr>
        <w:tab/>
      </w:r>
      <w:r>
        <w:rPr>
          <w:color w:val="auto"/>
          <w:highlight w:val="none"/>
        </w:rPr>
        <w:fldChar w:fldCharType="begin"/>
      </w:r>
      <w:r>
        <w:rPr>
          <w:color w:val="auto"/>
          <w:highlight w:val="none"/>
        </w:rPr>
        <w:instrText xml:space="preserve"> PAGEREF _Toc7227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13A12560">
      <w:pPr>
        <w:pStyle w:val="18"/>
        <w:tabs>
          <w:tab w:val="right" w:leader="dot" w:pos="9127"/>
        </w:tabs>
        <w:rPr>
          <w:color w:val="auto"/>
          <w:highlight w:val="none"/>
        </w:rPr>
      </w:pPr>
      <w:r>
        <w:rPr>
          <w:color w:val="auto"/>
          <w:highlight w:val="none"/>
        </w:rPr>
        <w:fldChar w:fldCharType="begin"/>
      </w:r>
      <w:r>
        <w:rPr>
          <w:color w:val="auto"/>
          <w:highlight w:val="none"/>
        </w:rPr>
        <w:instrText xml:space="preserve"> HYPERLINK \l _Toc29287 </w:instrText>
      </w:r>
      <w:r>
        <w:rPr>
          <w:color w:val="auto"/>
          <w:highlight w:val="none"/>
        </w:rPr>
        <w:fldChar w:fldCharType="separate"/>
      </w:r>
      <w:r>
        <w:rPr>
          <w:rFonts w:hint="eastAsia" w:ascii="宋体" w:hAnsi="宋体" w:eastAsia="宋体" w:cs="宋体"/>
          <w:color w:val="auto"/>
          <w:highlight w:val="none"/>
        </w:rPr>
        <w:t>5　开标</w:t>
      </w:r>
      <w:r>
        <w:rPr>
          <w:color w:val="auto"/>
          <w:highlight w:val="none"/>
        </w:rPr>
        <w:tab/>
      </w:r>
      <w:r>
        <w:rPr>
          <w:color w:val="auto"/>
          <w:highlight w:val="none"/>
        </w:rPr>
        <w:fldChar w:fldCharType="begin"/>
      </w:r>
      <w:r>
        <w:rPr>
          <w:color w:val="auto"/>
          <w:highlight w:val="none"/>
        </w:rPr>
        <w:instrText xml:space="preserve"> PAGEREF _Toc29287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6A4E1AE5">
      <w:pPr>
        <w:pStyle w:val="18"/>
        <w:tabs>
          <w:tab w:val="right" w:leader="dot" w:pos="9127"/>
        </w:tabs>
        <w:rPr>
          <w:color w:val="auto"/>
          <w:highlight w:val="none"/>
        </w:rPr>
      </w:pPr>
      <w:r>
        <w:rPr>
          <w:color w:val="auto"/>
          <w:highlight w:val="none"/>
        </w:rPr>
        <w:fldChar w:fldCharType="begin"/>
      </w:r>
      <w:r>
        <w:rPr>
          <w:color w:val="auto"/>
          <w:highlight w:val="none"/>
        </w:rPr>
        <w:instrText xml:space="preserve"> HYPERLINK \l _Toc17560 </w:instrText>
      </w:r>
      <w:r>
        <w:rPr>
          <w:color w:val="auto"/>
          <w:highlight w:val="none"/>
        </w:rPr>
        <w:fldChar w:fldCharType="separate"/>
      </w:r>
      <w:r>
        <w:rPr>
          <w:rFonts w:hint="eastAsia" w:ascii="宋体" w:hAnsi="宋体" w:eastAsia="宋体" w:cs="宋体"/>
          <w:color w:val="auto"/>
          <w:highlight w:val="none"/>
        </w:rPr>
        <w:t>6　评标</w:t>
      </w:r>
      <w:r>
        <w:rPr>
          <w:color w:val="auto"/>
          <w:highlight w:val="none"/>
        </w:rPr>
        <w:tab/>
      </w:r>
      <w:r>
        <w:rPr>
          <w:color w:val="auto"/>
          <w:highlight w:val="none"/>
        </w:rPr>
        <w:fldChar w:fldCharType="begin"/>
      </w:r>
      <w:r>
        <w:rPr>
          <w:color w:val="auto"/>
          <w:highlight w:val="none"/>
        </w:rPr>
        <w:instrText xml:space="preserve"> PAGEREF _Toc17560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13A21081">
      <w:pPr>
        <w:pStyle w:val="18"/>
        <w:tabs>
          <w:tab w:val="right" w:leader="dot" w:pos="9127"/>
        </w:tabs>
        <w:rPr>
          <w:color w:val="auto"/>
          <w:highlight w:val="none"/>
        </w:rPr>
      </w:pPr>
      <w:r>
        <w:rPr>
          <w:color w:val="auto"/>
          <w:highlight w:val="none"/>
        </w:rPr>
        <w:fldChar w:fldCharType="begin"/>
      </w:r>
      <w:r>
        <w:rPr>
          <w:color w:val="auto"/>
          <w:highlight w:val="none"/>
        </w:rPr>
        <w:instrText xml:space="preserve"> HYPERLINK \l _Toc25018 </w:instrText>
      </w:r>
      <w:r>
        <w:rPr>
          <w:color w:val="auto"/>
          <w:highlight w:val="none"/>
        </w:rPr>
        <w:fldChar w:fldCharType="separate"/>
      </w:r>
      <w:r>
        <w:rPr>
          <w:rFonts w:hint="eastAsia" w:ascii="宋体" w:hAnsi="宋体" w:eastAsia="宋体" w:cs="宋体"/>
          <w:color w:val="auto"/>
          <w:highlight w:val="none"/>
        </w:rPr>
        <w:t>7　合同授予</w:t>
      </w:r>
      <w:r>
        <w:rPr>
          <w:color w:val="auto"/>
          <w:highlight w:val="none"/>
        </w:rPr>
        <w:tab/>
      </w:r>
      <w:r>
        <w:rPr>
          <w:color w:val="auto"/>
          <w:highlight w:val="none"/>
        </w:rPr>
        <w:fldChar w:fldCharType="begin"/>
      </w:r>
      <w:r>
        <w:rPr>
          <w:color w:val="auto"/>
          <w:highlight w:val="none"/>
        </w:rPr>
        <w:instrText xml:space="preserve"> PAGEREF _Toc25018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6D36DC66">
      <w:pPr>
        <w:pStyle w:val="18"/>
        <w:tabs>
          <w:tab w:val="right" w:leader="dot" w:pos="9127"/>
        </w:tabs>
        <w:rPr>
          <w:color w:val="auto"/>
          <w:highlight w:val="none"/>
        </w:rPr>
      </w:pPr>
      <w:r>
        <w:rPr>
          <w:color w:val="auto"/>
          <w:highlight w:val="none"/>
        </w:rPr>
        <w:fldChar w:fldCharType="begin"/>
      </w:r>
      <w:r>
        <w:rPr>
          <w:color w:val="auto"/>
          <w:highlight w:val="none"/>
        </w:rPr>
        <w:instrText xml:space="preserve"> HYPERLINK \l _Toc29808 </w:instrText>
      </w:r>
      <w:r>
        <w:rPr>
          <w:color w:val="auto"/>
          <w:highlight w:val="none"/>
        </w:rPr>
        <w:fldChar w:fldCharType="separate"/>
      </w:r>
      <w:r>
        <w:rPr>
          <w:rFonts w:hint="eastAsia" w:ascii="宋体" w:hAnsi="宋体" w:eastAsia="宋体" w:cs="宋体"/>
          <w:color w:val="auto"/>
          <w:highlight w:val="none"/>
        </w:rPr>
        <w:t>8　重新招标和不再招标</w:t>
      </w:r>
      <w:r>
        <w:rPr>
          <w:color w:val="auto"/>
          <w:highlight w:val="none"/>
        </w:rPr>
        <w:tab/>
      </w:r>
      <w:r>
        <w:rPr>
          <w:color w:val="auto"/>
          <w:highlight w:val="none"/>
        </w:rPr>
        <w:fldChar w:fldCharType="begin"/>
      </w:r>
      <w:r>
        <w:rPr>
          <w:color w:val="auto"/>
          <w:highlight w:val="none"/>
        </w:rPr>
        <w:instrText xml:space="preserve"> PAGEREF _Toc29808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0F4446F5">
      <w:pPr>
        <w:pStyle w:val="18"/>
        <w:tabs>
          <w:tab w:val="right" w:leader="dot" w:pos="9127"/>
        </w:tabs>
        <w:rPr>
          <w:color w:val="auto"/>
          <w:highlight w:val="none"/>
        </w:rPr>
      </w:pPr>
      <w:r>
        <w:rPr>
          <w:color w:val="auto"/>
          <w:highlight w:val="none"/>
        </w:rPr>
        <w:fldChar w:fldCharType="begin"/>
      </w:r>
      <w:r>
        <w:rPr>
          <w:color w:val="auto"/>
          <w:highlight w:val="none"/>
        </w:rPr>
        <w:instrText xml:space="preserve"> HYPERLINK \l _Toc31975 </w:instrText>
      </w:r>
      <w:r>
        <w:rPr>
          <w:color w:val="auto"/>
          <w:highlight w:val="none"/>
        </w:rPr>
        <w:fldChar w:fldCharType="separate"/>
      </w:r>
      <w:r>
        <w:rPr>
          <w:rFonts w:hint="eastAsia" w:ascii="宋体" w:hAnsi="宋体" w:eastAsia="宋体" w:cs="宋体"/>
          <w:color w:val="auto"/>
          <w:highlight w:val="none"/>
        </w:rPr>
        <w:t>9　纪律和监督</w:t>
      </w:r>
      <w:r>
        <w:rPr>
          <w:color w:val="auto"/>
          <w:highlight w:val="none"/>
        </w:rPr>
        <w:tab/>
      </w:r>
      <w:r>
        <w:rPr>
          <w:color w:val="auto"/>
          <w:highlight w:val="none"/>
        </w:rPr>
        <w:fldChar w:fldCharType="begin"/>
      </w:r>
      <w:r>
        <w:rPr>
          <w:color w:val="auto"/>
          <w:highlight w:val="none"/>
        </w:rPr>
        <w:instrText xml:space="preserve"> PAGEREF _Toc31975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4AB0E8D4">
      <w:pPr>
        <w:pStyle w:val="18"/>
        <w:tabs>
          <w:tab w:val="right" w:leader="dot" w:pos="9127"/>
        </w:tabs>
        <w:rPr>
          <w:color w:val="auto"/>
          <w:highlight w:val="none"/>
        </w:rPr>
      </w:pPr>
      <w:r>
        <w:rPr>
          <w:color w:val="auto"/>
          <w:highlight w:val="none"/>
        </w:rPr>
        <w:fldChar w:fldCharType="begin"/>
      </w:r>
      <w:r>
        <w:rPr>
          <w:color w:val="auto"/>
          <w:highlight w:val="none"/>
        </w:rPr>
        <w:instrText xml:space="preserve"> HYPERLINK \l _Toc14300 </w:instrText>
      </w:r>
      <w:r>
        <w:rPr>
          <w:color w:val="auto"/>
          <w:highlight w:val="none"/>
        </w:rPr>
        <w:fldChar w:fldCharType="separate"/>
      </w:r>
      <w:r>
        <w:rPr>
          <w:rFonts w:hint="eastAsia" w:ascii="宋体" w:hAnsi="宋体" w:eastAsia="宋体" w:cs="宋体"/>
          <w:color w:val="auto"/>
          <w:highlight w:val="none"/>
        </w:rPr>
        <w:t>10　需要补充的其它内容</w:t>
      </w:r>
      <w:r>
        <w:rPr>
          <w:color w:val="auto"/>
          <w:highlight w:val="none"/>
        </w:rPr>
        <w:tab/>
      </w:r>
      <w:r>
        <w:rPr>
          <w:color w:val="auto"/>
          <w:highlight w:val="none"/>
        </w:rPr>
        <w:fldChar w:fldCharType="begin"/>
      </w:r>
      <w:r>
        <w:rPr>
          <w:color w:val="auto"/>
          <w:highlight w:val="none"/>
        </w:rPr>
        <w:instrText xml:space="preserve"> PAGEREF _Toc14300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2D9D01D0">
      <w:pPr>
        <w:pStyle w:val="16"/>
        <w:tabs>
          <w:tab w:val="right" w:leader="dot" w:pos="9127"/>
        </w:tabs>
        <w:rPr>
          <w:color w:val="auto"/>
          <w:highlight w:val="none"/>
        </w:rPr>
      </w:pPr>
      <w:r>
        <w:rPr>
          <w:color w:val="auto"/>
          <w:highlight w:val="none"/>
        </w:rPr>
        <w:fldChar w:fldCharType="begin"/>
      </w:r>
      <w:r>
        <w:rPr>
          <w:color w:val="auto"/>
          <w:highlight w:val="none"/>
        </w:rPr>
        <w:instrText xml:space="preserve"> HYPERLINK \l _Toc21727 </w:instrText>
      </w:r>
      <w:r>
        <w:rPr>
          <w:color w:val="auto"/>
          <w:highlight w:val="none"/>
        </w:rPr>
        <w:fldChar w:fldCharType="separate"/>
      </w:r>
      <w:r>
        <w:rPr>
          <w:rFonts w:hAnsi="黑体" w:eastAsia="黑体"/>
          <w:color w:val="auto"/>
          <w:szCs w:val="32"/>
          <w:highlight w:val="none"/>
        </w:rPr>
        <w:t>第</w:t>
      </w:r>
      <w:r>
        <w:rPr>
          <w:rFonts w:eastAsia="黑体"/>
          <w:color w:val="auto"/>
          <w:szCs w:val="32"/>
          <w:highlight w:val="none"/>
        </w:rPr>
        <w:t>3</w:t>
      </w:r>
      <w:r>
        <w:rPr>
          <w:rFonts w:hAnsi="黑体" w:eastAsia="黑体"/>
          <w:color w:val="auto"/>
          <w:szCs w:val="32"/>
          <w:highlight w:val="none"/>
        </w:rPr>
        <w:t>章　评标办法</w:t>
      </w:r>
      <w:r>
        <w:rPr>
          <w:rFonts w:hint="eastAsia" w:eastAsia="黑体"/>
          <w:color w:val="auto"/>
          <w:szCs w:val="32"/>
          <w:highlight w:val="none"/>
          <w:lang w:eastAsia="zh-CN"/>
        </w:rPr>
        <w:t>（</w:t>
      </w:r>
      <w:r>
        <w:rPr>
          <w:rFonts w:hAnsi="黑体" w:eastAsia="黑体"/>
          <w:color w:val="auto"/>
          <w:szCs w:val="32"/>
          <w:highlight w:val="none"/>
        </w:rPr>
        <w:t>综合评估法</w:t>
      </w:r>
      <w:r>
        <w:rPr>
          <w:rFonts w:hint="eastAsia" w:eastAsia="黑体"/>
          <w:color w:val="auto"/>
          <w:szCs w:val="32"/>
          <w:highlight w:val="none"/>
          <w:lang w:eastAsia="zh-CN"/>
        </w:rPr>
        <w:t>）</w:t>
      </w:r>
      <w:r>
        <w:rPr>
          <w:color w:val="auto"/>
          <w:highlight w:val="none"/>
        </w:rPr>
        <w:tab/>
      </w:r>
      <w:r>
        <w:rPr>
          <w:color w:val="auto"/>
          <w:highlight w:val="none"/>
        </w:rPr>
        <w:fldChar w:fldCharType="begin"/>
      </w:r>
      <w:r>
        <w:rPr>
          <w:color w:val="auto"/>
          <w:highlight w:val="none"/>
        </w:rPr>
        <w:instrText xml:space="preserve"> PAGEREF _Toc21727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511AD679">
      <w:pPr>
        <w:pStyle w:val="18"/>
        <w:tabs>
          <w:tab w:val="right" w:leader="dot" w:pos="9127"/>
        </w:tabs>
        <w:rPr>
          <w:color w:val="auto"/>
          <w:highlight w:val="none"/>
        </w:rPr>
      </w:pPr>
      <w:r>
        <w:rPr>
          <w:color w:val="auto"/>
          <w:highlight w:val="none"/>
        </w:rPr>
        <w:fldChar w:fldCharType="begin"/>
      </w:r>
      <w:r>
        <w:rPr>
          <w:color w:val="auto"/>
          <w:highlight w:val="none"/>
        </w:rPr>
        <w:instrText xml:space="preserve"> HYPERLINK \l _Toc8951 </w:instrText>
      </w:r>
      <w:r>
        <w:rPr>
          <w:color w:val="auto"/>
          <w:highlight w:val="none"/>
        </w:rPr>
        <w:fldChar w:fldCharType="separate"/>
      </w:r>
      <w:r>
        <w:rPr>
          <w:rFonts w:hint="eastAsia"/>
          <w:color w:val="auto"/>
          <w:highlight w:val="none"/>
        </w:rPr>
        <w:t>1　评标方法</w:t>
      </w:r>
      <w:r>
        <w:rPr>
          <w:color w:val="auto"/>
          <w:highlight w:val="none"/>
        </w:rPr>
        <w:tab/>
      </w:r>
      <w:r>
        <w:rPr>
          <w:color w:val="auto"/>
          <w:highlight w:val="none"/>
        </w:rPr>
        <w:fldChar w:fldCharType="begin"/>
      </w:r>
      <w:r>
        <w:rPr>
          <w:color w:val="auto"/>
          <w:highlight w:val="none"/>
        </w:rPr>
        <w:instrText xml:space="preserve"> PAGEREF _Toc8951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6BEEAC58">
      <w:pPr>
        <w:pStyle w:val="18"/>
        <w:tabs>
          <w:tab w:val="right" w:leader="dot" w:pos="9127"/>
        </w:tabs>
        <w:rPr>
          <w:color w:val="auto"/>
          <w:highlight w:val="none"/>
        </w:rPr>
      </w:pPr>
      <w:r>
        <w:rPr>
          <w:color w:val="auto"/>
          <w:highlight w:val="none"/>
        </w:rPr>
        <w:fldChar w:fldCharType="begin"/>
      </w:r>
      <w:r>
        <w:rPr>
          <w:color w:val="auto"/>
          <w:highlight w:val="none"/>
        </w:rPr>
        <w:instrText xml:space="preserve"> HYPERLINK \l _Toc12457 </w:instrText>
      </w:r>
      <w:r>
        <w:rPr>
          <w:color w:val="auto"/>
          <w:highlight w:val="none"/>
        </w:rPr>
        <w:fldChar w:fldCharType="separate"/>
      </w:r>
      <w:r>
        <w:rPr>
          <w:rFonts w:hint="eastAsia"/>
          <w:color w:val="auto"/>
          <w:highlight w:val="none"/>
        </w:rPr>
        <w:t>2　评审标准</w:t>
      </w:r>
      <w:r>
        <w:rPr>
          <w:color w:val="auto"/>
          <w:highlight w:val="none"/>
        </w:rPr>
        <w:tab/>
      </w:r>
      <w:r>
        <w:rPr>
          <w:color w:val="auto"/>
          <w:highlight w:val="none"/>
        </w:rPr>
        <w:fldChar w:fldCharType="begin"/>
      </w:r>
      <w:r>
        <w:rPr>
          <w:color w:val="auto"/>
          <w:highlight w:val="none"/>
        </w:rPr>
        <w:instrText xml:space="preserve"> PAGEREF _Toc12457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63B6C3C6">
      <w:pPr>
        <w:pStyle w:val="18"/>
        <w:tabs>
          <w:tab w:val="right" w:leader="dot" w:pos="9127"/>
        </w:tabs>
        <w:rPr>
          <w:color w:val="auto"/>
          <w:highlight w:val="none"/>
        </w:rPr>
      </w:pPr>
      <w:r>
        <w:rPr>
          <w:color w:val="auto"/>
          <w:highlight w:val="none"/>
        </w:rPr>
        <w:fldChar w:fldCharType="begin"/>
      </w:r>
      <w:r>
        <w:rPr>
          <w:color w:val="auto"/>
          <w:highlight w:val="none"/>
        </w:rPr>
        <w:instrText xml:space="preserve"> HYPERLINK \l _Toc24823 </w:instrText>
      </w:r>
      <w:r>
        <w:rPr>
          <w:color w:val="auto"/>
          <w:highlight w:val="none"/>
        </w:rPr>
        <w:fldChar w:fldCharType="separate"/>
      </w:r>
      <w:r>
        <w:rPr>
          <w:rFonts w:hint="eastAsia"/>
          <w:color w:val="auto"/>
          <w:highlight w:val="none"/>
        </w:rPr>
        <w:t>3　评标程序</w:t>
      </w:r>
      <w:r>
        <w:rPr>
          <w:color w:val="auto"/>
          <w:highlight w:val="none"/>
        </w:rPr>
        <w:tab/>
      </w:r>
      <w:r>
        <w:rPr>
          <w:color w:val="auto"/>
          <w:highlight w:val="none"/>
        </w:rPr>
        <w:fldChar w:fldCharType="begin"/>
      </w:r>
      <w:r>
        <w:rPr>
          <w:color w:val="auto"/>
          <w:highlight w:val="none"/>
        </w:rPr>
        <w:instrText xml:space="preserve"> PAGEREF _Toc24823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557FEF04">
      <w:pPr>
        <w:pStyle w:val="16"/>
        <w:tabs>
          <w:tab w:val="right" w:leader="dot" w:pos="9127"/>
        </w:tabs>
        <w:rPr>
          <w:color w:val="auto"/>
          <w:highlight w:val="none"/>
        </w:rPr>
      </w:pPr>
      <w:r>
        <w:rPr>
          <w:color w:val="auto"/>
          <w:highlight w:val="none"/>
        </w:rPr>
        <w:fldChar w:fldCharType="begin"/>
      </w:r>
      <w:r>
        <w:rPr>
          <w:color w:val="auto"/>
          <w:highlight w:val="none"/>
        </w:rPr>
        <w:instrText xml:space="preserve"> HYPERLINK \l _Toc21269 </w:instrText>
      </w:r>
      <w:r>
        <w:rPr>
          <w:color w:val="auto"/>
          <w:highlight w:val="none"/>
        </w:rPr>
        <w:fldChar w:fldCharType="separate"/>
      </w:r>
      <w:r>
        <w:rPr>
          <w:rFonts w:hint="eastAsia" w:hAnsi="黑体" w:eastAsia="黑体"/>
          <w:color w:val="auto"/>
          <w:szCs w:val="32"/>
          <w:highlight w:val="none"/>
        </w:rPr>
        <w:t>第4章　合同条款及格式</w:t>
      </w:r>
      <w:r>
        <w:rPr>
          <w:color w:val="auto"/>
          <w:highlight w:val="none"/>
        </w:rPr>
        <w:tab/>
      </w:r>
      <w:r>
        <w:rPr>
          <w:color w:val="auto"/>
          <w:highlight w:val="none"/>
        </w:rPr>
        <w:fldChar w:fldCharType="begin"/>
      </w:r>
      <w:r>
        <w:rPr>
          <w:color w:val="auto"/>
          <w:highlight w:val="none"/>
        </w:rPr>
        <w:instrText xml:space="preserve"> PAGEREF _Toc21269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11DFBBC5">
      <w:pPr>
        <w:pStyle w:val="18"/>
        <w:tabs>
          <w:tab w:val="right" w:leader="dot" w:pos="9127"/>
        </w:tabs>
        <w:rPr>
          <w:color w:val="auto"/>
          <w:highlight w:val="none"/>
        </w:rPr>
      </w:pPr>
      <w:r>
        <w:rPr>
          <w:color w:val="auto"/>
          <w:highlight w:val="none"/>
        </w:rPr>
        <w:fldChar w:fldCharType="begin"/>
      </w:r>
      <w:r>
        <w:rPr>
          <w:color w:val="auto"/>
          <w:highlight w:val="none"/>
        </w:rPr>
        <w:instrText xml:space="preserve"> HYPERLINK \l _Toc30202 </w:instrText>
      </w:r>
      <w:r>
        <w:rPr>
          <w:color w:val="auto"/>
          <w:highlight w:val="none"/>
        </w:rPr>
        <w:fldChar w:fldCharType="separate"/>
      </w:r>
      <w:r>
        <w:rPr>
          <w:rFonts w:hint="eastAsia"/>
          <w:color w:val="auto"/>
          <w:highlight w:val="none"/>
        </w:rPr>
        <w:t xml:space="preserve">第一节 </w:t>
      </w:r>
      <w:r>
        <w:rPr>
          <w:rFonts w:hint="eastAsia" w:ascii="黑体" w:eastAsia="黑体"/>
          <w:color w:val="auto"/>
          <w:szCs w:val="28"/>
          <w:highlight w:val="none"/>
        </w:rPr>
        <w:t>通用合同条款</w:t>
      </w:r>
      <w:r>
        <w:rPr>
          <w:color w:val="auto"/>
          <w:highlight w:val="none"/>
        </w:rPr>
        <w:tab/>
      </w:r>
      <w:r>
        <w:rPr>
          <w:color w:val="auto"/>
          <w:highlight w:val="none"/>
        </w:rPr>
        <w:fldChar w:fldCharType="begin"/>
      </w:r>
      <w:r>
        <w:rPr>
          <w:color w:val="auto"/>
          <w:highlight w:val="none"/>
        </w:rPr>
        <w:instrText xml:space="preserve"> PAGEREF _Toc30202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0971354C">
      <w:pPr>
        <w:pStyle w:val="18"/>
        <w:tabs>
          <w:tab w:val="right" w:leader="dot" w:pos="9127"/>
        </w:tabs>
        <w:rPr>
          <w:color w:val="auto"/>
          <w:highlight w:val="none"/>
        </w:rPr>
      </w:pPr>
      <w:r>
        <w:rPr>
          <w:color w:val="auto"/>
          <w:highlight w:val="none"/>
        </w:rPr>
        <w:fldChar w:fldCharType="begin"/>
      </w:r>
      <w:r>
        <w:rPr>
          <w:color w:val="auto"/>
          <w:highlight w:val="none"/>
        </w:rPr>
        <w:instrText xml:space="preserve"> HYPERLINK \l _Toc19556 </w:instrText>
      </w:r>
      <w:r>
        <w:rPr>
          <w:color w:val="auto"/>
          <w:highlight w:val="none"/>
        </w:rPr>
        <w:fldChar w:fldCharType="separate"/>
      </w:r>
      <w:r>
        <w:rPr>
          <w:rFonts w:hint="eastAsia"/>
          <w:color w:val="auto"/>
          <w:highlight w:val="none"/>
        </w:rPr>
        <w:t>第二节  专用合同条款</w:t>
      </w:r>
      <w:r>
        <w:rPr>
          <w:color w:val="auto"/>
          <w:highlight w:val="none"/>
        </w:rPr>
        <w:tab/>
      </w:r>
      <w:r>
        <w:rPr>
          <w:color w:val="auto"/>
          <w:highlight w:val="none"/>
        </w:rPr>
        <w:fldChar w:fldCharType="begin"/>
      </w:r>
      <w:r>
        <w:rPr>
          <w:color w:val="auto"/>
          <w:highlight w:val="none"/>
        </w:rPr>
        <w:instrText xml:space="preserve"> PAGEREF _Toc19556 \h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p>
    <w:p w14:paraId="7E042225">
      <w:pPr>
        <w:pStyle w:val="18"/>
        <w:tabs>
          <w:tab w:val="right" w:leader="dot" w:pos="9127"/>
        </w:tabs>
        <w:rPr>
          <w:color w:val="auto"/>
          <w:highlight w:val="none"/>
        </w:rPr>
      </w:pPr>
      <w:r>
        <w:rPr>
          <w:color w:val="auto"/>
          <w:highlight w:val="none"/>
        </w:rPr>
        <w:fldChar w:fldCharType="begin"/>
      </w:r>
      <w:r>
        <w:rPr>
          <w:color w:val="auto"/>
          <w:highlight w:val="none"/>
        </w:rPr>
        <w:instrText xml:space="preserve"> HYPERLINK \l _Toc22450 </w:instrText>
      </w:r>
      <w:r>
        <w:rPr>
          <w:color w:val="auto"/>
          <w:highlight w:val="none"/>
        </w:rPr>
        <w:fldChar w:fldCharType="separate"/>
      </w:r>
      <w:r>
        <w:rPr>
          <w:rFonts w:hint="eastAsia"/>
          <w:color w:val="auto"/>
          <w:highlight w:val="none"/>
        </w:rPr>
        <w:t>第三节  合同附件格式</w:t>
      </w:r>
      <w:r>
        <w:rPr>
          <w:color w:val="auto"/>
          <w:highlight w:val="none"/>
        </w:rPr>
        <w:tab/>
      </w:r>
      <w:r>
        <w:rPr>
          <w:color w:val="auto"/>
          <w:highlight w:val="none"/>
        </w:rPr>
        <w:fldChar w:fldCharType="begin"/>
      </w:r>
      <w:r>
        <w:rPr>
          <w:color w:val="auto"/>
          <w:highlight w:val="none"/>
        </w:rPr>
        <w:instrText xml:space="preserve"> PAGEREF _Toc22450 \h </w:instrText>
      </w:r>
      <w:r>
        <w:rPr>
          <w:color w:val="auto"/>
          <w:highlight w:val="none"/>
        </w:rPr>
        <w:fldChar w:fldCharType="separate"/>
      </w:r>
      <w:r>
        <w:rPr>
          <w:color w:val="auto"/>
          <w:highlight w:val="none"/>
        </w:rPr>
        <w:t>66</w:t>
      </w:r>
      <w:r>
        <w:rPr>
          <w:color w:val="auto"/>
          <w:highlight w:val="none"/>
        </w:rPr>
        <w:fldChar w:fldCharType="end"/>
      </w:r>
      <w:r>
        <w:rPr>
          <w:color w:val="auto"/>
          <w:highlight w:val="none"/>
        </w:rPr>
        <w:fldChar w:fldCharType="end"/>
      </w:r>
    </w:p>
    <w:p w14:paraId="5F835CB0">
      <w:pPr>
        <w:pStyle w:val="16"/>
        <w:tabs>
          <w:tab w:val="right" w:leader="dot" w:pos="9127"/>
        </w:tabs>
        <w:rPr>
          <w:color w:val="auto"/>
          <w:highlight w:val="none"/>
        </w:rPr>
      </w:pPr>
      <w:r>
        <w:rPr>
          <w:color w:val="auto"/>
          <w:highlight w:val="none"/>
        </w:rPr>
        <w:fldChar w:fldCharType="begin"/>
      </w:r>
      <w:r>
        <w:rPr>
          <w:color w:val="auto"/>
          <w:highlight w:val="none"/>
        </w:rPr>
        <w:instrText xml:space="preserve"> HYPERLINK \l _Toc10794 </w:instrText>
      </w:r>
      <w:r>
        <w:rPr>
          <w:color w:val="auto"/>
          <w:highlight w:val="none"/>
        </w:rPr>
        <w:fldChar w:fldCharType="separate"/>
      </w:r>
      <w:r>
        <w:rPr>
          <w:rFonts w:hint="eastAsia" w:ascii="Times New Roman" w:hAnsi="黑体" w:eastAsia="黑体" w:cs="Times New Roman"/>
          <w:color w:val="auto"/>
          <w:szCs w:val="32"/>
          <w:highlight w:val="none"/>
        </w:rPr>
        <w:t>第5章　工程量清单</w:t>
      </w:r>
      <w:r>
        <w:rPr>
          <w:color w:val="auto"/>
          <w:highlight w:val="none"/>
        </w:rPr>
        <w:tab/>
      </w:r>
      <w:r>
        <w:rPr>
          <w:color w:val="auto"/>
          <w:highlight w:val="none"/>
        </w:rPr>
        <w:fldChar w:fldCharType="begin"/>
      </w:r>
      <w:r>
        <w:rPr>
          <w:color w:val="auto"/>
          <w:highlight w:val="none"/>
        </w:rPr>
        <w:instrText xml:space="preserve"> PAGEREF _Toc10794 \h </w:instrText>
      </w:r>
      <w:r>
        <w:rPr>
          <w:color w:val="auto"/>
          <w:highlight w:val="none"/>
        </w:rPr>
        <w:fldChar w:fldCharType="separate"/>
      </w:r>
      <w:r>
        <w:rPr>
          <w:color w:val="auto"/>
          <w:highlight w:val="none"/>
        </w:rPr>
        <w:t>69</w:t>
      </w:r>
      <w:r>
        <w:rPr>
          <w:color w:val="auto"/>
          <w:highlight w:val="none"/>
        </w:rPr>
        <w:fldChar w:fldCharType="end"/>
      </w:r>
      <w:r>
        <w:rPr>
          <w:color w:val="auto"/>
          <w:highlight w:val="none"/>
        </w:rPr>
        <w:fldChar w:fldCharType="end"/>
      </w:r>
    </w:p>
    <w:p w14:paraId="137093E7">
      <w:pPr>
        <w:pStyle w:val="16"/>
        <w:tabs>
          <w:tab w:val="right" w:leader="dot" w:pos="9127"/>
        </w:tabs>
        <w:rPr>
          <w:color w:val="auto"/>
          <w:highlight w:val="none"/>
        </w:rPr>
      </w:pPr>
      <w:r>
        <w:rPr>
          <w:color w:val="auto"/>
          <w:highlight w:val="none"/>
        </w:rPr>
        <w:fldChar w:fldCharType="begin"/>
      </w:r>
      <w:r>
        <w:rPr>
          <w:color w:val="auto"/>
          <w:highlight w:val="none"/>
        </w:rPr>
        <w:instrText xml:space="preserve"> HYPERLINK \l _Toc20774 </w:instrText>
      </w:r>
      <w:r>
        <w:rPr>
          <w:color w:val="auto"/>
          <w:highlight w:val="none"/>
        </w:rPr>
        <w:fldChar w:fldCharType="separate"/>
      </w:r>
      <w:r>
        <w:rPr>
          <w:rFonts w:hint="eastAsia" w:ascii="黑体" w:hAnsi="黑体" w:eastAsia="黑体" w:cs="Times New Roman"/>
          <w:color w:val="auto"/>
          <w:szCs w:val="52"/>
          <w:highlight w:val="none"/>
        </w:rPr>
        <w:t>第二卷</w:t>
      </w:r>
      <w:r>
        <w:rPr>
          <w:color w:val="auto"/>
          <w:highlight w:val="none"/>
        </w:rPr>
        <w:tab/>
      </w:r>
      <w:r>
        <w:rPr>
          <w:color w:val="auto"/>
          <w:highlight w:val="none"/>
        </w:rPr>
        <w:fldChar w:fldCharType="begin"/>
      </w:r>
      <w:r>
        <w:rPr>
          <w:color w:val="auto"/>
          <w:highlight w:val="none"/>
        </w:rPr>
        <w:instrText xml:space="preserve"> PAGEREF _Toc20774 \h </w:instrText>
      </w:r>
      <w:r>
        <w:rPr>
          <w:color w:val="auto"/>
          <w:highlight w:val="none"/>
        </w:rPr>
        <w:fldChar w:fldCharType="separate"/>
      </w:r>
      <w:r>
        <w:rPr>
          <w:color w:val="auto"/>
          <w:highlight w:val="none"/>
        </w:rPr>
        <w:t>70</w:t>
      </w:r>
      <w:r>
        <w:rPr>
          <w:color w:val="auto"/>
          <w:highlight w:val="none"/>
        </w:rPr>
        <w:fldChar w:fldCharType="end"/>
      </w:r>
      <w:r>
        <w:rPr>
          <w:color w:val="auto"/>
          <w:highlight w:val="none"/>
        </w:rPr>
        <w:fldChar w:fldCharType="end"/>
      </w:r>
    </w:p>
    <w:p w14:paraId="7DD126DD">
      <w:pPr>
        <w:pStyle w:val="16"/>
        <w:tabs>
          <w:tab w:val="right" w:leader="dot" w:pos="9127"/>
        </w:tabs>
        <w:rPr>
          <w:color w:val="auto"/>
          <w:highlight w:val="none"/>
        </w:rPr>
      </w:pPr>
      <w:r>
        <w:rPr>
          <w:color w:val="auto"/>
          <w:highlight w:val="none"/>
        </w:rPr>
        <w:fldChar w:fldCharType="begin"/>
      </w:r>
      <w:r>
        <w:rPr>
          <w:color w:val="auto"/>
          <w:highlight w:val="none"/>
        </w:rPr>
        <w:instrText xml:space="preserve"> HYPERLINK \l _Toc3481 </w:instrText>
      </w:r>
      <w:r>
        <w:rPr>
          <w:color w:val="auto"/>
          <w:highlight w:val="none"/>
        </w:rPr>
        <w:fldChar w:fldCharType="separate"/>
      </w:r>
      <w:r>
        <w:rPr>
          <w:rFonts w:hAnsi="黑体" w:eastAsia="黑体"/>
          <w:color w:val="auto"/>
          <w:szCs w:val="32"/>
          <w:highlight w:val="none"/>
        </w:rPr>
        <w:t>第</w:t>
      </w:r>
      <w:r>
        <w:rPr>
          <w:rFonts w:eastAsia="黑体"/>
          <w:color w:val="auto"/>
          <w:szCs w:val="32"/>
          <w:highlight w:val="none"/>
        </w:rPr>
        <w:t>6</w:t>
      </w:r>
      <w:r>
        <w:rPr>
          <w:rFonts w:hAnsi="黑体" w:eastAsia="黑体"/>
          <w:color w:val="auto"/>
          <w:szCs w:val="32"/>
          <w:highlight w:val="none"/>
        </w:rPr>
        <w:t>章　图纸</w:t>
      </w:r>
      <w:r>
        <w:rPr>
          <w:rFonts w:hint="eastAsia" w:eastAsia="黑体"/>
          <w:color w:val="auto"/>
          <w:szCs w:val="32"/>
          <w:highlight w:val="none"/>
          <w:lang w:eastAsia="zh-CN"/>
        </w:rPr>
        <w:t>（</w:t>
      </w:r>
      <w:r>
        <w:rPr>
          <w:rFonts w:hAnsi="黑体" w:eastAsia="黑体"/>
          <w:color w:val="auto"/>
          <w:szCs w:val="32"/>
          <w:highlight w:val="none"/>
        </w:rPr>
        <w:t>招标图纸</w:t>
      </w:r>
      <w:r>
        <w:rPr>
          <w:rFonts w:hint="eastAsia" w:eastAsia="黑体"/>
          <w:color w:val="auto"/>
          <w:szCs w:val="32"/>
          <w:highlight w:val="none"/>
          <w:lang w:eastAsia="zh-CN"/>
        </w:rPr>
        <w:t>）</w:t>
      </w:r>
      <w:r>
        <w:rPr>
          <w:color w:val="auto"/>
          <w:highlight w:val="none"/>
        </w:rPr>
        <w:tab/>
      </w:r>
      <w:r>
        <w:rPr>
          <w:color w:val="auto"/>
          <w:highlight w:val="none"/>
        </w:rPr>
        <w:fldChar w:fldCharType="begin"/>
      </w:r>
      <w:r>
        <w:rPr>
          <w:color w:val="auto"/>
          <w:highlight w:val="none"/>
        </w:rPr>
        <w:instrText xml:space="preserve"> PAGEREF _Toc3481 \h </w:instrText>
      </w:r>
      <w:r>
        <w:rPr>
          <w:color w:val="auto"/>
          <w:highlight w:val="none"/>
        </w:rPr>
        <w:fldChar w:fldCharType="separate"/>
      </w:r>
      <w:r>
        <w:rPr>
          <w:color w:val="auto"/>
          <w:highlight w:val="none"/>
        </w:rPr>
        <w:t>71</w:t>
      </w:r>
      <w:r>
        <w:rPr>
          <w:color w:val="auto"/>
          <w:highlight w:val="none"/>
        </w:rPr>
        <w:fldChar w:fldCharType="end"/>
      </w:r>
      <w:r>
        <w:rPr>
          <w:color w:val="auto"/>
          <w:highlight w:val="none"/>
        </w:rPr>
        <w:fldChar w:fldCharType="end"/>
      </w:r>
    </w:p>
    <w:p w14:paraId="14A20AA7">
      <w:pPr>
        <w:pStyle w:val="16"/>
        <w:tabs>
          <w:tab w:val="right" w:leader="dot" w:pos="9127"/>
        </w:tabs>
        <w:rPr>
          <w:color w:val="auto"/>
          <w:highlight w:val="none"/>
        </w:rPr>
      </w:pPr>
      <w:r>
        <w:rPr>
          <w:color w:val="auto"/>
          <w:highlight w:val="none"/>
        </w:rPr>
        <w:fldChar w:fldCharType="begin"/>
      </w:r>
      <w:r>
        <w:rPr>
          <w:color w:val="auto"/>
          <w:highlight w:val="none"/>
        </w:rPr>
        <w:instrText xml:space="preserve"> HYPERLINK \l _Toc10876 </w:instrText>
      </w:r>
      <w:r>
        <w:rPr>
          <w:color w:val="auto"/>
          <w:highlight w:val="none"/>
        </w:rPr>
        <w:fldChar w:fldCharType="separate"/>
      </w:r>
      <w:r>
        <w:rPr>
          <w:rFonts w:hint="eastAsia" w:ascii="黑体" w:hAnsi="黑体" w:eastAsia="黑体" w:cs="Times New Roman"/>
          <w:color w:val="auto"/>
          <w:szCs w:val="52"/>
          <w:highlight w:val="none"/>
        </w:rPr>
        <w:t>第三卷</w:t>
      </w:r>
      <w:r>
        <w:rPr>
          <w:color w:val="auto"/>
          <w:highlight w:val="none"/>
        </w:rPr>
        <w:tab/>
      </w:r>
      <w:r>
        <w:rPr>
          <w:color w:val="auto"/>
          <w:highlight w:val="none"/>
        </w:rPr>
        <w:fldChar w:fldCharType="begin"/>
      </w:r>
      <w:r>
        <w:rPr>
          <w:color w:val="auto"/>
          <w:highlight w:val="none"/>
        </w:rPr>
        <w:instrText xml:space="preserve"> PAGEREF _Toc10876 \h </w:instrText>
      </w:r>
      <w:r>
        <w:rPr>
          <w:color w:val="auto"/>
          <w:highlight w:val="none"/>
        </w:rPr>
        <w:fldChar w:fldCharType="separate"/>
      </w:r>
      <w:r>
        <w:rPr>
          <w:color w:val="auto"/>
          <w:highlight w:val="none"/>
        </w:rPr>
        <w:t>72</w:t>
      </w:r>
      <w:r>
        <w:rPr>
          <w:color w:val="auto"/>
          <w:highlight w:val="none"/>
        </w:rPr>
        <w:fldChar w:fldCharType="end"/>
      </w:r>
      <w:r>
        <w:rPr>
          <w:color w:val="auto"/>
          <w:highlight w:val="none"/>
        </w:rPr>
        <w:fldChar w:fldCharType="end"/>
      </w:r>
    </w:p>
    <w:p w14:paraId="3F39977B">
      <w:pPr>
        <w:pStyle w:val="16"/>
        <w:tabs>
          <w:tab w:val="right" w:leader="dot" w:pos="9127"/>
        </w:tabs>
        <w:rPr>
          <w:color w:val="auto"/>
          <w:highlight w:val="none"/>
        </w:rPr>
      </w:pPr>
      <w:r>
        <w:rPr>
          <w:color w:val="auto"/>
          <w:highlight w:val="none"/>
        </w:rPr>
        <w:fldChar w:fldCharType="begin"/>
      </w:r>
      <w:r>
        <w:rPr>
          <w:color w:val="auto"/>
          <w:highlight w:val="none"/>
        </w:rPr>
        <w:instrText xml:space="preserve"> HYPERLINK \l _Toc27087 </w:instrText>
      </w:r>
      <w:r>
        <w:rPr>
          <w:color w:val="auto"/>
          <w:highlight w:val="none"/>
        </w:rPr>
        <w:fldChar w:fldCharType="separate"/>
      </w:r>
      <w:r>
        <w:rPr>
          <w:rFonts w:hAnsi="黑体" w:eastAsia="黑体"/>
          <w:color w:val="auto"/>
          <w:szCs w:val="32"/>
          <w:highlight w:val="none"/>
        </w:rPr>
        <w:t>第</w:t>
      </w:r>
      <w:r>
        <w:rPr>
          <w:rFonts w:eastAsia="黑体"/>
          <w:color w:val="auto"/>
          <w:szCs w:val="32"/>
          <w:highlight w:val="none"/>
        </w:rPr>
        <w:t>7</w:t>
      </w:r>
      <w:r>
        <w:rPr>
          <w:rFonts w:hAnsi="黑体" w:eastAsia="黑体"/>
          <w:color w:val="auto"/>
          <w:szCs w:val="32"/>
          <w:highlight w:val="none"/>
        </w:rPr>
        <w:t>章　技术标准和要求</w:t>
      </w:r>
      <w:r>
        <w:rPr>
          <w:color w:val="auto"/>
          <w:highlight w:val="none"/>
        </w:rPr>
        <w:tab/>
      </w:r>
      <w:r>
        <w:rPr>
          <w:color w:val="auto"/>
          <w:highlight w:val="none"/>
        </w:rPr>
        <w:fldChar w:fldCharType="begin"/>
      </w:r>
      <w:r>
        <w:rPr>
          <w:color w:val="auto"/>
          <w:highlight w:val="none"/>
        </w:rPr>
        <w:instrText xml:space="preserve"> PAGEREF _Toc27087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14:paraId="272EAE91">
      <w:pPr>
        <w:pStyle w:val="16"/>
        <w:tabs>
          <w:tab w:val="right" w:leader="dot" w:pos="9127"/>
        </w:tabs>
        <w:rPr>
          <w:color w:val="auto"/>
          <w:highlight w:val="none"/>
        </w:rPr>
      </w:pPr>
      <w:r>
        <w:rPr>
          <w:color w:val="auto"/>
          <w:highlight w:val="none"/>
        </w:rPr>
        <w:fldChar w:fldCharType="begin"/>
      </w:r>
      <w:r>
        <w:rPr>
          <w:color w:val="auto"/>
          <w:highlight w:val="none"/>
        </w:rPr>
        <w:instrText xml:space="preserve"> HYPERLINK \l _Toc973 </w:instrText>
      </w:r>
      <w:r>
        <w:rPr>
          <w:color w:val="auto"/>
          <w:highlight w:val="none"/>
        </w:rPr>
        <w:fldChar w:fldCharType="separate"/>
      </w:r>
      <w:r>
        <w:rPr>
          <w:rFonts w:hint="eastAsia" w:ascii="黑体" w:hAnsi="黑体" w:eastAsia="黑体" w:cs="Times New Roman"/>
          <w:color w:val="auto"/>
          <w:szCs w:val="52"/>
          <w:highlight w:val="none"/>
        </w:rPr>
        <w:t>第四卷</w:t>
      </w:r>
      <w:r>
        <w:rPr>
          <w:color w:val="auto"/>
          <w:highlight w:val="none"/>
        </w:rPr>
        <w:tab/>
      </w:r>
      <w:r>
        <w:rPr>
          <w:color w:val="auto"/>
          <w:highlight w:val="none"/>
        </w:rPr>
        <w:fldChar w:fldCharType="begin"/>
      </w:r>
      <w:r>
        <w:rPr>
          <w:color w:val="auto"/>
          <w:highlight w:val="none"/>
        </w:rPr>
        <w:instrText xml:space="preserve"> PAGEREF _Toc973 \h </w:instrText>
      </w:r>
      <w:r>
        <w:rPr>
          <w:color w:val="auto"/>
          <w:highlight w:val="none"/>
        </w:rPr>
        <w:fldChar w:fldCharType="separate"/>
      </w:r>
      <w:r>
        <w:rPr>
          <w:color w:val="auto"/>
          <w:highlight w:val="none"/>
        </w:rPr>
        <w:t>74</w:t>
      </w:r>
      <w:r>
        <w:rPr>
          <w:color w:val="auto"/>
          <w:highlight w:val="none"/>
        </w:rPr>
        <w:fldChar w:fldCharType="end"/>
      </w:r>
      <w:r>
        <w:rPr>
          <w:color w:val="auto"/>
          <w:highlight w:val="none"/>
        </w:rPr>
        <w:fldChar w:fldCharType="end"/>
      </w:r>
    </w:p>
    <w:p w14:paraId="04676A96">
      <w:pPr>
        <w:pStyle w:val="16"/>
        <w:tabs>
          <w:tab w:val="right" w:leader="dot" w:pos="9127"/>
        </w:tabs>
        <w:rPr>
          <w:color w:val="auto"/>
          <w:highlight w:val="none"/>
        </w:rPr>
      </w:pPr>
      <w:r>
        <w:rPr>
          <w:color w:val="auto"/>
          <w:highlight w:val="none"/>
        </w:rPr>
        <w:fldChar w:fldCharType="begin"/>
      </w:r>
      <w:r>
        <w:rPr>
          <w:color w:val="auto"/>
          <w:highlight w:val="none"/>
        </w:rPr>
        <w:instrText xml:space="preserve"> HYPERLINK \l _Toc8224 </w:instrText>
      </w:r>
      <w:r>
        <w:rPr>
          <w:color w:val="auto"/>
          <w:highlight w:val="none"/>
        </w:rPr>
        <w:fldChar w:fldCharType="separate"/>
      </w:r>
      <w:r>
        <w:rPr>
          <w:rFonts w:hAnsi="黑体" w:eastAsia="黑体"/>
          <w:color w:val="auto"/>
          <w:szCs w:val="32"/>
          <w:highlight w:val="none"/>
        </w:rPr>
        <w:t>第</w:t>
      </w:r>
      <w:r>
        <w:rPr>
          <w:rFonts w:eastAsia="黑体"/>
          <w:color w:val="auto"/>
          <w:szCs w:val="32"/>
          <w:highlight w:val="none"/>
        </w:rPr>
        <w:t>8</w:t>
      </w:r>
      <w:r>
        <w:rPr>
          <w:rFonts w:hAnsi="黑体" w:eastAsia="黑体"/>
          <w:color w:val="auto"/>
          <w:szCs w:val="32"/>
          <w:highlight w:val="none"/>
        </w:rPr>
        <w:t>章　投标文件格式</w:t>
      </w:r>
      <w:r>
        <w:rPr>
          <w:color w:val="auto"/>
          <w:highlight w:val="none"/>
        </w:rPr>
        <w:tab/>
      </w:r>
      <w:r>
        <w:rPr>
          <w:color w:val="auto"/>
          <w:highlight w:val="none"/>
        </w:rPr>
        <w:fldChar w:fldCharType="begin"/>
      </w:r>
      <w:r>
        <w:rPr>
          <w:color w:val="auto"/>
          <w:highlight w:val="none"/>
        </w:rPr>
        <w:instrText xml:space="preserve"> PAGEREF _Toc8224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14:paraId="36BCD16D">
      <w:pPr>
        <w:pStyle w:val="11"/>
        <w:tabs>
          <w:tab w:val="right" w:leader="dot" w:pos="9127"/>
        </w:tabs>
        <w:rPr>
          <w:color w:val="auto"/>
          <w:highlight w:val="none"/>
        </w:rPr>
      </w:pPr>
      <w:r>
        <w:rPr>
          <w:color w:val="auto"/>
          <w:highlight w:val="none"/>
        </w:rPr>
        <w:fldChar w:fldCharType="begin"/>
      </w:r>
      <w:r>
        <w:rPr>
          <w:color w:val="auto"/>
          <w:highlight w:val="none"/>
        </w:rPr>
        <w:instrText xml:space="preserve"> HYPERLINK \l _Toc30132 </w:instrText>
      </w:r>
      <w:r>
        <w:rPr>
          <w:color w:val="auto"/>
          <w:highlight w:val="none"/>
        </w:rPr>
        <w:fldChar w:fldCharType="separate"/>
      </w:r>
      <w:r>
        <w:rPr>
          <w:rFonts w:hint="eastAsia" w:ascii="黑体" w:hAnsi="黑体" w:eastAsia="黑体"/>
          <w:color w:val="auto"/>
          <w:szCs w:val="32"/>
          <w:highlight w:val="none"/>
        </w:rPr>
        <w:t>一、投标函及投标函附录</w:t>
      </w:r>
      <w:r>
        <w:rPr>
          <w:color w:val="auto"/>
          <w:highlight w:val="none"/>
        </w:rPr>
        <w:tab/>
      </w:r>
      <w:r>
        <w:rPr>
          <w:color w:val="auto"/>
          <w:highlight w:val="none"/>
        </w:rPr>
        <w:fldChar w:fldCharType="begin"/>
      </w:r>
      <w:r>
        <w:rPr>
          <w:color w:val="auto"/>
          <w:highlight w:val="none"/>
        </w:rPr>
        <w:instrText xml:space="preserve"> PAGEREF _Toc30132 \h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14:paraId="6D50E57F">
      <w:pPr>
        <w:pStyle w:val="11"/>
        <w:tabs>
          <w:tab w:val="right" w:leader="dot" w:pos="9127"/>
        </w:tabs>
        <w:rPr>
          <w:color w:val="auto"/>
          <w:highlight w:val="none"/>
        </w:rPr>
      </w:pPr>
      <w:r>
        <w:rPr>
          <w:color w:val="auto"/>
          <w:highlight w:val="none"/>
        </w:rPr>
        <w:fldChar w:fldCharType="begin"/>
      </w:r>
      <w:r>
        <w:rPr>
          <w:color w:val="auto"/>
          <w:highlight w:val="none"/>
        </w:rPr>
        <w:instrText xml:space="preserve"> HYPERLINK \l _Toc30976 </w:instrText>
      </w:r>
      <w:r>
        <w:rPr>
          <w:color w:val="auto"/>
          <w:highlight w:val="none"/>
        </w:rPr>
        <w:fldChar w:fldCharType="separate"/>
      </w:r>
      <w:r>
        <w:rPr>
          <w:rFonts w:hint="eastAsia" w:ascii="黑体" w:hAnsi="黑体" w:eastAsia="黑体"/>
          <w:color w:val="auto"/>
          <w:szCs w:val="32"/>
          <w:highlight w:val="none"/>
        </w:rPr>
        <w:t>二、法定代表人身份证明</w:t>
      </w:r>
      <w:r>
        <w:rPr>
          <w:color w:val="auto"/>
          <w:highlight w:val="none"/>
        </w:rPr>
        <w:tab/>
      </w:r>
      <w:r>
        <w:rPr>
          <w:color w:val="auto"/>
          <w:highlight w:val="none"/>
        </w:rPr>
        <w:fldChar w:fldCharType="begin"/>
      </w:r>
      <w:r>
        <w:rPr>
          <w:color w:val="auto"/>
          <w:highlight w:val="none"/>
        </w:rPr>
        <w:instrText xml:space="preserve"> PAGEREF _Toc30976 \h </w:instrText>
      </w:r>
      <w:r>
        <w:rPr>
          <w:color w:val="auto"/>
          <w:highlight w:val="none"/>
        </w:rPr>
        <w:fldChar w:fldCharType="separate"/>
      </w:r>
      <w:r>
        <w:rPr>
          <w:color w:val="auto"/>
          <w:highlight w:val="none"/>
        </w:rPr>
        <w:t>80</w:t>
      </w:r>
      <w:r>
        <w:rPr>
          <w:color w:val="auto"/>
          <w:highlight w:val="none"/>
        </w:rPr>
        <w:fldChar w:fldCharType="end"/>
      </w:r>
      <w:r>
        <w:rPr>
          <w:color w:val="auto"/>
          <w:highlight w:val="none"/>
        </w:rPr>
        <w:fldChar w:fldCharType="end"/>
      </w:r>
    </w:p>
    <w:p w14:paraId="5F64BB7B">
      <w:pPr>
        <w:pStyle w:val="11"/>
        <w:tabs>
          <w:tab w:val="right" w:leader="dot" w:pos="9127"/>
        </w:tabs>
        <w:rPr>
          <w:color w:val="auto"/>
          <w:highlight w:val="none"/>
        </w:rPr>
      </w:pPr>
      <w:r>
        <w:rPr>
          <w:color w:val="auto"/>
          <w:highlight w:val="none"/>
        </w:rPr>
        <w:fldChar w:fldCharType="begin"/>
      </w:r>
      <w:r>
        <w:rPr>
          <w:color w:val="auto"/>
          <w:highlight w:val="none"/>
        </w:rPr>
        <w:instrText xml:space="preserve"> HYPERLINK \l _Toc6130 </w:instrText>
      </w:r>
      <w:r>
        <w:rPr>
          <w:color w:val="auto"/>
          <w:highlight w:val="none"/>
        </w:rPr>
        <w:fldChar w:fldCharType="separate"/>
      </w:r>
      <w:r>
        <w:rPr>
          <w:rFonts w:hint="eastAsia" w:ascii="黑体" w:hAnsi="黑体" w:eastAsia="黑体"/>
          <w:color w:val="auto"/>
          <w:szCs w:val="32"/>
          <w:highlight w:val="none"/>
          <w:lang w:val="en-US" w:eastAsia="zh-CN"/>
        </w:rPr>
        <w:t>三</w:t>
      </w:r>
      <w:r>
        <w:rPr>
          <w:rFonts w:hint="eastAsia" w:ascii="黑体" w:hAnsi="黑体" w:eastAsia="黑体"/>
          <w:color w:val="auto"/>
          <w:szCs w:val="32"/>
          <w:highlight w:val="none"/>
        </w:rPr>
        <w:t>、授权委托书</w:t>
      </w:r>
      <w:r>
        <w:rPr>
          <w:color w:val="auto"/>
          <w:highlight w:val="none"/>
        </w:rPr>
        <w:tab/>
      </w:r>
      <w:r>
        <w:rPr>
          <w:color w:val="auto"/>
          <w:highlight w:val="none"/>
        </w:rPr>
        <w:fldChar w:fldCharType="begin"/>
      </w:r>
      <w:r>
        <w:rPr>
          <w:color w:val="auto"/>
          <w:highlight w:val="none"/>
        </w:rPr>
        <w:instrText xml:space="preserve"> PAGEREF _Toc6130 \h </w:instrText>
      </w:r>
      <w:r>
        <w:rPr>
          <w:color w:val="auto"/>
          <w:highlight w:val="none"/>
        </w:rPr>
        <w:fldChar w:fldCharType="separate"/>
      </w:r>
      <w:r>
        <w:rPr>
          <w:color w:val="auto"/>
          <w:highlight w:val="none"/>
        </w:rPr>
        <w:t>81</w:t>
      </w:r>
      <w:r>
        <w:rPr>
          <w:color w:val="auto"/>
          <w:highlight w:val="none"/>
        </w:rPr>
        <w:fldChar w:fldCharType="end"/>
      </w:r>
      <w:r>
        <w:rPr>
          <w:color w:val="auto"/>
          <w:highlight w:val="none"/>
        </w:rPr>
        <w:fldChar w:fldCharType="end"/>
      </w:r>
    </w:p>
    <w:p w14:paraId="4FDDDA3A">
      <w:pPr>
        <w:pStyle w:val="11"/>
        <w:tabs>
          <w:tab w:val="right" w:leader="dot" w:pos="9127"/>
        </w:tabs>
        <w:rPr>
          <w:color w:val="auto"/>
          <w:highlight w:val="none"/>
        </w:rPr>
      </w:pPr>
      <w:r>
        <w:rPr>
          <w:color w:val="auto"/>
          <w:highlight w:val="none"/>
        </w:rPr>
        <w:fldChar w:fldCharType="begin"/>
      </w:r>
      <w:r>
        <w:rPr>
          <w:color w:val="auto"/>
          <w:highlight w:val="none"/>
        </w:rPr>
        <w:instrText xml:space="preserve"> HYPERLINK \l _Toc25033 </w:instrText>
      </w:r>
      <w:r>
        <w:rPr>
          <w:color w:val="auto"/>
          <w:highlight w:val="none"/>
        </w:rPr>
        <w:fldChar w:fldCharType="separate"/>
      </w:r>
      <w:r>
        <w:rPr>
          <w:rFonts w:hint="eastAsia" w:ascii="黑体" w:hAnsi="黑体" w:eastAsia="黑体"/>
          <w:color w:val="auto"/>
          <w:szCs w:val="32"/>
          <w:highlight w:val="none"/>
          <w:lang w:val="en-US" w:eastAsia="zh-CN"/>
        </w:rPr>
        <w:t>四</w:t>
      </w:r>
      <w:r>
        <w:rPr>
          <w:rFonts w:hint="eastAsia" w:ascii="黑体" w:hAnsi="黑体" w:eastAsia="黑体"/>
          <w:color w:val="auto"/>
          <w:szCs w:val="32"/>
          <w:highlight w:val="none"/>
        </w:rPr>
        <w:t>、联合体协议书</w:t>
      </w:r>
      <w:r>
        <w:rPr>
          <w:color w:val="auto"/>
          <w:highlight w:val="none"/>
        </w:rPr>
        <w:tab/>
      </w:r>
      <w:r>
        <w:rPr>
          <w:color w:val="auto"/>
          <w:highlight w:val="none"/>
        </w:rPr>
        <w:fldChar w:fldCharType="begin"/>
      </w:r>
      <w:r>
        <w:rPr>
          <w:color w:val="auto"/>
          <w:highlight w:val="none"/>
        </w:rPr>
        <w:instrText xml:space="preserve"> PAGEREF _Toc25033 \h </w:instrText>
      </w:r>
      <w:r>
        <w:rPr>
          <w:color w:val="auto"/>
          <w:highlight w:val="none"/>
        </w:rPr>
        <w:fldChar w:fldCharType="separate"/>
      </w:r>
      <w:r>
        <w:rPr>
          <w:color w:val="auto"/>
          <w:highlight w:val="none"/>
        </w:rPr>
        <w:t>82</w:t>
      </w:r>
      <w:r>
        <w:rPr>
          <w:color w:val="auto"/>
          <w:highlight w:val="none"/>
        </w:rPr>
        <w:fldChar w:fldCharType="end"/>
      </w:r>
      <w:r>
        <w:rPr>
          <w:color w:val="auto"/>
          <w:highlight w:val="none"/>
        </w:rPr>
        <w:fldChar w:fldCharType="end"/>
      </w:r>
    </w:p>
    <w:p w14:paraId="18AFF48F">
      <w:pPr>
        <w:pStyle w:val="11"/>
        <w:tabs>
          <w:tab w:val="right" w:leader="dot" w:pos="9127"/>
        </w:tabs>
        <w:rPr>
          <w:color w:val="auto"/>
          <w:highlight w:val="none"/>
        </w:rPr>
      </w:pPr>
      <w:r>
        <w:rPr>
          <w:color w:val="auto"/>
          <w:highlight w:val="none"/>
        </w:rPr>
        <w:fldChar w:fldCharType="begin"/>
      </w:r>
      <w:r>
        <w:rPr>
          <w:color w:val="auto"/>
          <w:highlight w:val="none"/>
        </w:rPr>
        <w:instrText xml:space="preserve"> HYPERLINK \l _Toc27822 </w:instrText>
      </w:r>
      <w:r>
        <w:rPr>
          <w:color w:val="auto"/>
          <w:highlight w:val="none"/>
        </w:rPr>
        <w:fldChar w:fldCharType="separate"/>
      </w:r>
      <w:r>
        <w:rPr>
          <w:rFonts w:hint="eastAsia" w:ascii="黑体" w:hAnsi="黑体" w:eastAsia="黑体"/>
          <w:color w:val="auto"/>
          <w:szCs w:val="32"/>
          <w:highlight w:val="none"/>
          <w:lang w:val="en-US" w:eastAsia="zh-CN"/>
        </w:rPr>
        <w:t>五</w:t>
      </w:r>
      <w:r>
        <w:rPr>
          <w:rFonts w:hint="eastAsia" w:ascii="黑体" w:hAnsi="黑体" w:eastAsia="黑体"/>
          <w:color w:val="auto"/>
          <w:szCs w:val="32"/>
          <w:highlight w:val="none"/>
        </w:rPr>
        <w:t>、投标保证金</w:t>
      </w:r>
      <w:r>
        <w:rPr>
          <w:color w:val="auto"/>
          <w:highlight w:val="none"/>
        </w:rPr>
        <w:tab/>
      </w:r>
      <w:r>
        <w:rPr>
          <w:color w:val="auto"/>
          <w:highlight w:val="none"/>
        </w:rPr>
        <w:fldChar w:fldCharType="begin"/>
      </w:r>
      <w:r>
        <w:rPr>
          <w:color w:val="auto"/>
          <w:highlight w:val="none"/>
        </w:rPr>
        <w:instrText xml:space="preserve"> PAGEREF _Toc27822 \h </w:instrText>
      </w:r>
      <w:r>
        <w:rPr>
          <w:color w:val="auto"/>
          <w:highlight w:val="none"/>
        </w:rPr>
        <w:fldChar w:fldCharType="separate"/>
      </w:r>
      <w:r>
        <w:rPr>
          <w:color w:val="auto"/>
          <w:highlight w:val="none"/>
        </w:rPr>
        <w:t>83</w:t>
      </w:r>
      <w:r>
        <w:rPr>
          <w:color w:val="auto"/>
          <w:highlight w:val="none"/>
        </w:rPr>
        <w:fldChar w:fldCharType="end"/>
      </w:r>
      <w:r>
        <w:rPr>
          <w:color w:val="auto"/>
          <w:highlight w:val="none"/>
        </w:rPr>
        <w:fldChar w:fldCharType="end"/>
      </w:r>
    </w:p>
    <w:p w14:paraId="0DC8E70B">
      <w:pPr>
        <w:pStyle w:val="11"/>
        <w:tabs>
          <w:tab w:val="right" w:leader="dot" w:pos="9127"/>
        </w:tabs>
        <w:rPr>
          <w:color w:val="auto"/>
          <w:highlight w:val="none"/>
        </w:rPr>
      </w:pPr>
      <w:r>
        <w:rPr>
          <w:color w:val="auto"/>
          <w:highlight w:val="none"/>
        </w:rPr>
        <w:fldChar w:fldCharType="begin"/>
      </w:r>
      <w:r>
        <w:rPr>
          <w:color w:val="auto"/>
          <w:highlight w:val="none"/>
        </w:rPr>
        <w:instrText xml:space="preserve"> HYPERLINK \l _Toc15727 </w:instrText>
      </w:r>
      <w:r>
        <w:rPr>
          <w:color w:val="auto"/>
          <w:highlight w:val="none"/>
        </w:rPr>
        <w:fldChar w:fldCharType="separate"/>
      </w:r>
      <w:r>
        <w:rPr>
          <w:rFonts w:hint="eastAsia" w:ascii="黑体" w:hAnsi="黑体" w:eastAsia="黑体" w:cs="Times New Roman"/>
          <w:color w:val="auto"/>
          <w:szCs w:val="32"/>
          <w:highlight w:val="none"/>
          <w:lang w:val="en-US" w:eastAsia="zh-CN"/>
        </w:rPr>
        <w:t>六</w:t>
      </w:r>
      <w:r>
        <w:rPr>
          <w:rFonts w:hint="eastAsia" w:ascii="黑体" w:hAnsi="黑体" w:eastAsia="黑体" w:cs="Times New Roman"/>
          <w:color w:val="auto"/>
          <w:szCs w:val="32"/>
          <w:highlight w:val="none"/>
        </w:rPr>
        <w:t>、已标价工程量清单</w:t>
      </w:r>
      <w:r>
        <w:rPr>
          <w:color w:val="auto"/>
          <w:highlight w:val="none"/>
        </w:rPr>
        <w:tab/>
      </w:r>
      <w:r>
        <w:rPr>
          <w:color w:val="auto"/>
          <w:highlight w:val="none"/>
        </w:rPr>
        <w:fldChar w:fldCharType="begin"/>
      </w:r>
      <w:r>
        <w:rPr>
          <w:color w:val="auto"/>
          <w:highlight w:val="none"/>
        </w:rPr>
        <w:instrText xml:space="preserve"> PAGEREF _Toc15727 \h </w:instrText>
      </w:r>
      <w:r>
        <w:rPr>
          <w:color w:val="auto"/>
          <w:highlight w:val="none"/>
        </w:rPr>
        <w:fldChar w:fldCharType="separate"/>
      </w:r>
      <w:r>
        <w:rPr>
          <w:color w:val="auto"/>
          <w:highlight w:val="none"/>
        </w:rPr>
        <w:t>84</w:t>
      </w:r>
      <w:r>
        <w:rPr>
          <w:color w:val="auto"/>
          <w:highlight w:val="none"/>
        </w:rPr>
        <w:fldChar w:fldCharType="end"/>
      </w:r>
      <w:r>
        <w:rPr>
          <w:color w:val="auto"/>
          <w:highlight w:val="none"/>
        </w:rPr>
        <w:fldChar w:fldCharType="end"/>
      </w:r>
    </w:p>
    <w:p w14:paraId="54ABAAD4">
      <w:pPr>
        <w:pStyle w:val="11"/>
        <w:tabs>
          <w:tab w:val="right" w:leader="dot" w:pos="9127"/>
        </w:tabs>
        <w:rPr>
          <w:color w:val="auto"/>
          <w:highlight w:val="none"/>
        </w:rPr>
      </w:pPr>
      <w:r>
        <w:rPr>
          <w:color w:val="auto"/>
          <w:highlight w:val="none"/>
        </w:rPr>
        <w:fldChar w:fldCharType="begin"/>
      </w:r>
      <w:r>
        <w:rPr>
          <w:color w:val="auto"/>
          <w:highlight w:val="none"/>
        </w:rPr>
        <w:instrText xml:space="preserve"> HYPERLINK \l _Toc14030 </w:instrText>
      </w:r>
      <w:r>
        <w:rPr>
          <w:color w:val="auto"/>
          <w:highlight w:val="none"/>
        </w:rPr>
        <w:fldChar w:fldCharType="separate"/>
      </w:r>
      <w:r>
        <w:rPr>
          <w:rFonts w:hint="eastAsia" w:ascii="黑体" w:hAnsi="黑体" w:eastAsia="黑体" w:cs="Times New Roman"/>
          <w:color w:val="auto"/>
          <w:szCs w:val="32"/>
          <w:highlight w:val="none"/>
          <w:lang w:val="en-US" w:eastAsia="zh-CN"/>
        </w:rPr>
        <w:t>七</w:t>
      </w:r>
      <w:r>
        <w:rPr>
          <w:rFonts w:hint="eastAsia" w:ascii="黑体" w:hAnsi="黑体" w:eastAsia="黑体" w:cs="Times New Roman"/>
          <w:color w:val="auto"/>
          <w:szCs w:val="32"/>
          <w:highlight w:val="none"/>
        </w:rPr>
        <w:t>、施工组织设计</w:t>
      </w:r>
      <w:r>
        <w:rPr>
          <w:color w:val="auto"/>
          <w:highlight w:val="none"/>
        </w:rPr>
        <w:tab/>
      </w:r>
      <w:r>
        <w:rPr>
          <w:color w:val="auto"/>
          <w:highlight w:val="none"/>
        </w:rPr>
        <w:fldChar w:fldCharType="begin"/>
      </w:r>
      <w:r>
        <w:rPr>
          <w:color w:val="auto"/>
          <w:highlight w:val="none"/>
        </w:rPr>
        <w:instrText xml:space="preserve"> PAGEREF _Toc14030 \h </w:instrText>
      </w:r>
      <w:r>
        <w:rPr>
          <w:color w:val="auto"/>
          <w:highlight w:val="none"/>
        </w:rPr>
        <w:fldChar w:fldCharType="separate"/>
      </w:r>
      <w:r>
        <w:rPr>
          <w:color w:val="auto"/>
          <w:highlight w:val="none"/>
        </w:rPr>
        <w:t>85</w:t>
      </w:r>
      <w:r>
        <w:rPr>
          <w:color w:val="auto"/>
          <w:highlight w:val="none"/>
        </w:rPr>
        <w:fldChar w:fldCharType="end"/>
      </w:r>
      <w:r>
        <w:rPr>
          <w:color w:val="auto"/>
          <w:highlight w:val="none"/>
        </w:rPr>
        <w:fldChar w:fldCharType="end"/>
      </w:r>
    </w:p>
    <w:p w14:paraId="3DCD99BC">
      <w:pPr>
        <w:pStyle w:val="11"/>
        <w:tabs>
          <w:tab w:val="right" w:leader="dot" w:pos="9127"/>
        </w:tabs>
        <w:rPr>
          <w:color w:val="auto"/>
          <w:highlight w:val="none"/>
        </w:rPr>
      </w:pPr>
      <w:r>
        <w:rPr>
          <w:color w:val="auto"/>
          <w:highlight w:val="none"/>
        </w:rPr>
        <w:fldChar w:fldCharType="begin"/>
      </w:r>
      <w:r>
        <w:rPr>
          <w:color w:val="auto"/>
          <w:highlight w:val="none"/>
        </w:rPr>
        <w:instrText xml:space="preserve"> HYPERLINK \l _Toc2042 </w:instrText>
      </w:r>
      <w:r>
        <w:rPr>
          <w:color w:val="auto"/>
          <w:highlight w:val="none"/>
        </w:rPr>
        <w:fldChar w:fldCharType="separate"/>
      </w:r>
      <w:r>
        <w:rPr>
          <w:rFonts w:hint="eastAsia" w:ascii="黑体" w:hAnsi="黑体" w:eastAsia="黑体"/>
          <w:color w:val="auto"/>
          <w:szCs w:val="32"/>
          <w:highlight w:val="none"/>
          <w:lang w:val="en-US" w:eastAsia="zh-CN"/>
        </w:rPr>
        <w:t>八</w:t>
      </w:r>
      <w:r>
        <w:rPr>
          <w:rFonts w:hint="eastAsia" w:ascii="黑体" w:hAnsi="黑体" w:eastAsia="黑体"/>
          <w:color w:val="auto"/>
          <w:szCs w:val="32"/>
          <w:highlight w:val="none"/>
        </w:rPr>
        <w:t>、项目管理机构表</w:t>
      </w:r>
      <w:r>
        <w:rPr>
          <w:color w:val="auto"/>
          <w:highlight w:val="none"/>
        </w:rPr>
        <w:tab/>
      </w:r>
      <w:r>
        <w:rPr>
          <w:color w:val="auto"/>
          <w:highlight w:val="none"/>
        </w:rPr>
        <w:fldChar w:fldCharType="begin"/>
      </w:r>
      <w:r>
        <w:rPr>
          <w:color w:val="auto"/>
          <w:highlight w:val="none"/>
        </w:rPr>
        <w:instrText xml:space="preserve"> PAGEREF _Toc2042 \h </w:instrText>
      </w:r>
      <w:r>
        <w:rPr>
          <w:color w:val="auto"/>
          <w:highlight w:val="none"/>
        </w:rPr>
        <w:fldChar w:fldCharType="separate"/>
      </w:r>
      <w:r>
        <w:rPr>
          <w:color w:val="auto"/>
          <w:highlight w:val="none"/>
        </w:rPr>
        <w:t>87</w:t>
      </w:r>
      <w:r>
        <w:rPr>
          <w:color w:val="auto"/>
          <w:highlight w:val="none"/>
        </w:rPr>
        <w:fldChar w:fldCharType="end"/>
      </w:r>
      <w:r>
        <w:rPr>
          <w:color w:val="auto"/>
          <w:highlight w:val="none"/>
        </w:rPr>
        <w:fldChar w:fldCharType="end"/>
      </w:r>
    </w:p>
    <w:p w14:paraId="27E3C082">
      <w:pPr>
        <w:pStyle w:val="11"/>
        <w:tabs>
          <w:tab w:val="right" w:leader="dot" w:pos="9127"/>
        </w:tabs>
        <w:rPr>
          <w:color w:val="auto"/>
          <w:highlight w:val="none"/>
        </w:rPr>
      </w:pPr>
      <w:r>
        <w:rPr>
          <w:color w:val="auto"/>
          <w:highlight w:val="none"/>
        </w:rPr>
        <w:fldChar w:fldCharType="begin"/>
      </w:r>
      <w:r>
        <w:rPr>
          <w:color w:val="auto"/>
          <w:highlight w:val="none"/>
        </w:rPr>
        <w:instrText xml:space="preserve"> HYPERLINK \l _Toc7180 </w:instrText>
      </w:r>
      <w:r>
        <w:rPr>
          <w:color w:val="auto"/>
          <w:highlight w:val="none"/>
        </w:rPr>
        <w:fldChar w:fldCharType="separate"/>
      </w:r>
      <w:r>
        <w:rPr>
          <w:rFonts w:hint="eastAsia" w:ascii="黑体" w:hAnsi="黑体" w:eastAsia="黑体"/>
          <w:color w:val="auto"/>
          <w:szCs w:val="32"/>
          <w:highlight w:val="none"/>
          <w:lang w:val="en-US" w:eastAsia="zh-CN"/>
        </w:rPr>
        <w:t>九、拟分包项目情况表</w:t>
      </w:r>
      <w:r>
        <w:rPr>
          <w:color w:val="auto"/>
          <w:highlight w:val="none"/>
        </w:rPr>
        <w:tab/>
      </w:r>
      <w:r>
        <w:rPr>
          <w:color w:val="auto"/>
          <w:highlight w:val="none"/>
        </w:rPr>
        <w:fldChar w:fldCharType="begin"/>
      </w:r>
      <w:r>
        <w:rPr>
          <w:color w:val="auto"/>
          <w:highlight w:val="none"/>
        </w:rPr>
        <w:instrText xml:space="preserve"> PAGEREF _Toc7180 \h </w:instrText>
      </w:r>
      <w:r>
        <w:rPr>
          <w:color w:val="auto"/>
          <w:highlight w:val="none"/>
        </w:rPr>
        <w:fldChar w:fldCharType="separate"/>
      </w:r>
      <w:r>
        <w:rPr>
          <w:color w:val="auto"/>
          <w:highlight w:val="none"/>
        </w:rPr>
        <w:t>88</w:t>
      </w:r>
      <w:r>
        <w:rPr>
          <w:color w:val="auto"/>
          <w:highlight w:val="none"/>
        </w:rPr>
        <w:fldChar w:fldCharType="end"/>
      </w:r>
      <w:r>
        <w:rPr>
          <w:color w:val="auto"/>
          <w:highlight w:val="none"/>
        </w:rPr>
        <w:fldChar w:fldCharType="end"/>
      </w:r>
    </w:p>
    <w:p w14:paraId="6FCEB9C5">
      <w:pPr>
        <w:pStyle w:val="11"/>
        <w:tabs>
          <w:tab w:val="right" w:leader="dot" w:pos="9127"/>
        </w:tabs>
        <w:rPr>
          <w:color w:val="auto"/>
          <w:highlight w:val="none"/>
        </w:rPr>
      </w:pPr>
      <w:r>
        <w:rPr>
          <w:color w:val="auto"/>
          <w:highlight w:val="none"/>
        </w:rPr>
        <w:fldChar w:fldCharType="begin"/>
      </w:r>
      <w:r>
        <w:rPr>
          <w:color w:val="auto"/>
          <w:highlight w:val="none"/>
        </w:rPr>
        <w:instrText xml:space="preserve"> HYPERLINK \l _Toc19144 </w:instrText>
      </w:r>
      <w:r>
        <w:rPr>
          <w:color w:val="auto"/>
          <w:highlight w:val="none"/>
        </w:rPr>
        <w:fldChar w:fldCharType="separate"/>
      </w:r>
      <w:r>
        <w:rPr>
          <w:rFonts w:hint="eastAsia" w:ascii="黑体" w:hAnsi="黑体" w:eastAsia="黑体"/>
          <w:color w:val="auto"/>
          <w:szCs w:val="32"/>
          <w:highlight w:val="none"/>
          <w:lang w:val="en-US" w:eastAsia="zh-CN"/>
        </w:rPr>
        <w:t>十、 资格审查资料</w:t>
      </w:r>
      <w:r>
        <w:rPr>
          <w:color w:val="auto"/>
          <w:highlight w:val="none"/>
        </w:rPr>
        <w:tab/>
      </w:r>
      <w:r>
        <w:rPr>
          <w:color w:val="auto"/>
          <w:highlight w:val="none"/>
        </w:rPr>
        <w:fldChar w:fldCharType="begin"/>
      </w:r>
      <w:r>
        <w:rPr>
          <w:color w:val="auto"/>
          <w:highlight w:val="none"/>
        </w:rPr>
        <w:instrText xml:space="preserve"> PAGEREF _Toc19144 \h </w:instrText>
      </w:r>
      <w:r>
        <w:rPr>
          <w:color w:val="auto"/>
          <w:highlight w:val="none"/>
        </w:rPr>
        <w:fldChar w:fldCharType="separate"/>
      </w:r>
      <w:r>
        <w:rPr>
          <w:color w:val="auto"/>
          <w:highlight w:val="none"/>
        </w:rPr>
        <w:t>89</w:t>
      </w:r>
      <w:r>
        <w:rPr>
          <w:color w:val="auto"/>
          <w:highlight w:val="none"/>
        </w:rPr>
        <w:fldChar w:fldCharType="end"/>
      </w:r>
      <w:r>
        <w:rPr>
          <w:color w:val="auto"/>
          <w:highlight w:val="none"/>
        </w:rPr>
        <w:fldChar w:fldCharType="end"/>
      </w:r>
    </w:p>
    <w:p w14:paraId="2A21ABFC">
      <w:pPr>
        <w:pStyle w:val="11"/>
        <w:tabs>
          <w:tab w:val="right" w:leader="dot" w:pos="9127"/>
        </w:tabs>
        <w:rPr>
          <w:color w:val="auto"/>
          <w:highlight w:val="none"/>
        </w:rPr>
      </w:pPr>
      <w:r>
        <w:rPr>
          <w:color w:val="auto"/>
          <w:highlight w:val="none"/>
        </w:rPr>
        <w:fldChar w:fldCharType="begin"/>
      </w:r>
      <w:r>
        <w:rPr>
          <w:color w:val="auto"/>
          <w:highlight w:val="none"/>
        </w:rPr>
        <w:instrText xml:space="preserve"> HYPERLINK \l _Toc14508 </w:instrText>
      </w:r>
      <w:r>
        <w:rPr>
          <w:color w:val="auto"/>
          <w:highlight w:val="none"/>
        </w:rPr>
        <w:fldChar w:fldCharType="separate"/>
      </w:r>
      <w:r>
        <w:rPr>
          <w:rFonts w:hint="eastAsia" w:ascii="黑体" w:hAnsi="黑体" w:eastAsia="黑体"/>
          <w:color w:val="auto"/>
          <w:szCs w:val="32"/>
          <w:highlight w:val="none"/>
          <w:lang w:val="en-US" w:eastAsia="zh-CN"/>
        </w:rPr>
        <w:t>十一、 智能评审数据</w:t>
      </w:r>
      <w:r>
        <w:rPr>
          <w:color w:val="auto"/>
          <w:highlight w:val="none"/>
        </w:rPr>
        <w:tab/>
      </w:r>
      <w:r>
        <w:rPr>
          <w:color w:val="auto"/>
          <w:highlight w:val="none"/>
        </w:rPr>
        <w:fldChar w:fldCharType="begin"/>
      </w:r>
      <w:r>
        <w:rPr>
          <w:color w:val="auto"/>
          <w:highlight w:val="none"/>
        </w:rPr>
        <w:instrText xml:space="preserve"> PAGEREF _Toc14508 \h </w:instrText>
      </w:r>
      <w:r>
        <w:rPr>
          <w:color w:val="auto"/>
          <w:highlight w:val="none"/>
        </w:rPr>
        <w:fldChar w:fldCharType="separate"/>
      </w:r>
      <w:r>
        <w:rPr>
          <w:color w:val="auto"/>
          <w:highlight w:val="none"/>
        </w:rPr>
        <w:t>92</w:t>
      </w:r>
      <w:r>
        <w:rPr>
          <w:color w:val="auto"/>
          <w:highlight w:val="none"/>
        </w:rPr>
        <w:fldChar w:fldCharType="end"/>
      </w:r>
      <w:r>
        <w:rPr>
          <w:color w:val="auto"/>
          <w:highlight w:val="none"/>
        </w:rPr>
        <w:fldChar w:fldCharType="end"/>
      </w:r>
    </w:p>
    <w:p w14:paraId="67FDFF94">
      <w:pPr>
        <w:pStyle w:val="11"/>
        <w:tabs>
          <w:tab w:val="right" w:leader="dot" w:pos="9127"/>
        </w:tabs>
        <w:rPr>
          <w:color w:val="auto"/>
          <w:highlight w:val="none"/>
        </w:rPr>
      </w:pPr>
      <w:r>
        <w:rPr>
          <w:color w:val="auto"/>
          <w:highlight w:val="none"/>
        </w:rPr>
        <w:fldChar w:fldCharType="begin"/>
      </w:r>
      <w:r>
        <w:rPr>
          <w:color w:val="auto"/>
          <w:highlight w:val="none"/>
        </w:rPr>
        <w:instrText xml:space="preserve"> HYPERLINK \l _Toc4067 </w:instrText>
      </w:r>
      <w:r>
        <w:rPr>
          <w:color w:val="auto"/>
          <w:highlight w:val="none"/>
        </w:rPr>
        <w:fldChar w:fldCharType="separate"/>
      </w:r>
      <w:r>
        <w:rPr>
          <w:rFonts w:hint="eastAsia" w:ascii="黑体" w:hAnsi="黑体" w:eastAsia="黑体"/>
          <w:color w:val="auto"/>
          <w:szCs w:val="32"/>
          <w:highlight w:val="none"/>
          <w:lang w:val="en-US" w:eastAsia="zh-CN"/>
        </w:rPr>
        <w:t>十二、 其它材料</w:t>
      </w:r>
      <w:r>
        <w:rPr>
          <w:color w:val="auto"/>
          <w:highlight w:val="none"/>
        </w:rPr>
        <w:tab/>
      </w:r>
      <w:r>
        <w:rPr>
          <w:color w:val="auto"/>
          <w:highlight w:val="none"/>
        </w:rPr>
        <w:fldChar w:fldCharType="begin"/>
      </w:r>
      <w:r>
        <w:rPr>
          <w:color w:val="auto"/>
          <w:highlight w:val="none"/>
        </w:rPr>
        <w:instrText xml:space="preserve"> PAGEREF _Toc4067 \h </w:instrText>
      </w:r>
      <w:r>
        <w:rPr>
          <w:color w:val="auto"/>
          <w:highlight w:val="none"/>
        </w:rPr>
        <w:fldChar w:fldCharType="separate"/>
      </w:r>
      <w:r>
        <w:rPr>
          <w:color w:val="auto"/>
          <w:highlight w:val="none"/>
        </w:rPr>
        <w:t>93</w:t>
      </w:r>
      <w:r>
        <w:rPr>
          <w:color w:val="auto"/>
          <w:highlight w:val="none"/>
        </w:rPr>
        <w:fldChar w:fldCharType="end"/>
      </w:r>
      <w:r>
        <w:rPr>
          <w:color w:val="auto"/>
          <w:highlight w:val="none"/>
        </w:rPr>
        <w:fldChar w:fldCharType="end"/>
      </w:r>
    </w:p>
    <w:p w14:paraId="26C2CF40">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color w:val="auto"/>
          <w:highlight w:val="none"/>
        </w:rPr>
        <w:fldChar w:fldCharType="end"/>
      </w:r>
    </w:p>
    <w:p w14:paraId="12AE150E">
      <w:pPr>
        <w:rPr>
          <w:color w:val="auto"/>
          <w:highlight w:val="none"/>
        </w:rPr>
      </w:pPr>
      <w:bookmarkStart w:id="1153" w:name="_GoBack"/>
      <w:bookmarkEnd w:id="1153"/>
    </w:p>
    <w:p w14:paraId="54EDD095">
      <w:pPr>
        <w:rPr>
          <w:color w:val="auto"/>
          <w:highlight w:val="none"/>
        </w:rPr>
      </w:pPr>
      <w:r>
        <w:rPr>
          <w:color w:val="auto"/>
          <w:highlight w:val="none"/>
        </w:rPr>
        <w:br w:type="page"/>
      </w:r>
    </w:p>
    <w:p w14:paraId="2F524E1E">
      <w:pPr>
        <w:jc w:val="center"/>
        <w:rPr>
          <w:rFonts w:hint="eastAsia" w:eastAsia="宋体"/>
          <w:color w:val="auto"/>
          <w:sz w:val="32"/>
          <w:szCs w:val="32"/>
          <w:highlight w:val="none"/>
          <w:lang w:eastAsia="zh-CN"/>
        </w:rPr>
      </w:pPr>
      <w:r>
        <w:rPr>
          <w:rFonts w:hint="eastAsia"/>
          <w:color w:val="auto"/>
          <w:sz w:val="32"/>
          <w:szCs w:val="32"/>
          <w:highlight w:val="none"/>
          <w:u w:val="single"/>
        </w:rPr>
        <w:t>　　　　　　</w:t>
      </w:r>
      <w:r>
        <w:rPr>
          <w:rFonts w:hint="eastAsia"/>
          <w:color w:val="auto"/>
          <w:sz w:val="32"/>
          <w:szCs w:val="32"/>
          <w:highlight w:val="none"/>
          <w:lang w:eastAsia="zh-CN"/>
        </w:rPr>
        <w:t>（</w:t>
      </w:r>
      <w:r>
        <w:rPr>
          <w:rFonts w:hint="eastAsia"/>
          <w:color w:val="auto"/>
          <w:sz w:val="32"/>
          <w:szCs w:val="32"/>
          <w:highlight w:val="none"/>
        </w:rPr>
        <w:t>项目名称</w:t>
      </w:r>
      <w:r>
        <w:rPr>
          <w:rFonts w:hint="eastAsia"/>
          <w:color w:val="auto"/>
          <w:sz w:val="32"/>
          <w:szCs w:val="32"/>
          <w:highlight w:val="none"/>
          <w:lang w:eastAsia="zh-CN"/>
        </w:rPr>
        <w:t>）</w:t>
      </w:r>
      <w:r>
        <w:rPr>
          <w:rFonts w:hint="eastAsia"/>
          <w:color w:val="auto"/>
          <w:sz w:val="32"/>
          <w:szCs w:val="32"/>
          <w:highlight w:val="none"/>
          <w:u w:val="single"/>
        </w:rPr>
        <w:t>　　　　　　　　　　</w:t>
      </w:r>
      <w:r>
        <w:rPr>
          <w:rFonts w:hint="eastAsia"/>
          <w:color w:val="auto"/>
          <w:sz w:val="32"/>
          <w:szCs w:val="32"/>
          <w:highlight w:val="none"/>
          <w:lang w:eastAsia="zh-CN"/>
        </w:rPr>
        <w:t>（</w:t>
      </w:r>
      <w:r>
        <w:rPr>
          <w:rFonts w:hint="eastAsia"/>
          <w:color w:val="auto"/>
          <w:sz w:val="32"/>
          <w:szCs w:val="32"/>
          <w:highlight w:val="none"/>
        </w:rPr>
        <w:t>标段名称</w:t>
      </w:r>
      <w:r>
        <w:rPr>
          <w:rFonts w:hint="eastAsia"/>
          <w:color w:val="auto"/>
          <w:sz w:val="32"/>
          <w:szCs w:val="32"/>
          <w:highlight w:val="none"/>
          <w:lang w:eastAsia="zh-CN"/>
        </w:rPr>
        <w:t>）</w:t>
      </w:r>
    </w:p>
    <w:p w14:paraId="133AE562">
      <w:pPr>
        <w:jc w:val="center"/>
        <w:rPr>
          <w:color w:val="auto"/>
          <w:highlight w:val="none"/>
        </w:rPr>
      </w:pPr>
    </w:p>
    <w:p w14:paraId="5ABF0948">
      <w:pPr>
        <w:jc w:val="center"/>
        <w:rPr>
          <w:color w:val="auto"/>
          <w:highlight w:val="none"/>
        </w:rPr>
      </w:pPr>
    </w:p>
    <w:p w14:paraId="0998F737">
      <w:pPr>
        <w:jc w:val="center"/>
        <w:rPr>
          <w:rFonts w:ascii="黑体" w:hAnsi="黑体" w:eastAsia="黑体"/>
          <w:b/>
          <w:color w:val="auto"/>
          <w:sz w:val="52"/>
          <w:szCs w:val="52"/>
          <w:highlight w:val="none"/>
        </w:rPr>
      </w:pPr>
      <w:r>
        <w:rPr>
          <w:rFonts w:hint="eastAsia" w:ascii="黑体" w:hAnsi="黑体" w:eastAsia="黑体"/>
          <w:b/>
          <w:color w:val="auto"/>
          <w:sz w:val="52"/>
          <w:szCs w:val="52"/>
          <w:highlight w:val="none"/>
        </w:rPr>
        <w:t>招标文件</w:t>
      </w:r>
    </w:p>
    <w:p w14:paraId="3A8A66B7">
      <w:pPr>
        <w:rPr>
          <w:color w:val="auto"/>
          <w:highlight w:val="none"/>
        </w:rPr>
      </w:pPr>
    </w:p>
    <w:p w14:paraId="0837C661">
      <w:pPr>
        <w:jc w:val="center"/>
        <w:rPr>
          <w:rFonts w:hint="eastAsia" w:eastAsia="宋体"/>
          <w:color w:val="auto"/>
          <w:sz w:val="32"/>
          <w:szCs w:val="32"/>
          <w:highlight w:val="none"/>
          <w:lang w:eastAsia="zh-CN"/>
        </w:rPr>
      </w:pPr>
      <w:r>
        <w:rPr>
          <w:rFonts w:hint="eastAsia"/>
          <w:color w:val="auto"/>
          <w:sz w:val="32"/>
          <w:szCs w:val="32"/>
          <w:highlight w:val="none"/>
          <w:lang w:eastAsia="zh-CN"/>
        </w:rPr>
        <w:t>（</w:t>
      </w:r>
      <w:r>
        <w:rPr>
          <w:rFonts w:hint="eastAsia"/>
          <w:color w:val="auto"/>
          <w:sz w:val="32"/>
          <w:szCs w:val="32"/>
          <w:highlight w:val="none"/>
        </w:rPr>
        <w:t>合同编号：</w:t>
      </w:r>
      <w:r>
        <w:rPr>
          <w:rFonts w:hint="eastAsia"/>
          <w:color w:val="auto"/>
          <w:sz w:val="32"/>
          <w:szCs w:val="32"/>
          <w:highlight w:val="none"/>
          <w:u w:val="single"/>
        </w:rPr>
        <w:t>　　</w:t>
      </w:r>
      <w:r>
        <w:rPr>
          <w:rFonts w:hint="eastAsia"/>
          <w:color w:val="auto"/>
          <w:sz w:val="32"/>
          <w:szCs w:val="32"/>
          <w:highlight w:val="none"/>
          <w:lang w:eastAsia="zh-CN"/>
        </w:rPr>
        <w:t>）</w:t>
      </w:r>
    </w:p>
    <w:p w14:paraId="59ADA35C">
      <w:pPr>
        <w:rPr>
          <w:color w:val="auto"/>
          <w:highlight w:val="none"/>
        </w:rPr>
      </w:pPr>
    </w:p>
    <w:p w14:paraId="688A7A69">
      <w:pPr>
        <w:rPr>
          <w:color w:val="auto"/>
          <w:highlight w:val="none"/>
        </w:rPr>
      </w:pPr>
    </w:p>
    <w:p w14:paraId="78FE50B1">
      <w:pPr>
        <w:rPr>
          <w:color w:val="auto"/>
          <w:highlight w:val="none"/>
        </w:rPr>
      </w:pPr>
    </w:p>
    <w:p w14:paraId="5F3BCADD">
      <w:pPr>
        <w:rPr>
          <w:color w:val="auto"/>
          <w:highlight w:val="none"/>
        </w:rPr>
      </w:pPr>
    </w:p>
    <w:p w14:paraId="2C7CAB66">
      <w:pPr>
        <w:rPr>
          <w:color w:val="auto"/>
          <w:highlight w:val="none"/>
        </w:rPr>
      </w:pPr>
    </w:p>
    <w:p w14:paraId="5BB5E43A">
      <w:pPr>
        <w:rPr>
          <w:color w:val="auto"/>
          <w:highlight w:val="none"/>
        </w:rPr>
      </w:pPr>
    </w:p>
    <w:p w14:paraId="13FDD04A">
      <w:pPr>
        <w:rPr>
          <w:color w:val="auto"/>
          <w:highlight w:val="none"/>
        </w:rPr>
      </w:pPr>
    </w:p>
    <w:p w14:paraId="674496C9">
      <w:pPr>
        <w:rPr>
          <w:color w:val="auto"/>
          <w:highlight w:val="none"/>
        </w:rPr>
      </w:pPr>
    </w:p>
    <w:p w14:paraId="26E54256">
      <w:pPr>
        <w:rPr>
          <w:color w:val="auto"/>
          <w:highlight w:val="none"/>
        </w:rPr>
      </w:pPr>
    </w:p>
    <w:p w14:paraId="48C4F992">
      <w:pPr>
        <w:rPr>
          <w:color w:val="auto"/>
          <w:highlight w:val="none"/>
        </w:rPr>
      </w:pPr>
    </w:p>
    <w:p w14:paraId="456572C7">
      <w:pPr>
        <w:rPr>
          <w:color w:val="auto"/>
          <w:highlight w:val="none"/>
        </w:rPr>
      </w:pPr>
    </w:p>
    <w:p w14:paraId="769DC425">
      <w:pPr>
        <w:rPr>
          <w:color w:val="auto"/>
          <w:highlight w:val="none"/>
        </w:rPr>
      </w:pPr>
    </w:p>
    <w:p w14:paraId="685BCCBB">
      <w:pPr>
        <w:rPr>
          <w:color w:val="auto"/>
          <w:highlight w:val="none"/>
        </w:rPr>
      </w:pPr>
    </w:p>
    <w:p w14:paraId="0BF06D1D">
      <w:pPr>
        <w:rPr>
          <w:color w:val="auto"/>
          <w:highlight w:val="none"/>
        </w:rPr>
      </w:pPr>
    </w:p>
    <w:p w14:paraId="7A083692">
      <w:pPr>
        <w:rPr>
          <w:color w:val="auto"/>
          <w:highlight w:val="none"/>
        </w:rPr>
      </w:pPr>
    </w:p>
    <w:p w14:paraId="3362CF2D">
      <w:pPr>
        <w:rPr>
          <w:color w:val="auto"/>
          <w:highlight w:val="none"/>
        </w:rPr>
      </w:pPr>
    </w:p>
    <w:p w14:paraId="63A5D434">
      <w:pPr>
        <w:rPr>
          <w:color w:val="auto"/>
          <w:highlight w:val="none"/>
        </w:rPr>
      </w:pPr>
    </w:p>
    <w:p w14:paraId="25B48AE0">
      <w:pPr>
        <w:rPr>
          <w:color w:val="auto"/>
          <w:highlight w:val="none"/>
        </w:rPr>
      </w:pPr>
    </w:p>
    <w:p w14:paraId="5C14B9B9">
      <w:pPr>
        <w:rPr>
          <w:color w:val="auto"/>
          <w:highlight w:val="none"/>
        </w:rPr>
      </w:pPr>
    </w:p>
    <w:p w14:paraId="7E34BCD9">
      <w:pPr>
        <w:rPr>
          <w:color w:val="auto"/>
          <w:highlight w:val="none"/>
        </w:rPr>
      </w:pPr>
    </w:p>
    <w:p w14:paraId="155D8B33">
      <w:pPr>
        <w:rPr>
          <w:color w:val="auto"/>
          <w:highlight w:val="none"/>
        </w:rPr>
      </w:pPr>
    </w:p>
    <w:p w14:paraId="29892159">
      <w:pPr>
        <w:rPr>
          <w:color w:val="auto"/>
          <w:highlight w:val="none"/>
        </w:rPr>
      </w:pPr>
    </w:p>
    <w:p w14:paraId="6F73A728">
      <w:pPr>
        <w:rPr>
          <w:color w:val="auto"/>
          <w:highlight w:val="none"/>
        </w:rPr>
      </w:pPr>
    </w:p>
    <w:p w14:paraId="160AB30B">
      <w:pPr>
        <w:rPr>
          <w:color w:val="auto"/>
          <w:highlight w:val="none"/>
        </w:rPr>
      </w:pPr>
    </w:p>
    <w:p w14:paraId="68CC1E79">
      <w:pPr>
        <w:rPr>
          <w:color w:val="auto"/>
          <w:highlight w:val="none"/>
        </w:rPr>
      </w:pPr>
    </w:p>
    <w:p w14:paraId="71E5C6E6">
      <w:pPr>
        <w:rPr>
          <w:color w:val="auto"/>
          <w:highlight w:val="none"/>
        </w:rPr>
      </w:pPr>
    </w:p>
    <w:p w14:paraId="300981C8">
      <w:pPr>
        <w:rPr>
          <w:color w:val="auto"/>
          <w:highlight w:val="none"/>
        </w:rPr>
      </w:pPr>
    </w:p>
    <w:p w14:paraId="1CDA4B7E">
      <w:pPr>
        <w:jc w:val="center"/>
        <w:rPr>
          <w:rFonts w:hint="eastAsia" w:eastAsia="宋体"/>
          <w:color w:val="auto"/>
          <w:sz w:val="32"/>
          <w:szCs w:val="32"/>
          <w:highlight w:val="none"/>
          <w:lang w:eastAsia="zh-CN"/>
        </w:rPr>
      </w:pPr>
      <w:r>
        <w:rPr>
          <w:rFonts w:hint="eastAsia"/>
          <w:color w:val="auto"/>
          <w:sz w:val="32"/>
          <w:szCs w:val="32"/>
          <w:highlight w:val="none"/>
        </w:rPr>
        <w:t>招标人：</w:t>
      </w:r>
      <w:r>
        <w:rPr>
          <w:rFonts w:hint="eastAsia"/>
          <w:color w:val="auto"/>
          <w:sz w:val="32"/>
          <w:szCs w:val="32"/>
          <w:highlight w:val="none"/>
          <w:u w:val="single"/>
        </w:rPr>
        <w:t>　　　　　　　　　　　</w:t>
      </w:r>
      <w:r>
        <w:rPr>
          <w:rFonts w:hint="eastAsia"/>
          <w:color w:val="auto"/>
          <w:sz w:val="32"/>
          <w:szCs w:val="32"/>
          <w:highlight w:val="none"/>
          <w:lang w:eastAsia="zh-CN"/>
        </w:rPr>
        <w:t>（</w:t>
      </w:r>
      <w:r>
        <w:rPr>
          <w:rFonts w:hint="eastAsia"/>
          <w:color w:val="auto"/>
          <w:sz w:val="32"/>
          <w:szCs w:val="32"/>
          <w:highlight w:val="none"/>
        </w:rPr>
        <w:t>盖单位章</w:t>
      </w:r>
      <w:r>
        <w:rPr>
          <w:rFonts w:hint="eastAsia"/>
          <w:color w:val="auto"/>
          <w:sz w:val="32"/>
          <w:szCs w:val="32"/>
          <w:highlight w:val="none"/>
          <w:lang w:eastAsia="zh-CN"/>
        </w:rPr>
        <w:t>）</w:t>
      </w:r>
    </w:p>
    <w:p w14:paraId="74D23D22">
      <w:pPr>
        <w:jc w:val="center"/>
        <w:rPr>
          <w:color w:val="auto"/>
          <w:sz w:val="32"/>
          <w:szCs w:val="32"/>
          <w:highlight w:val="none"/>
        </w:rPr>
      </w:pPr>
      <w:r>
        <w:rPr>
          <w:rFonts w:hint="eastAsia"/>
          <w:color w:val="auto"/>
          <w:sz w:val="32"/>
          <w:szCs w:val="32"/>
          <w:highlight w:val="none"/>
          <w:u w:val="single"/>
        </w:rPr>
        <w:t>　　　　　</w:t>
      </w:r>
      <w:r>
        <w:rPr>
          <w:rFonts w:hint="eastAsia"/>
          <w:color w:val="auto"/>
          <w:sz w:val="32"/>
          <w:szCs w:val="32"/>
          <w:highlight w:val="none"/>
        </w:rPr>
        <w:t>年</w:t>
      </w:r>
      <w:r>
        <w:rPr>
          <w:rFonts w:hint="eastAsia"/>
          <w:color w:val="auto"/>
          <w:sz w:val="32"/>
          <w:szCs w:val="32"/>
          <w:highlight w:val="none"/>
          <w:u w:val="single"/>
        </w:rPr>
        <w:t>　　　　</w:t>
      </w:r>
      <w:r>
        <w:rPr>
          <w:rFonts w:hint="eastAsia"/>
          <w:color w:val="auto"/>
          <w:sz w:val="32"/>
          <w:szCs w:val="32"/>
          <w:highlight w:val="none"/>
        </w:rPr>
        <w:t>月</w:t>
      </w:r>
      <w:r>
        <w:rPr>
          <w:rFonts w:hint="eastAsia"/>
          <w:color w:val="auto"/>
          <w:sz w:val="32"/>
          <w:szCs w:val="32"/>
          <w:highlight w:val="none"/>
          <w:u w:val="single"/>
        </w:rPr>
        <w:t>　　　　</w:t>
      </w:r>
      <w:r>
        <w:rPr>
          <w:rFonts w:hint="eastAsia"/>
          <w:color w:val="auto"/>
          <w:sz w:val="32"/>
          <w:szCs w:val="32"/>
          <w:highlight w:val="none"/>
        </w:rPr>
        <w:t>日</w:t>
      </w:r>
    </w:p>
    <w:p w14:paraId="52122B69">
      <w:pPr>
        <w:rPr>
          <w:color w:val="auto"/>
          <w:highlight w:val="none"/>
        </w:rPr>
      </w:pPr>
    </w:p>
    <w:p w14:paraId="380DC89B">
      <w:pPr>
        <w:rPr>
          <w:color w:val="auto"/>
          <w:highlight w:val="none"/>
        </w:rPr>
        <w:sectPr>
          <w:pgSz w:w="11906" w:h="16838"/>
          <w:pgMar w:top="1418" w:right="1361" w:bottom="1418" w:left="1418" w:header="851" w:footer="992" w:gutter="0"/>
          <w:pgNumType w:fmt="decimal"/>
          <w:cols w:space="720" w:num="1"/>
          <w:docGrid w:type="lines" w:linePitch="312" w:charSpace="0"/>
        </w:sectPr>
      </w:pPr>
    </w:p>
    <w:p w14:paraId="4571868E">
      <w:pPr>
        <w:rPr>
          <w:color w:val="auto"/>
          <w:highlight w:val="none"/>
        </w:rPr>
      </w:pPr>
    </w:p>
    <w:p w14:paraId="015DA667">
      <w:pPr>
        <w:rPr>
          <w:color w:val="auto"/>
          <w:highlight w:val="none"/>
        </w:rPr>
      </w:pPr>
    </w:p>
    <w:p w14:paraId="7B628C48">
      <w:pPr>
        <w:rPr>
          <w:color w:val="auto"/>
          <w:highlight w:val="none"/>
        </w:rPr>
      </w:pPr>
    </w:p>
    <w:p w14:paraId="6D8F3463">
      <w:pPr>
        <w:rPr>
          <w:color w:val="auto"/>
          <w:highlight w:val="none"/>
        </w:rPr>
      </w:pPr>
    </w:p>
    <w:p w14:paraId="092C3089">
      <w:pPr>
        <w:rPr>
          <w:color w:val="auto"/>
          <w:highlight w:val="none"/>
        </w:rPr>
      </w:pPr>
    </w:p>
    <w:p w14:paraId="6D322821">
      <w:pPr>
        <w:jc w:val="center"/>
        <w:outlineLvl w:val="0"/>
        <w:rPr>
          <w:rFonts w:hint="eastAsia" w:ascii="黑体" w:hAnsi="黑体" w:eastAsia="黑体" w:cs="Times New Roman"/>
          <w:b/>
          <w:color w:val="auto"/>
          <w:sz w:val="52"/>
          <w:szCs w:val="52"/>
          <w:highlight w:val="none"/>
        </w:rPr>
      </w:pPr>
      <w:bookmarkStart w:id="4" w:name="第01卷"/>
      <w:bookmarkEnd w:id="4"/>
      <w:bookmarkStart w:id="5" w:name="_Toc9644"/>
      <w:r>
        <w:rPr>
          <w:rFonts w:hint="eastAsia" w:ascii="黑体" w:hAnsi="黑体" w:eastAsia="黑体" w:cs="Times New Roman"/>
          <w:b/>
          <w:color w:val="auto"/>
          <w:sz w:val="52"/>
          <w:szCs w:val="52"/>
          <w:highlight w:val="none"/>
        </w:rPr>
        <w:t>第一卷</w:t>
      </w:r>
      <w:bookmarkEnd w:id="5"/>
    </w:p>
    <w:p w14:paraId="3FD61B0E">
      <w:pPr>
        <w:rPr>
          <w:color w:val="auto"/>
          <w:highlight w:val="none"/>
        </w:rPr>
      </w:pPr>
    </w:p>
    <w:p w14:paraId="0570E314">
      <w:pPr>
        <w:rPr>
          <w:color w:val="auto"/>
          <w:highlight w:val="none"/>
        </w:rPr>
      </w:pPr>
      <w:r>
        <w:rPr>
          <w:color w:val="auto"/>
          <w:highlight w:val="none"/>
        </w:rPr>
        <w:br w:type="page"/>
      </w:r>
    </w:p>
    <w:p w14:paraId="62DEF49E">
      <w:pPr>
        <w:jc w:val="center"/>
        <w:outlineLvl w:val="0"/>
        <w:rPr>
          <w:rFonts w:hint="eastAsia" w:eastAsia="黑体"/>
          <w:b/>
          <w:color w:val="auto"/>
          <w:sz w:val="32"/>
          <w:szCs w:val="32"/>
          <w:highlight w:val="none"/>
          <w:lang w:eastAsia="zh-CN"/>
        </w:rPr>
      </w:pPr>
      <w:bookmarkStart w:id="6" w:name="第01章招标公告"/>
      <w:bookmarkEnd w:id="6"/>
      <w:bookmarkStart w:id="7" w:name="_Toc22110"/>
      <w:r>
        <w:rPr>
          <w:rFonts w:hAnsi="黑体" w:eastAsia="黑体"/>
          <w:b/>
          <w:color w:val="auto"/>
          <w:sz w:val="32"/>
          <w:szCs w:val="32"/>
          <w:highlight w:val="none"/>
        </w:rPr>
        <w:t>第</w:t>
      </w:r>
      <w:r>
        <w:rPr>
          <w:rFonts w:eastAsia="黑体"/>
          <w:b/>
          <w:color w:val="auto"/>
          <w:sz w:val="32"/>
          <w:szCs w:val="32"/>
          <w:highlight w:val="none"/>
        </w:rPr>
        <w:t>1</w:t>
      </w:r>
      <w:r>
        <w:rPr>
          <w:rFonts w:hAnsi="黑体" w:eastAsia="黑体"/>
          <w:b/>
          <w:color w:val="auto"/>
          <w:sz w:val="32"/>
          <w:szCs w:val="32"/>
          <w:highlight w:val="none"/>
        </w:rPr>
        <w:t>章　招标公告</w:t>
      </w:r>
      <w:r>
        <w:rPr>
          <w:rFonts w:hint="eastAsia" w:eastAsia="黑体"/>
          <w:b/>
          <w:color w:val="auto"/>
          <w:sz w:val="32"/>
          <w:szCs w:val="32"/>
          <w:highlight w:val="none"/>
          <w:lang w:eastAsia="zh-CN"/>
        </w:rPr>
        <w:t>（</w:t>
      </w:r>
      <w:r>
        <w:rPr>
          <w:rFonts w:hAnsi="黑体" w:eastAsia="黑体"/>
          <w:b/>
          <w:color w:val="auto"/>
          <w:sz w:val="32"/>
          <w:szCs w:val="32"/>
          <w:highlight w:val="none"/>
        </w:rPr>
        <w:t>适用于未进行资格预审</w:t>
      </w:r>
      <w:r>
        <w:rPr>
          <w:rFonts w:hint="eastAsia" w:eastAsia="黑体"/>
          <w:b/>
          <w:color w:val="auto"/>
          <w:sz w:val="32"/>
          <w:szCs w:val="32"/>
          <w:highlight w:val="none"/>
          <w:lang w:eastAsia="zh-CN"/>
        </w:rPr>
        <w:t>）</w:t>
      </w:r>
      <w:bookmarkEnd w:id="7"/>
    </w:p>
    <w:p w14:paraId="6EFA7D76">
      <w:pPr>
        <w:jc w:val="left"/>
        <w:rPr>
          <w:color w:val="auto"/>
          <w:highlight w:val="none"/>
        </w:rPr>
      </w:pPr>
    </w:p>
    <w:p w14:paraId="017B8F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u w:val="single"/>
        </w:rPr>
        <w:t>　　　　　</w:t>
      </w:r>
      <w:r>
        <w:rPr>
          <w:rFonts w:hint="eastAsia"/>
          <w:color w:val="auto"/>
          <w:highlight w:val="none"/>
          <w:lang w:eastAsia="zh-CN"/>
        </w:rPr>
        <w:t>（</w:t>
      </w:r>
      <w:r>
        <w:rPr>
          <w:rFonts w:hint="eastAsia"/>
          <w:color w:val="auto"/>
          <w:highlight w:val="none"/>
        </w:rPr>
        <w:t>项目名称</w:t>
      </w:r>
      <w:r>
        <w:rPr>
          <w:rFonts w:hint="eastAsia"/>
          <w:color w:val="auto"/>
          <w:highlight w:val="none"/>
          <w:lang w:eastAsia="zh-CN"/>
        </w:rPr>
        <w:t>）</w:t>
      </w:r>
      <w:r>
        <w:rPr>
          <w:rFonts w:hint="eastAsia"/>
          <w:color w:val="auto"/>
          <w:highlight w:val="none"/>
          <w:u w:val="single"/>
        </w:rPr>
        <w:t>　　　　　　　</w:t>
      </w:r>
      <w:r>
        <w:rPr>
          <w:rFonts w:hint="eastAsia"/>
          <w:color w:val="auto"/>
          <w:highlight w:val="none"/>
          <w:lang w:eastAsia="zh-CN"/>
        </w:rPr>
        <w:t>（</w:t>
      </w:r>
      <w:r>
        <w:rPr>
          <w:rFonts w:hint="eastAsia"/>
          <w:color w:val="auto"/>
          <w:highlight w:val="none"/>
        </w:rPr>
        <w:t>标段名称</w:t>
      </w:r>
      <w:r>
        <w:rPr>
          <w:rFonts w:hint="eastAsia"/>
          <w:color w:val="auto"/>
          <w:highlight w:val="none"/>
          <w:lang w:eastAsia="zh-CN"/>
        </w:rPr>
        <w:t>）</w:t>
      </w:r>
      <w:r>
        <w:rPr>
          <w:rFonts w:hint="eastAsia"/>
          <w:color w:val="auto"/>
          <w:highlight w:val="none"/>
        </w:rPr>
        <w:t>招标公告</w:t>
      </w:r>
    </w:p>
    <w:p w14:paraId="631E4A03">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b/>
          <w:color w:val="auto"/>
          <w:highlight w:val="none"/>
        </w:rPr>
      </w:pPr>
      <w:bookmarkStart w:id="8" w:name="第01章招标公告01"/>
      <w:bookmarkEnd w:id="8"/>
      <w:bookmarkStart w:id="9" w:name="_Toc29163"/>
      <w:r>
        <w:rPr>
          <w:rFonts w:hint="eastAsia"/>
          <w:b/>
          <w:color w:val="auto"/>
          <w:highlight w:val="none"/>
        </w:rPr>
        <w:t>1　招标条件</w:t>
      </w:r>
      <w:bookmarkEnd w:id="9"/>
    </w:p>
    <w:p w14:paraId="3D1DEF51">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　　本招标项目</w:t>
      </w:r>
      <w:r>
        <w:rPr>
          <w:rFonts w:hint="eastAsia"/>
          <w:color w:val="auto"/>
          <w:highlight w:val="none"/>
          <w:u w:val="single"/>
        </w:rPr>
        <w:t>　　　　　　　　　</w:t>
      </w:r>
      <w:r>
        <w:rPr>
          <w:rFonts w:hint="eastAsia"/>
          <w:color w:val="auto"/>
          <w:highlight w:val="none"/>
          <w:lang w:eastAsia="zh-CN"/>
        </w:rPr>
        <w:t>（</w:t>
      </w:r>
      <w:r>
        <w:rPr>
          <w:rFonts w:hint="eastAsia"/>
          <w:color w:val="auto"/>
          <w:highlight w:val="none"/>
        </w:rPr>
        <w:t>项目名称</w:t>
      </w:r>
      <w:r>
        <w:rPr>
          <w:rFonts w:hint="eastAsia"/>
          <w:color w:val="auto"/>
          <w:highlight w:val="none"/>
          <w:lang w:eastAsia="zh-CN"/>
        </w:rPr>
        <w:t>）</w:t>
      </w:r>
      <w:r>
        <w:rPr>
          <w:rFonts w:hint="eastAsia"/>
          <w:color w:val="auto"/>
          <w:highlight w:val="none"/>
        </w:rPr>
        <w:t>已由</w:t>
      </w:r>
      <w:r>
        <w:rPr>
          <w:rFonts w:hint="eastAsia"/>
          <w:color w:val="auto"/>
          <w:highlight w:val="none"/>
          <w:u w:val="single"/>
        </w:rPr>
        <w:t>　　　　　　</w:t>
      </w:r>
      <w:r>
        <w:rPr>
          <w:rFonts w:hint="eastAsia"/>
          <w:color w:val="auto"/>
          <w:highlight w:val="none"/>
          <w:lang w:eastAsia="zh-CN"/>
        </w:rPr>
        <w:t>（</w:t>
      </w:r>
      <w:r>
        <w:rPr>
          <w:rFonts w:hint="eastAsia"/>
          <w:color w:val="auto"/>
          <w:highlight w:val="none"/>
        </w:rPr>
        <w:t>项目审批，核准或备案机关名称</w:t>
      </w:r>
      <w:r>
        <w:rPr>
          <w:rFonts w:hint="eastAsia"/>
          <w:color w:val="auto"/>
          <w:highlight w:val="none"/>
          <w:lang w:eastAsia="zh-CN"/>
        </w:rPr>
        <w:t>）</w:t>
      </w:r>
      <w:r>
        <w:rPr>
          <w:rFonts w:hint="eastAsia"/>
          <w:color w:val="auto"/>
          <w:highlight w:val="none"/>
        </w:rPr>
        <w:t>以</w:t>
      </w:r>
      <w:r>
        <w:rPr>
          <w:rFonts w:hint="eastAsia"/>
          <w:color w:val="auto"/>
          <w:highlight w:val="none"/>
          <w:u w:val="single"/>
        </w:rPr>
        <w:t>　　　　　　　</w:t>
      </w:r>
      <w:r>
        <w:rPr>
          <w:rFonts w:hint="eastAsia"/>
          <w:color w:val="auto"/>
          <w:highlight w:val="none"/>
          <w:lang w:eastAsia="zh-CN"/>
        </w:rPr>
        <w:t>（</w:t>
      </w:r>
      <w:r>
        <w:rPr>
          <w:rFonts w:hint="eastAsia"/>
          <w:color w:val="auto"/>
          <w:highlight w:val="none"/>
        </w:rPr>
        <w:t>批文名称及编号</w:t>
      </w:r>
      <w:r>
        <w:rPr>
          <w:rFonts w:hint="eastAsia"/>
          <w:color w:val="auto"/>
          <w:highlight w:val="none"/>
          <w:lang w:eastAsia="zh-CN"/>
        </w:rPr>
        <w:t>）</w:t>
      </w:r>
      <w:r>
        <w:rPr>
          <w:rFonts w:hint="eastAsia"/>
          <w:color w:val="auto"/>
          <w:highlight w:val="none"/>
        </w:rPr>
        <w:t>批准建设，建设资金来自</w:t>
      </w:r>
      <w:r>
        <w:rPr>
          <w:rFonts w:hint="eastAsia"/>
          <w:color w:val="auto"/>
          <w:highlight w:val="none"/>
          <w:u w:val="single"/>
        </w:rPr>
        <w:t>　　　　</w:t>
      </w:r>
      <w:r>
        <w:rPr>
          <w:rFonts w:hint="eastAsia"/>
          <w:color w:val="auto"/>
          <w:highlight w:val="none"/>
          <w:lang w:eastAsia="zh-CN"/>
        </w:rPr>
        <w:t>（</w:t>
      </w:r>
      <w:r>
        <w:rPr>
          <w:rFonts w:hint="eastAsia"/>
          <w:color w:val="auto"/>
          <w:highlight w:val="none"/>
        </w:rPr>
        <w:t>资金来源</w:t>
      </w:r>
      <w:r>
        <w:rPr>
          <w:rFonts w:hint="eastAsia"/>
          <w:color w:val="auto"/>
          <w:highlight w:val="none"/>
          <w:lang w:eastAsia="zh-CN"/>
        </w:rPr>
        <w:t>）</w:t>
      </w:r>
      <w:r>
        <w:rPr>
          <w:rFonts w:hint="eastAsia"/>
          <w:color w:val="auto"/>
          <w:highlight w:val="none"/>
        </w:rPr>
        <w:t>，项目出资比例为</w:t>
      </w:r>
      <w:r>
        <w:rPr>
          <w:rFonts w:hint="eastAsia"/>
          <w:color w:val="auto"/>
          <w:highlight w:val="none"/>
          <w:u w:val="single"/>
        </w:rPr>
        <w:t>　　　</w:t>
      </w:r>
      <w:r>
        <w:rPr>
          <w:rFonts w:hint="eastAsia"/>
          <w:color w:val="auto"/>
          <w:highlight w:val="none"/>
        </w:rPr>
        <w:t>，项目法人为</w:t>
      </w:r>
      <w:r>
        <w:rPr>
          <w:rFonts w:hint="eastAsia"/>
          <w:color w:val="auto"/>
          <w:highlight w:val="none"/>
          <w:u w:val="single"/>
        </w:rPr>
        <w:t>　　　　</w:t>
      </w:r>
      <w:r>
        <w:rPr>
          <w:rFonts w:hint="eastAsia"/>
          <w:color w:val="auto"/>
          <w:highlight w:val="none"/>
        </w:rPr>
        <w:t>，项目代建</w:t>
      </w:r>
      <w:r>
        <w:rPr>
          <w:rFonts w:hint="eastAsia"/>
          <w:color w:val="auto"/>
          <w:highlight w:val="none"/>
          <w:lang w:eastAsia="zh-CN"/>
        </w:rPr>
        <w:t>（</w:t>
      </w:r>
      <w:r>
        <w:rPr>
          <w:rFonts w:hint="eastAsia"/>
          <w:color w:val="auto"/>
          <w:highlight w:val="none"/>
          <w:lang w:val="en-US" w:eastAsia="zh-CN"/>
        </w:rPr>
        <w:t>或代管</w:t>
      </w:r>
      <w:r>
        <w:rPr>
          <w:rFonts w:hint="eastAsia"/>
          <w:color w:val="auto"/>
          <w:highlight w:val="none"/>
          <w:lang w:eastAsia="zh-CN"/>
        </w:rPr>
        <w:t>）</w:t>
      </w:r>
      <w:r>
        <w:rPr>
          <w:rFonts w:hint="eastAsia"/>
          <w:color w:val="auto"/>
          <w:highlight w:val="none"/>
        </w:rPr>
        <w:t>机构为</w:t>
      </w:r>
      <w:r>
        <w:rPr>
          <w:rFonts w:hint="eastAsia"/>
          <w:color w:val="auto"/>
          <w:highlight w:val="none"/>
          <w:u w:val="single"/>
        </w:rPr>
        <w:t>　　　　</w:t>
      </w:r>
      <w:r>
        <w:rPr>
          <w:rFonts w:hint="eastAsia"/>
          <w:color w:val="auto"/>
          <w:highlight w:val="none"/>
        </w:rPr>
        <w:t>，招标人为</w:t>
      </w:r>
      <w:r>
        <w:rPr>
          <w:rFonts w:hint="eastAsia"/>
          <w:color w:val="auto"/>
          <w:highlight w:val="none"/>
          <w:u w:val="single"/>
        </w:rPr>
        <w:t>　　　　</w:t>
      </w:r>
      <w:r>
        <w:rPr>
          <w:rFonts w:hint="eastAsia"/>
          <w:color w:val="auto"/>
          <w:highlight w:val="none"/>
        </w:rPr>
        <w:t>，招标代理机构为</w:t>
      </w:r>
      <w:r>
        <w:rPr>
          <w:rFonts w:hint="eastAsia"/>
          <w:color w:val="auto"/>
          <w:highlight w:val="none"/>
          <w:u w:val="single"/>
        </w:rPr>
        <w:t>　　　　　</w:t>
      </w:r>
      <w:r>
        <w:rPr>
          <w:rFonts w:hint="eastAsia"/>
          <w:color w:val="auto"/>
          <w:highlight w:val="none"/>
        </w:rPr>
        <w:t>。项目已具备招标条件，现对该项目施工进行公开招标。</w:t>
      </w:r>
    </w:p>
    <w:p w14:paraId="7C9F3399">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b/>
          <w:color w:val="auto"/>
          <w:highlight w:val="none"/>
        </w:rPr>
      </w:pPr>
      <w:bookmarkStart w:id="10" w:name="第01章招标公告02"/>
      <w:bookmarkEnd w:id="10"/>
      <w:bookmarkStart w:id="11" w:name="_Toc20491"/>
      <w:r>
        <w:rPr>
          <w:rFonts w:hint="eastAsia"/>
          <w:b/>
          <w:color w:val="auto"/>
          <w:highlight w:val="none"/>
        </w:rPr>
        <w:t>2　项目概况与招标范围</w:t>
      </w:r>
      <w:bookmarkEnd w:id="11"/>
    </w:p>
    <w:p w14:paraId="2DF03594">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　　</w:t>
      </w:r>
      <w:r>
        <w:rPr>
          <w:rFonts w:hint="eastAsia"/>
          <w:color w:val="auto"/>
          <w:highlight w:val="none"/>
          <w:u w:val="single"/>
        </w:rPr>
        <w:t>　　　　　　　　</w:t>
      </w:r>
      <w:r>
        <w:rPr>
          <w:rFonts w:hint="eastAsia"/>
          <w:color w:val="auto"/>
          <w:highlight w:val="none"/>
          <w:lang w:eastAsia="zh-CN"/>
        </w:rPr>
        <w:t>（</w:t>
      </w:r>
      <w:r>
        <w:rPr>
          <w:rFonts w:hint="eastAsia"/>
          <w:color w:val="auto"/>
          <w:highlight w:val="none"/>
        </w:rPr>
        <w:t>说明本次招标项目的建设地点、规模、计划工期、招标范围、标段划分以及相应计划工期等</w:t>
      </w:r>
      <w:r>
        <w:rPr>
          <w:rFonts w:hint="eastAsia"/>
          <w:color w:val="auto"/>
          <w:highlight w:val="none"/>
          <w:lang w:eastAsia="zh-CN"/>
        </w:rPr>
        <w:t>）</w:t>
      </w:r>
      <w:r>
        <w:rPr>
          <w:rFonts w:hint="eastAsia"/>
          <w:color w:val="auto"/>
          <w:highlight w:val="none"/>
        </w:rPr>
        <w:t>。</w:t>
      </w:r>
    </w:p>
    <w:p w14:paraId="2CFF33F7">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b/>
          <w:color w:val="auto"/>
          <w:highlight w:val="none"/>
        </w:rPr>
      </w:pPr>
      <w:bookmarkStart w:id="12" w:name="第01章招标公告03"/>
      <w:bookmarkEnd w:id="12"/>
      <w:bookmarkStart w:id="13" w:name="_Toc13890"/>
      <w:r>
        <w:rPr>
          <w:rFonts w:hint="eastAsia"/>
          <w:b/>
          <w:color w:val="auto"/>
          <w:highlight w:val="none"/>
        </w:rPr>
        <w:t>3　投标人资格要求</w:t>
      </w:r>
      <w:bookmarkEnd w:id="13"/>
    </w:p>
    <w:p w14:paraId="00D3FC9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color w:val="auto"/>
          <w:highlight w:val="none"/>
        </w:rPr>
      </w:pPr>
      <w:r>
        <w:rPr>
          <w:rFonts w:hint="default"/>
          <w:color w:val="auto"/>
          <w:highlight w:val="none"/>
        </w:rPr>
        <w:t>3.1本次招标要求投标人须具备独立法人资格</w:t>
      </w:r>
      <w:r>
        <w:rPr>
          <w:rFonts w:hint="eastAsia"/>
          <w:color w:val="auto"/>
          <w:highlight w:val="none"/>
          <w:lang w:eastAsia="zh-CN"/>
        </w:rPr>
        <w:t>，</w:t>
      </w:r>
      <w:r>
        <w:rPr>
          <w:rFonts w:hint="eastAsia"/>
          <w:color w:val="auto"/>
          <w:highlight w:val="none"/>
          <w:lang w:val="en-US" w:eastAsia="zh-CN"/>
        </w:rPr>
        <w:t>具有与项目建设相适应的施工资质，</w:t>
      </w:r>
      <w:r>
        <w:rPr>
          <w:rFonts w:hint="default"/>
          <w:color w:val="auto"/>
          <w:highlight w:val="none"/>
        </w:rPr>
        <w:t>具备有效的安全生产许可证。</w:t>
      </w:r>
    </w:p>
    <w:p w14:paraId="6B0BD02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rPr>
        <w:t>3.2本次招标</w:t>
      </w:r>
      <w:r>
        <w:rPr>
          <w:rFonts w:hint="eastAsia"/>
          <w:color w:val="auto"/>
          <w:highlight w:val="none"/>
          <w:u w:val="single"/>
        </w:rPr>
        <w:t>　　　　　　</w:t>
      </w:r>
      <w:r>
        <w:rPr>
          <w:rFonts w:hint="eastAsia"/>
          <w:color w:val="auto"/>
          <w:highlight w:val="none"/>
          <w:u w:val="single"/>
          <w:lang w:eastAsia="zh-CN"/>
        </w:rPr>
        <w:t>（</w:t>
      </w:r>
      <w:r>
        <w:rPr>
          <w:rFonts w:hint="eastAsia"/>
          <w:color w:val="auto"/>
          <w:highlight w:val="none"/>
        </w:rPr>
        <w:t>接受</w:t>
      </w:r>
      <w:r>
        <w:rPr>
          <w:rFonts w:hint="eastAsia"/>
          <w:color w:val="auto"/>
          <w:highlight w:val="none"/>
          <w:lang w:eastAsia="zh-CN"/>
        </w:rPr>
        <w:t>）</w:t>
      </w:r>
      <w:r>
        <w:rPr>
          <w:rFonts w:hint="eastAsia"/>
          <w:color w:val="auto"/>
          <w:highlight w:val="none"/>
        </w:rPr>
        <w:t>联合体投标。联合体投标的，应满足下列要求：</w:t>
      </w:r>
      <w:r>
        <w:rPr>
          <w:rFonts w:hint="eastAsia"/>
          <w:color w:val="auto"/>
          <w:highlight w:val="none"/>
          <w:u w:val="single"/>
        </w:rPr>
        <w:t>　　　　　　　　　　　　　　　</w:t>
      </w:r>
      <w:r>
        <w:rPr>
          <w:rFonts w:hint="eastAsia"/>
          <w:color w:val="auto"/>
          <w:highlight w:val="none"/>
        </w:rPr>
        <w:t>。</w:t>
      </w:r>
    </w:p>
    <w:p w14:paraId="2E18E7F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rPr>
        <w:t>3.3本次招标实行资格后审，资格审查的具体要求见招标文件。资格后审不合格的投标人投标文件将按废标处理。</w:t>
      </w:r>
    </w:p>
    <w:p w14:paraId="2B627E7D">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b/>
          <w:color w:val="auto"/>
          <w:highlight w:val="none"/>
        </w:rPr>
      </w:pPr>
      <w:bookmarkStart w:id="14" w:name="第01章招标公告04"/>
      <w:bookmarkEnd w:id="14"/>
      <w:bookmarkStart w:id="15" w:name="_Toc2309"/>
      <w:r>
        <w:rPr>
          <w:rFonts w:hint="eastAsia"/>
          <w:b/>
          <w:color w:val="auto"/>
          <w:highlight w:val="none"/>
        </w:rPr>
        <w:t>4　招标文件的获取</w:t>
      </w:r>
      <w:bookmarkEnd w:id="15"/>
    </w:p>
    <w:p w14:paraId="44B951E8">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i w:val="0"/>
          <w:iCs w:val="0"/>
          <w:color w:val="auto"/>
          <w:highlight w:val="none"/>
        </w:rPr>
      </w:pPr>
      <w:r>
        <w:rPr>
          <w:rFonts w:hint="eastAsia"/>
          <w:i w:val="0"/>
          <w:iCs w:val="0"/>
          <w:color w:val="auto"/>
          <w:highlight w:val="none"/>
          <w:lang w:val="en-US" w:eastAsia="zh-CN"/>
        </w:rPr>
        <w:t>4.1 凡有意参加投标者，请于</w:t>
      </w:r>
      <w:r>
        <w:rPr>
          <w:rFonts w:hint="eastAsia"/>
          <w:i w:val="0"/>
          <w:iCs w:val="0"/>
          <w:color w:val="auto"/>
          <w:highlight w:val="none"/>
          <w:lang w:val="en-US" w:eastAsia="zh-CN"/>
        </w:rPr>
        <w:tab/>
      </w:r>
      <w:r>
        <w:rPr>
          <w:rFonts w:hint="eastAsia"/>
          <w:i w:val="0"/>
          <w:iCs w:val="0"/>
          <w:color w:val="auto"/>
          <w:highlight w:val="none"/>
          <w:lang w:val="en-US" w:eastAsia="zh-CN"/>
        </w:rPr>
        <w:t>年</w:t>
      </w:r>
      <w:r>
        <w:rPr>
          <w:rFonts w:hint="eastAsia"/>
          <w:i w:val="0"/>
          <w:iCs w:val="0"/>
          <w:color w:val="auto"/>
          <w:highlight w:val="none"/>
          <w:lang w:val="en-US" w:eastAsia="zh-CN"/>
        </w:rPr>
        <w:tab/>
      </w:r>
      <w:r>
        <w:rPr>
          <w:rFonts w:hint="eastAsia"/>
          <w:i w:val="0"/>
          <w:iCs w:val="0"/>
          <w:color w:val="auto"/>
          <w:highlight w:val="none"/>
          <w:lang w:val="en-US" w:eastAsia="zh-CN"/>
        </w:rPr>
        <w:t>月</w:t>
      </w:r>
      <w:r>
        <w:rPr>
          <w:rFonts w:hint="eastAsia"/>
          <w:i w:val="0"/>
          <w:iCs w:val="0"/>
          <w:color w:val="auto"/>
          <w:highlight w:val="none"/>
          <w:lang w:val="en-US" w:eastAsia="zh-CN"/>
        </w:rPr>
        <w:tab/>
      </w:r>
      <w:r>
        <w:rPr>
          <w:rFonts w:hint="eastAsia"/>
          <w:i w:val="0"/>
          <w:iCs w:val="0"/>
          <w:color w:val="auto"/>
          <w:highlight w:val="none"/>
          <w:lang w:val="en-US" w:eastAsia="zh-CN"/>
        </w:rPr>
        <w:t>日</w:t>
      </w:r>
      <w:r>
        <w:rPr>
          <w:rFonts w:hint="eastAsia"/>
          <w:i w:val="0"/>
          <w:iCs w:val="0"/>
          <w:color w:val="auto"/>
          <w:highlight w:val="none"/>
          <w:lang w:val="en-US" w:eastAsia="zh-CN"/>
        </w:rPr>
        <w:tab/>
      </w:r>
      <w:r>
        <w:rPr>
          <w:rFonts w:hint="eastAsia"/>
          <w:i w:val="0"/>
          <w:iCs w:val="0"/>
          <w:color w:val="auto"/>
          <w:highlight w:val="none"/>
          <w:lang w:val="en-US" w:eastAsia="zh-CN"/>
        </w:rPr>
        <w:t xml:space="preserve">时至 </w:t>
      </w:r>
      <w:r>
        <w:rPr>
          <w:rFonts w:hint="eastAsia"/>
          <w:i w:val="0"/>
          <w:iCs w:val="0"/>
          <w:color w:val="auto"/>
          <w:highlight w:val="none"/>
          <w:lang w:val="en-US" w:eastAsia="zh-CN"/>
        </w:rPr>
        <w:tab/>
      </w:r>
      <w:r>
        <w:rPr>
          <w:rFonts w:hint="eastAsia"/>
          <w:i w:val="0"/>
          <w:iCs w:val="0"/>
          <w:color w:val="auto"/>
          <w:highlight w:val="none"/>
          <w:lang w:val="en-US" w:eastAsia="zh-CN"/>
        </w:rPr>
        <w:t>年</w:t>
      </w:r>
      <w:r>
        <w:rPr>
          <w:rFonts w:hint="eastAsia"/>
          <w:i w:val="0"/>
          <w:iCs w:val="0"/>
          <w:color w:val="auto"/>
          <w:highlight w:val="none"/>
          <w:lang w:val="en-US" w:eastAsia="zh-CN"/>
        </w:rPr>
        <w:tab/>
      </w:r>
      <w:r>
        <w:rPr>
          <w:rFonts w:hint="eastAsia"/>
          <w:i w:val="0"/>
          <w:iCs w:val="0"/>
          <w:color w:val="auto"/>
          <w:highlight w:val="none"/>
          <w:lang w:val="en-US" w:eastAsia="zh-CN"/>
        </w:rPr>
        <w:t>月</w:t>
      </w:r>
      <w:r>
        <w:rPr>
          <w:rFonts w:hint="eastAsia"/>
          <w:i w:val="0"/>
          <w:iCs w:val="0"/>
          <w:color w:val="auto"/>
          <w:highlight w:val="none"/>
          <w:lang w:val="en-US" w:eastAsia="zh-CN"/>
        </w:rPr>
        <w:tab/>
      </w:r>
      <w:r>
        <w:rPr>
          <w:rFonts w:hint="eastAsia"/>
          <w:i w:val="0"/>
          <w:iCs w:val="0"/>
          <w:color w:val="auto"/>
          <w:highlight w:val="none"/>
          <w:lang w:val="en-US" w:eastAsia="zh-CN"/>
        </w:rPr>
        <w:t>日</w:t>
      </w:r>
      <w:r>
        <w:rPr>
          <w:rFonts w:hint="eastAsia"/>
          <w:i w:val="0"/>
          <w:iCs w:val="0"/>
          <w:color w:val="auto"/>
          <w:highlight w:val="none"/>
          <w:lang w:val="en-US" w:eastAsia="zh-CN"/>
        </w:rPr>
        <w:tab/>
      </w:r>
      <w:r>
        <w:rPr>
          <w:rFonts w:hint="eastAsia"/>
          <w:i w:val="0"/>
          <w:iCs w:val="0"/>
          <w:color w:val="auto"/>
          <w:highlight w:val="none"/>
          <w:lang w:val="en-US" w:eastAsia="zh-CN"/>
        </w:rPr>
        <w:t xml:space="preserve">时（北京时间，下同），登录 </w:t>
      </w:r>
      <w:r>
        <w:rPr>
          <w:rFonts w:hint="eastAsia"/>
          <w:i w:val="0"/>
          <w:iCs w:val="0"/>
          <w:color w:val="auto"/>
          <w:highlight w:val="none"/>
          <w:lang w:val="en-US" w:eastAsia="zh-CN"/>
        </w:rPr>
        <w:tab/>
      </w:r>
      <w:r>
        <w:rPr>
          <w:rFonts w:hint="eastAsia"/>
          <w:i w:val="0"/>
          <w:iCs w:val="0"/>
          <w:color w:val="auto"/>
          <w:highlight w:val="none"/>
          <w:lang w:val="en-US" w:eastAsia="zh-CN"/>
        </w:rPr>
        <w:t>（</w:t>
      </w:r>
      <w:r>
        <w:rPr>
          <w:rFonts w:hint="eastAsia"/>
          <w:b/>
          <w:bCs/>
          <w:i w:val="0"/>
          <w:iCs w:val="0"/>
          <w:color w:val="auto"/>
          <w:highlight w:val="none"/>
          <w:lang w:val="en-US" w:eastAsia="zh-CN"/>
        </w:rPr>
        <w:t>电子招标投标交易平台名称</w:t>
      </w:r>
      <w:r>
        <w:rPr>
          <w:rFonts w:hint="eastAsia"/>
          <w:i w:val="0"/>
          <w:iCs w:val="0"/>
          <w:color w:val="auto"/>
          <w:highlight w:val="none"/>
          <w:lang w:val="en-US" w:eastAsia="zh-CN"/>
        </w:rPr>
        <w:t>）下载电子招标文件。</w:t>
      </w:r>
    </w:p>
    <w:p w14:paraId="3C0BBEDD">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b/>
          <w:color w:val="auto"/>
          <w:highlight w:val="none"/>
        </w:rPr>
      </w:pPr>
      <w:bookmarkStart w:id="16" w:name="第01章招标公告05"/>
      <w:bookmarkEnd w:id="16"/>
      <w:bookmarkStart w:id="17" w:name="_Toc10998"/>
      <w:r>
        <w:rPr>
          <w:rFonts w:hint="eastAsia"/>
          <w:b/>
          <w:color w:val="auto"/>
          <w:highlight w:val="none"/>
        </w:rPr>
        <w:t>5　投标文件的递交</w:t>
      </w:r>
      <w:bookmarkEnd w:id="17"/>
    </w:p>
    <w:p w14:paraId="50DEF84F">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i/>
          <w:iCs/>
          <w:color w:val="auto"/>
          <w:highlight w:val="none"/>
        </w:rPr>
      </w:pPr>
      <w:r>
        <w:rPr>
          <w:rFonts w:hint="eastAsia"/>
          <w:i w:val="0"/>
          <w:iCs w:val="0"/>
          <w:color w:val="auto"/>
          <w:highlight w:val="none"/>
          <w:lang w:val="en-US" w:eastAsia="zh-CN"/>
        </w:rPr>
        <w:t xml:space="preserve">5.1 </w:t>
      </w:r>
      <w:r>
        <w:rPr>
          <w:rFonts w:hint="eastAsia"/>
          <w:i w:val="0"/>
          <w:iCs w:val="0"/>
          <w:color w:val="auto"/>
          <w:highlight w:val="none"/>
        </w:rPr>
        <w:t>投标文件递交的截止时间（投标截止时间，下同）为</w:t>
      </w:r>
      <w:r>
        <w:rPr>
          <w:rFonts w:hint="eastAsia"/>
          <w:i w:val="0"/>
          <w:iCs w:val="0"/>
          <w:color w:val="auto"/>
          <w:highlight w:val="none"/>
        </w:rPr>
        <w:tab/>
      </w:r>
      <w:r>
        <w:rPr>
          <w:rFonts w:hint="eastAsia"/>
          <w:i w:val="0"/>
          <w:iCs w:val="0"/>
          <w:color w:val="auto"/>
          <w:highlight w:val="none"/>
        </w:rPr>
        <w:t>年</w:t>
      </w:r>
      <w:r>
        <w:rPr>
          <w:rFonts w:hint="eastAsia"/>
          <w:i w:val="0"/>
          <w:iCs w:val="0"/>
          <w:color w:val="auto"/>
          <w:highlight w:val="none"/>
        </w:rPr>
        <w:tab/>
      </w:r>
      <w:r>
        <w:rPr>
          <w:rFonts w:hint="eastAsia"/>
          <w:i w:val="0"/>
          <w:iCs w:val="0"/>
          <w:color w:val="auto"/>
          <w:highlight w:val="none"/>
        </w:rPr>
        <w:t xml:space="preserve">月 </w:t>
      </w:r>
      <w:r>
        <w:rPr>
          <w:rFonts w:hint="eastAsia"/>
          <w:i w:val="0"/>
          <w:iCs w:val="0"/>
          <w:color w:val="auto"/>
          <w:highlight w:val="none"/>
        </w:rPr>
        <w:tab/>
      </w:r>
      <w:r>
        <w:rPr>
          <w:rFonts w:hint="eastAsia"/>
          <w:i w:val="0"/>
          <w:iCs w:val="0"/>
          <w:color w:val="auto"/>
          <w:highlight w:val="none"/>
        </w:rPr>
        <w:t>日</w:t>
      </w:r>
      <w:r>
        <w:rPr>
          <w:rFonts w:hint="eastAsia"/>
          <w:i w:val="0"/>
          <w:iCs w:val="0"/>
          <w:color w:val="auto"/>
          <w:highlight w:val="none"/>
        </w:rPr>
        <w:tab/>
      </w:r>
      <w:r>
        <w:rPr>
          <w:rFonts w:hint="eastAsia"/>
          <w:i w:val="0"/>
          <w:iCs w:val="0"/>
          <w:color w:val="auto"/>
          <w:highlight w:val="none"/>
        </w:rPr>
        <w:t>时</w:t>
      </w:r>
      <w:r>
        <w:rPr>
          <w:rFonts w:hint="eastAsia"/>
          <w:i w:val="0"/>
          <w:iCs w:val="0"/>
          <w:color w:val="auto"/>
          <w:highlight w:val="none"/>
        </w:rPr>
        <w:tab/>
      </w:r>
      <w:r>
        <w:rPr>
          <w:rFonts w:hint="eastAsia"/>
          <w:i w:val="0"/>
          <w:iCs w:val="0"/>
          <w:color w:val="auto"/>
          <w:highlight w:val="none"/>
        </w:rPr>
        <w:t>分，投标人应在截止时间前通过</w:t>
      </w:r>
      <w:r>
        <w:rPr>
          <w:rFonts w:hint="eastAsia"/>
          <w:i w:val="0"/>
          <w:iCs w:val="0"/>
          <w:color w:val="auto"/>
          <w:highlight w:val="none"/>
        </w:rPr>
        <w:tab/>
      </w:r>
      <w:r>
        <w:rPr>
          <w:rFonts w:hint="eastAsia"/>
          <w:i w:val="0"/>
          <w:iCs w:val="0"/>
          <w:color w:val="auto"/>
          <w:highlight w:val="none"/>
        </w:rPr>
        <w:t>（电子 招标投标交易平台）递交电子投标文件。</w:t>
      </w:r>
    </w:p>
    <w:p w14:paraId="0673DCB3">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i w:val="0"/>
          <w:iCs w:val="0"/>
          <w:color w:val="auto"/>
          <w:highlight w:val="none"/>
        </w:rPr>
      </w:pPr>
      <w:r>
        <w:rPr>
          <w:rFonts w:hint="eastAsia"/>
          <w:i w:val="0"/>
          <w:iCs w:val="0"/>
          <w:color w:val="auto"/>
          <w:highlight w:val="none"/>
        </w:rPr>
        <w:t>5.2 投标人应当在投标截止时间前完成投标文件的传输递交，并可以补充、修改或者撤回投标文件。投标截止时间前未完成投标文件传输的，视为撤回投标文件。投标截止时间后送达的投标文件，电子招标投标交易平台应当拒收。</w:t>
      </w:r>
    </w:p>
    <w:p w14:paraId="3A1876DB">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i w:val="0"/>
          <w:iCs w:val="0"/>
          <w:color w:val="auto"/>
          <w:highlight w:val="none"/>
        </w:rPr>
      </w:pPr>
      <w:r>
        <w:rPr>
          <w:rFonts w:hint="eastAsia"/>
          <w:i w:val="0"/>
          <w:iCs w:val="0"/>
          <w:color w:val="auto"/>
          <w:highlight w:val="none"/>
        </w:rPr>
        <w:t>5.3 因投标人原因造成投标文件未解密的，视为撤销其投标文件；因投标人之外的原因造成投标文件未解密的，视为撤回其投标文件。部分投标文件未解密的，其他投标文件的开标可以继续进行。招标文件另有规定的，从其规定。</w:t>
      </w:r>
    </w:p>
    <w:p w14:paraId="674EEF24">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i/>
          <w:iCs/>
          <w:color w:val="auto"/>
          <w:highlight w:val="none"/>
        </w:rPr>
      </w:pPr>
      <w:r>
        <w:rPr>
          <w:rFonts w:hint="eastAsia"/>
          <w:i w:val="0"/>
          <w:iCs w:val="0"/>
          <w:color w:val="auto"/>
          <w:highlight w:val="none"/>
        </w:rPr>
        <w:t>5.4投标保证金的形式：银行转账、银行保函、电子保函、建设工程投标保证保险支付等。银行转账应当从其基本账户中转出，投标保证金到账截止日期：           。</w:t>
      </w:r>
    </w:p>
    <w:p w14:paraId="57DF7B29">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b/>
          <w:color w:val="auto"/>
          <w:highlight w:val="none"/>
        </w:rPr>
      </w:pPr>
      <w:bookmarkStart w:id="18" w:name="第01章招标公告06"/>
      <w:bookmarkEnd w:id="18"/>
      <w:bookmarkStart w:id="19" w:name="_Toc14122"/>
      <w:r>
        <w:rPr>
          <w:rFonts w:hint="eastAsia"/>
          <w:b/>
          <w:i w:val="0"/>
          <w:iCs w:val="0"/>
          <w:color w:val="auto"/>
          <w:highlight w:val="none"/>
        </w:rPr>
        <w:t>6　</w:t>
      </w:r>
      <w:r>
        <w:rPr>
          <w:rFonts w:hint="eastAsia"/>
          <w:b/>
          <w:color w:val="auto"/>
          <w:highlight w:val="none"/>
        </w:rPr>
        <w:t>发布公告的媒介</w:t>
      </w:r>
      <w:bookmarkEnd w:id="19"/>
    </w:p>
    <w:p w14:paraId="0F380D8B">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color w:val="auto"/>
          <w:highlight w:val="none"/>
        </w:rPr>
      </w:pPr>
      <w:r>
        <w:rPr>
          <w:rFonts w:hint="eastAsia"/>
          <w:color w:val="auto"/>
          <w:highlight w:val="none"/>
        </w:rPr>
        <w:t>本招标公告同时在</w:t>
      </w:r>
      <w:r>
        <w:rPr>
          <w:rFonts w:hint="eastAsia"/>
          <w:color w:val="auto"/>
          <w:highlight w:val="none"/>
          <w:u w:val="single"/>
        </w:rPr>
        <w:t>　　　　　　　　　</w:t>
      </w:r>
      <w:r>
        <w:rPr>
          <w:rFonts w:hint="eastAsia"/>
          <w:color w:val="auto"/>
          <w:highlight w:val="none"/>
          <w:lang w:eastAsia="zh-CN"/>
        </w:rPr>
        <w:t>（</w:t>
      </w:r>
      <w:r>
        <w:rPr>
          <w:rFonts w:hint="eastAsia"/>
          <w:color w:val="auto"/>
          <w:highlight w:val="none"/>
        </w:rPr>
        <w:t>发布公告的媒介名称</w:t>
      </w:r>
      <w:r>
        <w:rPr>
          <w:rFonts w:hint="eastAsia"/>
          <w:color w:val="auto"/>
          <w:highlight w:val="none"/>
          <w:lang w:eastAsia="zh-CN"/>
        </w:rPr>
        <w:t>）</w:t>
      </w:r>
      <w:r>
        <w:rPr>
          <w:rFonts w:hint="eastAsia"/>
          <w:color w:val="auto"/>
          <w:highlight w:val="none"/>
        </w:rPr>
        <w:t>上发布。</w:t>
      </w:r>
    </w:p>
    <w:p w14:paraId="3E77A67B">
      <w:pPr>
        <w:keepNext w:val="0"/>
        <w:keepLines w:val="0"/>
        <w:pageBreakBefore w:val="0"/>
        <w:widowControl w:val="0"/>
        <w:kinsoku/>
        <w:wordWrap/>
        <w:overflowPunct/>
        <w:topLinePunct w:val="0"/>
        <w:autoSpaceDE/>
        <w:autoSpaceDN/>
        <w:bidi w:val="0"/>
        <w:adjustRightInd/>
        <w:snapToGrid/>
        <w:spacing w:line="400" w:lineRule="exact"/>
        <w:ind w:firstLine="0"/>
        <w:textAlignment w:val="auto"/>
        <w:outlineLvl w:val="1"/>
        <w:rPr>
          <w:rFonts w:hint="eastAsia"/>
          <w:b/>
          <w:bCs/>
          <w:color w:val="auto"/>
          <w:highlight w:val="none"/>
          <w:lang w:val="en-US" w:eastAsia="zh-CN"/>
        </w:rPr>
      </w:pPr>
      <w:bookmarkStart w:id="20" w:name="_Toc14954"/>
      <w:r>
        <w:rPr>
          <w:rFonts w:hint="eastAsia"/>
          <w:b/>
          <w:bCs/>
          <w:color w:val="auto"/>
          <w:highlight w:val="none"/>
          <w:lang w:val="en-US" w:eastAsia="zh-CN"/>
        </w:rPr>
        <w:t>7  其他</w:t>
      </w:r>
      <w:bookmarkEnd w:id="20"/>
    </w:p>
    <w:p w14:paraId="3A6A5B20">
      <w:pPr>
        <w:keepNext w:val="0"/>
        <w:keepLines w:val="0"/>
        <w:pageBreakBefore w:val="0"/>
        <w:widowControl w:val="0"/>
        <w:kinsoku/>
        <w:wordWrap/>
        <w:overflowPunct/>
        <w:topLinePunct w:val="0"/>
        <w:autoSpaceDE/>
        <w:autoSpaceDN/>
        <w:bidi w:val="0"/>
        <w:adjustRightInd/>
        <w:snapToGrid/>
        <w:spacing w:line="400" w:lineRule="exact"/>
        <w:ind w:firstLine="437"/>
        <w:textAlignment w:val="auto"/>
        <w:rPr>
          <w:color w:val="auto"/>
          <w:highlight w:val="none"/>
          <w:shd w:val="clear" w:color="auto" w:fill="auto"/>
        </w:rPr>
      </w:pPr>
      <w:r>
        <w:rPr>
          <w:color w:val="auto"/>
          <w:highlight w:val="none"/>
          <w:shd w:val="clear" w:color="auto" w:fill="auto"/>
        </w:rPr>
        <w:t>7.</w:t>
      </w:r>
      <w:r>
        <w:rPr>
          <w:rFonts w:hint="eastAsia"/>
          <w:color w:val="auto"/>
          <w:highlight w:val="none"/>
          <w:shd w:val="clear" w:color="auto" w:fill="auto"/>
        </w:rPr>
        <w:t>1投标人须在</w:t>
      </w:r>
      <w:permStart w:id="0" w:edGrp="everyone"/>
      <w:r>
        <w:rPr>
          <w:rFonts w:hint="eastAsia"/>
          <w:color w:val="auto"/>
          <w:highlight w:val="none"/>
          <w:shd w:val="clear" w:color="FFFFFF" w:fill="D9D9D9"/>
        </w:rPr>
        <w:t>全国公共资源交易平台（海南省）企业信息管理系统（</w:t>
      </w:r>
      <w:r>
        <w:rPr>
          <w:rFonts w:hint="eastAsia"/>
          <w:color w:val="auto"/>
          <w:highlight w:val="none"/>
          <w:shd w:val="clear" w:color="FFFFFF" w:fill="D9D9D9"/>
          <w:lang w:eastAsia="zh-CN"/>
        </w:rPr>
        <w:t>http://zw.hainan.gov.cn/ggzyjy</w:t>
      </w:r>
      <w:r>
        <w:rPr>
          <w:rFonts w:hint="eastAsia"/>
          <w:color w:val="auto"/>
          <w:highlight w:val="none"/>
          <w:shd w:val="clear" w:color="FFFFFF" w:fill="D9D9D9"/>
        </w:rPr>
        <w:t>/</w:t>
      </w:r>
      <w:r>
        <w:rPr>
          <w:rFonts w:hint="eastAsia"/>
          <w:color w:val="auto"/>
          <w:highlight w:val="none"/>
          <w:shd w:val="clear" w:color="FFFFFF" w:fill="D9D9D9"/>
          <w:lang w:eastAsia="zh-CN"/>
        </w:rPr>
        <w:t>）</w:t>
      </w:r>
      <w:permEnd w:id="0"/>
      <w:r>
        <w:rPr>
          <w:rFonts w:hint="eastAsia"/>
          <w:color w:val="auto"/>
          <w:highlight w:val="none"/>
          <w:shd w:val="clear" w:color="auto" w:fill="auto"/>
        </w:rPr>
        <w:t>中登记企业信息，</w:t>
      </w:r>
      <w:r>
        <w:rPr>
          <w:rFonts w:hint="eastAsia"/>
          <w:color w:val="auto"/>
          <w:highlight w:val="none"/>
          <w:shd w:val="clear" w:color="auto" w:fill="auto"/>
          <w:lang w:eastAsia="zh-CN"/>
        </w:rPr>
        <w:t>然后登录</w:t>
      </w:r>
      <w:permStart w:id="1" w:edGrp="everyone"/>
      <w:r>
        <w:rPr>
          <w:rFonts w:hint="eastAsia"/>
          <w:color w:val="auto"/>
          <w:highlight w:val="none"/>
          <w:shd w:val="clear" w:color="auto" w:fill="auto"/>
        </w:rPr>
        <w:t>招投标交易平台</w:t>
      </w:r>
      <w:r>
        <w:rPr>
          <w:rFonts w:hint="eastAsia"/>
          <w:color w:val="auto"/>
          <w:highlight w:val="none"/>
          <w:shd w:val="clear" w:color="auto" w:fill="auto"/>
          <w:lang w:eastAsia="zh-CN"/>
        </w:rPr>
        <w:t>（http://zw.hainan.gov.cn/ggzyjy</w:t>
      </w:r>
      <w:r>
        <w:rPr>
          <w:color w:val="auto"/>
          <w:highlight w:val="none"/>
          <w:shd w:val="clear" w:color="auto" w:fill="auto"/>
        </w:rPr>
        <w:t>/</w:t>
      </w:r>
      <w:r>
        <w:rPr>
          <w:rFonts w:hint="eastAsia"/>
          <w:color w:val="auto"/>
          <w:highlight w:val="none"/>
          <w:shd w:val="clear" w:color="auto" w:fill="auto"/>
          <w:lang w:eastAsia="zh-CN"/>
        </w:rPr>
        <w:t>）</w:t>
      </w:r>
      <w:permEnd w:id="1"/>
      <w:r>
        <w:rPr>
          <w:rFonts w:hint="eastAsia"/>
          <w:color w:val="auto"/>
          <w:highlight w:val="none"/>
          <w:shd w:val="clear" w:color="auto" w:fill="auto"/>
        </w:rPr>
        <w:t>下载、查看电子版的招标文件及其他文件；</w:t>
      </w:r>
    </w:p>
    <w:p w14:paraId="49467C8B">
      <w:pPr>
        <w:keepNext w:val="0"/>
        <w:keepLines w:val="0"/>
        <w:pageBreakBefore w:val="0"/>
        <w:widowControl w:val="0"/>
        <w:kinsoku/>
        <w:wordWrap/>
        <w:overflowPunct/>
        <w:topLinePunct w:val="0"/>
        <w:autoSpaceDE/>
        <w:autoSpaceDN/>
        <w:bidi w:val="0"/>
        <w:adjustRightInd/>
        <w:snapToGrid/>
        <w:spacing w:line="400" w:lineRule="exact"/>
        <w:ind w:firstLine="437"/>
        <w:textAlignment w:val="auto"/>
        <w:rPr>
          <w:color w:val="auto"/>
          <w:highlight w:val="none"/>
          <w:shd w:val="clear" w:color="auto" w:fill="auto"/>
        </w:rPr>
      </w:pPr>
      <w:r>
        <w:rPr>
          <w:color w:val="auto"/>
          <w:highlight w:val="none"/>
          <w:shd w:val="clear" w:color="auto" w:fill="auto"/>
        </w:rPr>
        <w:t>7</w:t>
      </w:r>
      <w:r>
        <w:rPr>
          <w:rFonts w:hint="eastAsia"/>
          <w:color w:val="auto"/>
          <w:highlight w:val="none"/>
          <w:shd w:val="clear" w:color="auto" w:fill="auto"/>
        </w:rPr>
        <w:t>.2电子标（招标文件后缀名.</w:t>
      </w:r>
      <w:r>
        <w:rPr>
          <w:color w:val="auto"/>
          <w:highlight w:val="none"/>
          <w:shd w:val="clear" w:color="auto" w:fill="auto"/>
        </w:rPr>
        <w:t>GZBS</w:t>
      </w:r>
      <w:r>
        <w:rPr>
          <w:rFonts w:hint="eastAsia"/>
          <w:color w:val="auto"/>
          <w:highlight w:val="none"/>
          <w:shd w:val="clear" w:color="auto" w:fill="auto"/>
        </w:rPr>
        <w:t>）：必须使用最新版本的</w:t>
      </w:r>
      <w:permStart w:id="2" w:edGrp="everyone"/>
      <w:r>
        <w:rPr>
          <w:rFonts w:hint="eastAsia"/>
          <w:color w:val="auto"/>
          <w:highlight w:val="none"/>
          <w:shd w:val="clear" w:color="auto" w:fill="auto"/>
        </w:rPr>
        <w:t>电子投标工具（在</w:t>
      </w:r>
      <w:r>
        <w:rPr>
          <w:rFonts w:hint="eastAsia"/>
          <w:color w:val="auto"/>
          <w:highlight w:val="none"/>
          <w:shd w:val="clear" w:color="auto" w:fill="auto"/>
          <w:lang w:eastAsia="zh-CN"/>
        </w:rPr>
        <w:t>http://zw.hainan.gov.cn/ggzyjy</w:t>
      </w:r>
      <w:r>
        <w:rPr>
          <w:color w:val="auto"/>
          <w:highlight w:val="none"/>
          <w:shd w:val="clear" w:color="auto" w:fill="auto"/>
        </w:rPr>
        <w:t>/ggzy/xgrjxz/index.jhtml</w:t>
      </w:r>
      <w:r>
        <w:rPr>
          <w:rFonts w:hint="eastAsia"/>
          <w:color w:val="auto"/>
          <w:highlight w:val="none"/>
          <w:shd w:val="clear" w:color="auto" w:fill="auto"/>
        </w:rPr>
        <w:t>下载投标工具）</w:t>
      </w:r>
      <w:permEnd w:id="2"/>
      <w:r>
        <w:rPr>
          <w:rFonts w:hint="eastAsia"/>
          <w:color w:val="auto"/>
          <w:highlight w:val="none"/>
          <w:shd w:val="clear" w:color="auto" w:fill="auto"/>
        </w:rPr>
        <w:t>制作电子版的投标文件；</w:t>
      </w:r>
    </w:p>
    <w:p w14:paraId="61211A44">
      <w:pPr>
        <w:keepNext w:val="0"/>
        <w:keepLines w:val="0"/>
        <w:pageBreakBefore w:val="0"/>
        <w:widowControl w:val="0"/>
        <w:kinsoku/>
        <w:wordWrap/>
        <w:overflowPunct/>
        <w:topLinePunct w:val="0"/>
        <w:autoSpaceDE/>
        <w:autoSpaceDN/>
        <w:bidi w:val="0"/>
        <w:adjustRightInd/>
        <w:snapToGrid/>
        <w:spacing w:line="400" w:lineRule="exact"/>
        <w:ind w:firstLine="437"/>
        <w:textAlignment w:val="auto"/>
        <w:rPr>
          <w:rFonts w:hint="eastAsia"/>
          <w:color w:val="auto"/>
          <w:highlight w:val="none"/>
          <w:shd w:val="clear" w:color="auto" w:fill="auto"/>
        </w:rPr>
      </w:pPr>
      <w:r>
        <w:rPr>
          <w:rFonts w:hint="eastAsia"/>
          <w:color w:val="auto"/>
          <w:highlight w:val="none"/>
          <w:shd w:val="clear" w:color="auto" w:fill="auto"/>
        </w:rPr>
        <w:t>7.3投标文件递交截止时间前，投标人应严格按照招标文件的约定和要求，制作和上传经过数字证书和电子签章加密的电子投标文件（加密和解密须用同一数字证书）。</w:t>
      </w:r>
    </w:p>
    <w:p w14:paraId="10D25DBF">
      <w:pPr>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hint="default"/>
          <w:color w:val="auto"/>
          <w:highlight w:val="none"/>
          <w:lang w:val="en-US" w:eastAsia="zh-CN"/>
        </w:rPr>
      </w:pPr>
    </w:p>
    <w:p w14:paraId="7851EEA0">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b/>
          <w:color w:val="auto"/>
          <w:highlight w:val="none"/>
        </w:rPr>
      </w:pPr>
      <w:bookmarkStart w:id="21" w:name="第01章招标公告08"/>
      <w:bookmarkEnd w:id="21"/>
      <w:bookmarkStart w:id="22" w:name="_Toc32581"/>
      <w:r>
        <w:rPr>
          <w:rFonts w:hint="eastAsia"/>
          <w:b/>
          <w:color w:val="auto"/>
          <w:highlight w:val="none"/>
        </w:rPr>
        <w:t>8　联系方式</w:t>
      </w:r>
      <w:bookmarkEnd w:id="22"/>
    </w:p>
    <w:p w14:paraId="1D08205D">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招标人：　　　　　　　　　　　　招标代理机构：　　　　　　　　　　　</w:t>
      </w:r>
    </w:p>
    <w:p w14:paraId="717FDA80">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地址：　　　　　　　　　　　　　地址：　　　　　　　　　　　　　　　</w:t>
      </w:r>
    </w:p>
    <w:p w14:paraId="5D8C8487">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邮政编码：　　　　　　　　　　　邮政编码：　　　　　　　　　　　　　</w:t>
      </w:r>
    </w:p>
    <w:p w14:paraId="6CC408E5">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联系人：　　　　　　　　　　　　联系人：　　　　　　　　　　　　　　</w:t>
      </w:r>
    </w:p>
    <w:p w14:paraId="1C837EC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电话：　　　　　　　　　　　　　电话：　　　　　　　　　　　　　　　　</w:t>
      </w:r>
    </w:p>
    <w:p w14:paraId="2166090B">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lang w:val="en-US" w:eastAsia="zh-CN"/>
        </w:rPr>
        <w:t>监督部门名称：                  监督部门联系方式：</w:t>
      </w:r>
      <w:r>
        <w:rPr>
          <w:rFonts w:hint="eastAsia"/>
          <w:color w:val="auto"/>
          <w:highlight w:val="none"/>
        </w:rPr>
        <w:t>　　　　　　　　　　　　　　</w:t>
      </w:r>
    </w:p>
    <w:p w14:paraId="182DCE03">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　　　　　　　　　　　　　　　　　　　　　　　　　　　　　年　　　　月　　　　日</w:t>
      </w:r>
    </w:p>
    <w:p w14:paraId="6DB6D0CB">
      <w:pPr>
        <w:rPr>
          <w:color w:val="auto"/>
          <w:highlight w:val="none"/>
        </w:rPr>
      </w:pPr>
    </w:p>
    <w:p w14:paraId="0A10689F">
      <w:pPr>
        <w:rPr>
          <w:color w:val="auto"/>
          <w:highlight w:val="none"/>
        </w:rPr>
      </w:pPr>
      <w:r>
        <w:rPr>
          <w:color w:val="auto"/>
          <w:highlight w:val="none"/>
        </w:rPr>
        <w:br w:type="page"/>
      </w:r>
    </w:p>
    <w:p w14:paraId="05F68C53">
      <w:pPr>
        <w:jc w:val="center"/>
        <w:outlineLvl w:val="0"/>
        <w:rPr>
          <w:rFonts w:eastAsia="黑体"/>
          <w:color w:val="auto"/>
          <w:sz w:val="32"/>
          <w:szCs w:val="32"/>
          <w:highlight w:val="none"/>
        </w:rPr>
      </w:pPr>
      <w:bookmarkStart w:id="23" w:name="第01章投标邀请书"/>
      <w:bookmarkEnd w:id="23"/>
      <w:bookmarkStart w:id="24" w:name="第02章投标人须知"/>
      <w:bookmarkEnd w:id="24"/>
      <w:bookmarkStart w:id="25" w:name="_Toc12877"/>
      <w:r>
        <w:rPr>
          <w:rFonts w:hAnsi="黑体" w:eastAsia="黑体"/>
          <w:color w:val="auto"/>
          <w:sz w:val="32"/>
          <w:szCs w:val="32"/>
          <w:highlight w:val="none"/>
        </w:rPr>
        <w:t>第</w:t>
      </w:r>
      <w:r>
        <w:rPr>
          <w:rFonts w:eastAsia="黑体"/>
          <w:color w:val="auto"/>
          <w:sz w:val="32"/>
          <w:szCs w:val="32"/>
          <w:highlight w:val="none"/>
        </w:rPr>
        <w:t>2</w:t>
      </w:r>
      <w:r>
        <w:rPr>
          <w:rFonts w:hAnsi="黑体" w:eastAsia="黑体"/>
          <w:color w:val="auto"/>
          <w:sz w:val="32"/>
          <w:szCs w:val="32"/>
          <w:highlight w:val="none"/>
        </w:rPr>
        <w:t>章　投标人须知</w:t>
      </w:r>
      <w:bookmarkEnd w:id="25"/>
    </w:p>
    <w:p w14:paraId="6C5B71FC">
      <w:pPr>
        <w:jc w:val="center"/>
        <w:outlineLvl w:val="1"/>
        <w:rPr>
          <w:rFonts w:ascii="黑体" w:hAnsi="黑体" w:eastAsia="黑体"/>
          <w:b/>
          <w:color w:val="auto"/>
          <w:highlight w:val="none"/>
        </w:rPr>
      </w:pPr>
      <w:bookmarkStart w:id="26" w:name="第02章投标人须知00"/>
      <w:bookmarkEnd w:id="26"/>
      <w:bookmarkStart w:id="27" w:name="_Toc3095"/>
      <w:bookmarkStart w:id="28" w:name="_Toc15761"/>
      <w:r>
        <w:rPr>
          <w:rFonts w:hint="eastAsia" w:ascii="黑体" w:hAnsi="黑体" w:eastAsia="黑体"/>
          <w:b/>
          <w:color w:val="auto"/>
          <w:highlight w:val="none"/>
        </w:rPr>
        <w:t>投标人须知前附表</w:t>
      </w:r>
      <w:bookmarkEnd w:id="27"/>
      <w:bookmarkEnd w:id="28"/>
    </w:p>
    <w:tbl>
      <w:tblPr>
        <w:tblStyle w:val="2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3"/>
        <w:gridCol w:w="2835"/>
        <w:gridCol w:w="5244"/>
      </w:tblGrid>
      <w:tr w14:paraId="54113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993" w:type="dxa"/>
            <w:vAlign w:val="center"/>
          </w:tcPr>
          <w:p w14:paraId="3CEFF05C">
            <w:pPr>
              <w:jc w:val="center"/>
              <w:rPr>
                <w:color w:val="auto"/>
                <w:highlight w:val="none"/>
              </w:rPr>
            </w:pPr>
            <w:r>
              <w:rPr>
                <w:rFonts w:hint="eastAsia"/>
                <w:color w:val="auto"/>
                <w:highlight w:val="none"/>
              </w:rPr>
              <w:t>条款号</w:t>
            </w:r>
          </w:p>
        </w:tc>
        <w:tc>
          <w:tcPr>
            <w:tcW w:w="2835" w:type="dxa"/>
            <w:vAlign w:val="center"/>
          </w:tcPr>
          <w:p w14:paraId="0A1CC230">
            <w:pPr>
              <w:jc w:val="center"/>
              <w:rPr>
                <w:color w:val="auto"/>
                <w:highlight w:val="none"/>
              </w:rPr>
            </w:pPr>
            <w:r>
              <w:rPr>
                <w:rFonts w:hint="eastAsia"/>
                <w:color w:val="auto"/>
                <w:highlight w:val="none"/>
              </w:rPr>
              <w:t>条款名称</w:t>
            </w:r>
          </w:p>
        </w:tc>
        <w:tc>
          <w:tcPr>
            <w:tcW w:w="5244" w:type="dxa"/>
            <w:vAlign w:val="center"/>
          </w:tcPr>
          <w:p w14:paraId="6D42DBAE">
            <w:pPr>
              <w:jc w:val="center"/>
              <w:rPr>
                <w:color w:val="auto"/>
                <w:highlight w:val="none"/>
              </w:rPr>
            </w:pPr>
            <w:r>
              <w:rPr>
                <w:rFonts w:hint="eastAsia"/>
                <w:color w:val="auto"/>
                <w:highlight w:val="none"/>
              </w:rPr>
              <w:t>编列内容</w:t>
            </w:r>
          </w:p>
        </w:tc>
      </w:tr>
      <w:tr w14:paraId="2F327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5C9EDF76">
            <w:pPr>
              <w:jc w:val="center"/>
              <w:rPr>
                <w:color w:val="auto"/>
                <w:highlight w:val="none"/>
              </w:rPr>
            </w:pPr>
            <w:r>
              <w:rPr>
                <w:rFonts w:hint="eastAsia"/>
                <w:color w:val="auto"/>
                <w:highlight w:val="none"/>
              </w:rPr>
              <w:t>1.1.2</w:t>
            </w:r>
          </w:p>
        </w:tc>
        <w:tc>
          <w:tcPr>
            <w:tcW w:w="2835" w:type="dxa"/>
          </w:tcPr>
          <w:p w14:paraId="0C4CC4B8">
            <w:pPr>
              <w:rPr>
                <w:color w:val="auto"/>
                <w:highlight w:val="none"/>
              </w:rPr>
            </w:pPr>
            <w:r>
              <w:rPr>
                <w:rFonts w:hint="eastAsia"/>
                <w:color w:val="auto"/>
                <w:highlight w:val="none"/>
              </w:rPr>
              <w:t>招标人</w:t>
            </w:r>
          </w:p>
        </w:tc>
        <w:tc>
          <w:tcPr>
            <w:tcW w:w="5244" w:type="dxa"/>
            <w:shd w:val="clear" w:color="auto" w:fill="auto"/>
            <w:vAlign w:val="top"/>
          </w:tcPr>
          <w:p w14:paraId="366C621A">
            <w:pPr>
              <w:rPr>
                <w:color w:val="auto"/>
                <w:sz w:val="21"/>
                <w:szCs w:val="21"/>
                <w:highlight w:val="none"/>
              </w:rPr>
            </w:pPr>
            <w:r>
              <w:rPr>
                <w:rFonts w:hint="eastAsia"/>
                <w:color w:val="auto"/>
                <w:sz w:val="21"/>
                <w:szCs w:val="21"/>
                <w:highlight w:val="none"/>
              </w:rPr>
              <w:t>招标人名称：</w:t>
            </w:r>
          </w:p>
          <w:p w14:paraId="72A1329F">
            <w:pPr>
              <w:rPr>
                <w:color w:val="auto"/>
                <w:sz w:val="21"/>
                <w:szCs w:val="21"/>
                <w:highlight w:val="none"/>
              </w:rPr>
            </w:pPr>
            <w:r>
              <w:rPr>
                <w:rFonts w:hint="eastAsia"/>
                <w:color w:val="auto"/>
                <w:sz w:val="21"/>
                <w:szCs w:val="21"/>
                <w:highlight w:val="none"/>
              </w:rPr>
              <w:t>地址：</w:t>
            </w:r>
          </w:p>
          <w:p w14:paraId="435553A1">
            <w:pPr>
              <w:rPr>
                <w:color w:val="auto"/>
                <w:sz w:val="21"/>
                <w:szCs w:val="21"/>
                <w:highlight w:val="none"/>
              </w:rPr>
            </w:pPr>
            <w:r>
              <w:rPr>
                <w:rFonts w:hint="eastAsia"/>
                <w:color w:val="auto"/>
                <w:sz w:val="21"/>
                <w:szCs w:val="21"/>
                <w:highlight w:val="none"/>
              </w:rPr>
              <w:t>联系人：</w:t>
            </w:r>
          </w:p>
          <w:p w14:paraId="5EB926EF">
            <w:pPr>
              <w:pStyle w:val="46"/>
              <w:kinsoku w:val="0"/>
              <w:overflowPunct w:val="0"/>
              <w:spacing w:before="40"/>
              <w:rPr>
                <w:rFonts w:ascii="宋体" w:cs="宋体"/>
                <w:color w:val="auto"/>
                <w:sz w:val="21"/>
                <w:szCs w:val="21"/>
                <w:highlight w:val="none"/>
              </w:rPr>
            </w:pPr>
            <w:r>
              <w:rPr>
                <w:rFonts w:hint="eastAsia" w:ascii="宋体" w:cs="宋体"/>
                <w:color w:val="auto"/>
                <w:sz w:val="21"/>
                <w:szCs w:val="21"/>
                <w:highlight w:val="none"/>
              </w:rPr>
              <w:t>电话：</w:t>
            </w:r>
          </w:p>
          <w:p w14:paraId="14A75478">
            <w:pPr>
              <w:pStyle w:val="46"/>
              <w:kinsoku w:val="0"/>
              <w:overflowPunct w:val="0"/>
              <w:spacing w:before="40"/>
              <w:rPr>
                <w:rFonts w:ascii="宋体" w:cs="宋体"/>
                <w:color w:val="auto"/>
                <w:sz w:val="21"/>
                <w:szCs w:val="21"/>
                <w:highlight w:val="none"/>
              </w:rPr>
            </w:pPr>
            <w:r>
              <w:rPr>
                <w:rFonts w:hint="eastAsia" w:ascii="宋体" w:cs="宋体"/>
                <w:color w:val="auto"/>
                <w:sz w:val="21"/>
                <w:szCs w:val="21"/>
                <w:highlight w:val="none"/>
              </w:rPr>
              <w:t>传真：</w:t>
            </w:r>
          </w:p>
          <w:p w14:paraId="419940FC">
            <w:pPr>
              <w:pStyle w:val="46"/>
              <w:kinsoku w:val="0"/>
              <w:overflowPunct w:val="0"/>
              <w:spacing w:before="40"/>
              <w:rPr>
                <w:rFonts w:ascii="Times New Roman" w:hAnsi="Times New Roman" w:eastAsia="宋体" w:cs="Times New Roman"/>
                <w:color w:val="auto"/>
                <w:kern w:val="2"/>
                <w:sz w:val="21"/>
                <w:szCs w:val="21"/>
                <w:highlight w:val="none"/>
                <w:lang w:val="en-US" w:eastAsia="zh-CN" w:bidi="ar-SA"/>
              </w:rPr>
            </w:pPr>
            <w:r>
              <w:rPr>
                <w:rFonts w:hint="eastAsia" w:ascii="宋体" w:cs="宋体"/>
                <w:color w:val="auto"/>
                <w:sz w:val="21"/>
                <w:szCs w:val="21"/>
                <w:highlight w:val="none"/>
              </w:rPr>
              <w:t>电子邮箱</w:t>
            </w:r>
            <w:r>
              <w:rPr>
                <w:rFonts w:ascii="宋体" w:cs="宋体"/>
                <w:color w:val="auto"/>
                <w:sz w:val="21"/>
                <w:szCs w:val="21"/>
                <w:highlight w:val="none"/>
              </w:rPr>
              <w:t>：</w:t>
            </w:r>
          </w:p>
        </w:tc>
      </w:tr>
      <w:tr w14:paraId="47B6B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2F73DE0F">
            <w:pPr>
              <w:jc w:val="center"/>
              <w:rPr>
                <w:color w:val="auto"/>
                <w:highlight w:val="none"/>
              </w:rPr>
            </w:pPr>
            <w:r>
              <w:rPr>
                <w:rFonts w:hint="eastAsia"/>
                <w:color w:val="auto"/>
                <w:highlight w:val="none"/>
              </w:rPr>
              <w:t>1.1.3</w:t>
            </w:r>
          </w:p>
        </w:tc>
        <w:tc>
          <w:tcPr>
            <w:tcW w:w="2835" w:type="dxa"/>
          </w:tcPr>
          <w:p w14:paraId="2C783738">
            <w:pPr>
              <w:rPr>
                <w:color w:val="auto"/>
                <w:highlight w:val="none"/>
              </w:rPr>
            </w:pPr>
            <w:r>
              <w:rPr>
                <w:rFonts w:hint="eastAsia"/>
                <w:color w:val="auto"/>
                <w:highlight w:val="none"/>
              </w:rPr>
              <w:t>招标代理机构</w:t>
            </w:r>
          </w:p>
        </w:tc>
        <w:tc>
          <w:tcPr>
            <w:tcW w:w="5244" w:type="dxa"/>
            <w:shd w:val="clear" w:color="auto" w:fill="auto"/>
            <w:vAlign w:val="top"/>
          </w:tcPr>
          <w:p w14:paraId="26CD78A7">
            <w:pPr>
              <w:rPr>
                <w:color w:val="auto"/>
                <w:sz w:val="21"/>
                <w:szCs w:val="21"/>
                <w:highlight w:val="none"/>
              </w:rPr>
            </w:pPr>
            <w:r>
              <w:rPr>
                <w:rFonts w:hint="eastAsia" w:ascii="宋体" w:cs="宋体"/>
                <w:color w:val="auto"/>
                <w:sz w:val="21"/>
                <w:szCs w:val="21"/>
                <w:highlight w:val="none"/>
              </w:rPr>
              <w:t>招标代理机构</w:t>
            </w:r>
            <w:r>
              <w:rPr>
                <w:rFonts w:hint="eastAsia"/>
                <w:color w:val="auto"/>
                <w:sz w:val="21"/>
                <w:szCs w:val="21"/>
                <w:highlight w:val="none"/>
              </w:rPr>
              <w:t>名称：</w:t>
            </w:r>
            <w:r>
              <w:rPr>
                <w:color w:val="auto"/>
                <w:sz w:val="21"/>
                <w:szCs w:val="21"/>
                <w:highlight w:val="none"/>
              </w:rPr>
              <w:t xml:space="preserve"> </w:t>
            </w:r>
          </w:p>
          <w:p w14:paraId="58D93A94">
            <w:pPr>
              <w:rPr>
                <w:color w:val="auto"/>
                <w:sz w:val="21"/>
                <w:szCs w:val="21"/>
                <w:highlight w:val="none"/>
              </w:rPr>
            </w:pPr>
            <w:r>
              <w:rPr>
                <w:rFonts w:hint="eastAsia"/>
                <w:color w:val="auto"/>
                <w:sz w:val="21"/>
                <w:szCs w:val="21"/>
                <w:highlight w:val="none"/>
              </w:rPr>
              <w:t>地址：</w:t>
            </w:r>
          </w:p>
          <w:p w14:paraId="5AC32881">
            <w:pPr>
              <w:rPr>
                <w:color w:val="auto"/>
                <w:sz w:val="21"/>
                <w:szCs w:val="21"/>
                <w:highlight w:val="none"/>
              </w:rPr>
            </w:pPr>
            <w:r>
              <w:rPr>
                <w:rFonts w:hint="eastAsia"/>
                <w:color w:val="auto"/>
                <w:sz w:val="21"/>
                <w:szCs w:val="21"/>
                <w:highlight w:val="none"/>
              </w:rPr>
              <w:t>联系人：</w:t>
            </w:r>
          </w:p>
          <w:p w14:paraId="49650FB4">
            <w:pPr>
              <w:rPr>
                <w:color w:val="auto"/>
                <w:sz w:val="21"/>
                <w:szCs w:val="21"/>
                <w:highlight w:val="none"/>
              </w:rPr>
            </w:pPr>
            <w:r>
              <w:rPr>
                <w:rFonts w:hint="eastAsia"/>
                <w:color w:val="auto"/>
                <w:sz w:val="21"/>
                <w:szCs w:val="21"/>
                <w:highlight w:val="none"/>
              </w:rPr>
              <w:t>电话：</w:t>
            </w:r>
          </w:p>
          <w:p w14:paraId="365C10CA">
            <w:pPr>
              <w:rPr>
                <w:color w:val="auto"/>
                <w:sz w:val="21"/>
                <w:szCs w:val="21"/>
                <w:highlight w:val="none"/>
              </w:rPr>
            </w:pPr>
            <w:r>
              <w:rPr>
                <w:rFonts w:hint="eastAsia"/>
                <w:color w:val="auto"/>
                <w:sz w:val="21"/>
                <w:szCs w:val="21"/>
                <w:highlight w:val="none"/>
              </w:rPr>
              <w:t>传真：</w:t>
            </w:r>
          </w:p>
          <w:p w14:paraId="70F78FAE">
            <w:pPr>
              <w:rPr>
                <w:rFonts w:ascii="Times New Roman" w:hAnsi="Times New Roman" w:eastAsia="宋体" w:cs="Times New Roman"/>
                <w:color w:val="auto"/>
                <w:kern w:val="2"/>
                <w:sz w:val="21"/>
                <w:szCs w:val="21"/>
                <w:highlight w:val="none"/>
                <w:lang w:val="en-US" w:eastAsia="zh-CN" w:bidi="ar-SA"/>
              </w:rPr>
            </w:pPr>
            <w:r>
              <w:rPr>
                <w:rFonts w:hint="eastAsia" w:ascii="宋体" w:cs="宋体"/>
                <w:color w:val="auto"/>
                <w:sz w:val="21"/>
                <w:szCs w:val="21"/>
                <w:highlight w:val="none"/>
              </w:rPr>
              <w:t>电子邮箱</w:t>
            </w:r>
            <w:r>
              <w:rPr>
                <w:rFonts w:ascii="宋体" w:cs="宋体"/>
                <w:color w:val="auto"/>
                <w:sz w:val="21"/>
                <w:szCs w:val="21"/>
                <w:highlight w:val="none"/>
              </w:rPr>
              <w:t>：</w:t>
            </w:r>
          </w:p>
        </w:tc>
      </w:tr>
      <w:tr w14:paraId="7C447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371768F1">
            <w:pPr>
              <w:jc w:val="center"/>
              <w:rPr>
                <w:color w:val="auto"/>
                <w:highlight w:val="none"/>
              </w:rPr>
            </w:pPr>
            <w:r>
              <w:rPr>
                <w:rFonts w:hint="eastAsia"/>
                <w:color w:val="auto"/>
                <w:highlight w:val="none"/>
              </w:rPr>
              <w:t>1.1.4</w:t>
            </w:r>
          </w:p>
        </w:tc>
        <w:tc>
          <w:tcPr>
            <w:tcW w:w="2835" w:type="dxa"/>
          </w:tcPr>
          <w:p w14:paraId="4C53B24E">
            <w:pPr>
              <w:rPr>
                <w:color w:val="auto"/>
                <w:highlight w:val="none"/>
              </w:rPr>
            </w:pPr>
            <w:r>
              <w:rPr>
                <w:rFonts w:hint="eastAsia"/>
                <w:color w:val="auto"/>
                <w:highlight w:val="none"/>
              </w:rPr>
              <w:t>项目名称</w:t>
            </w:r>
          </w:p>
        </w:tc>
        <w:tc>
          <w:tcPr>
            <w:tcW w:w="5244" w:type="dxa"/>
          </w:tcPr>
          <w:p w14:paraId="29A62B26">
            <w:pPr>
              <w:rPr>
                <w:color w:val="auto"/>
                <w:highlight w:val="none"/>
              </w:rPr>
            </w:pPr>
          </w:p>
        </w:tc>
      </w:tr>
      <w:tr w14:paraId="3381C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0A7EC09D">
            <w:pPr>
              <w:jc w:val="center"/>
              <w:rPr>
                <w:color w:val="auto"/>
                <w:highlight w:val="none"/>
              </w:rPr>
            </w:pPr>
            <w:r>
              <w:rPr>
                <w:rFonts w:hint="eastAsia"/>
                <w:color w:val="auto"/>
                <w:highlight w:val="none"/>
              </w:rPr>
              <w:t>1.1.5</w:t>
            </w:r>
          </w:p>
        </w:tc>
        <w:tc>
          <w:tcPr>
            <w:tcW w:w="2835" w:type="dxa"/>
          </w:tcPr>
          <w:p w14:paraId="76F498A8">
            <w:pPr>
              <w:rPr>
                <w:color w:val="auto"/>
                <w:highlight w:val="none"/>
              </w:rPr>
            </w:pPr>
            <w:r>
              <w:rPr>
                <w:rFonts w:hint="eastAsia"/>
                <w:color w:val="auto"/>
                <w:highlight w:val="none"/>
              </w:rPr>
              <w:t>建设地点</w:t>
            </w:r>
          </w:p>
        </w:tc>
        <w:tc>
          <w:tcPr>
            <w:tcW w:w="5244" w:type="dxa"/>
          </w:tcPr>
          <w:p w14:paraId="462DFDC3">
            <w:pPr>
              <w:rPr>
                <w:color w:val="auto"/>
                <w:highlight w:val="none"/>
              </w:rPr>
            </w:pPr>
          </w:p>
        </w:tc>
      </w:tr>
      <w:tr w14:paraId="2F1C6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0DFABDC4">
            <w:pPr>
              <w:jc w:val="center"/>
              <w:rPr>
                <w:color w:val="auto"/>
                <w:highlight w:val="none"/>
              </w:rPr>
            </w:pPr>
            <w:r>
              <w:rPr>
                <w:rFonts w:hint="eastAsia"/>
                <w:color w:val="auto"/>
                <w:highlight w:val="none"/>
              </w:rPr>
              <w:t>1.1.9</w:t>
            </w:r>
          </w:p>
        </w:tc>
        <w:tc>
          <w:tcPr>
            <w:tcW w:w="2835" w:type="dxa"/>
          </w:tcPr>
          <w:p w14:paraId="76BD0BD2">
            <w:pPr>
              <w:rPr>
                <w:rFonts w:hint="default" w:eastAsia="宋体"/>
                <w:color w:val="auto"/>
                <w:highlight w:val="none"/>
                <w:lang w:val="en-US" w:eastAsia="zh-CN"/>
              </w:rPr>
            </w:pPr>
            <w:r>
              <w:rPr>
                <w:rFonts w:hint="eastAsia"/>
                <w:color w:val="auto"/>
                <w:highlight w:val="none"/>
              </w:rPr>
              <w:t>代建机构</w:t>
            </w:r>
            <w:r>
              <w:rPr>
                <w:rFonts w:hint="eastAsia"/>
                <w:color w:val="auto"/>
                <w:highlight w:val="none"/>
                <w:lang w:val="en-US" w:eastAsia="zh-CN"/>
              </w:rPr>
              <w:t>或代管机构</w:t>
            </w:r>
          </w:p>
        </w:tc>
        <w:tc>
          <w:tcPr>
            <w:tcW w:w="5244" w:type="dxa"/>
          </w:tcPr>
          <w:p w14:paraId="41A6B101">
            <w:pPr>
              <w:rPr>
                <w:color w:val="auto"/>
                <w:highlight w:val="none"/>
              </w:rPr>
            </w:pPr>
          </w:p>
        </w:tc>
      </w:tr>
      <w:tr w14:paraId="3D08F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1A670A9B">
            <w:pPr>
              <w:jc w:val="center"/>
              <w:rPr>
                <w:color w:val="auto"/>
                <w:highlight w:val="none"/>
              </w:rPr>
            </w:pPr>
            <w:r>
              <w:rPr>
                <w:rFonts w:hint="eastAsia"/>
                <w:color w:val="auto"/>
                <w:highlight w:val="none"/>
              </w:rPr>
              <w:t>1.2.1</w:t>
            </w:r>
          </w:p>
        </w:tc>
        <w:tc>
          <w:tcPr>
            <w:tcW w:w="2835" w:type="dxa"/>
          </w:tcPr>
          <w:p w14:paraId="7EE5A1AE">
            <w:pPr>
              <w:rPr>
                <w:color w:val="auto"/>
                <w:highlight w:val="none"/>
              </w:rPr>
            </w:pPr>
            <w:r>
              <w:rPr>
                <w:rFonts w:hint="eastAsia"/>
                <w:color w:val="auto"/>
                <w:highlight w:val="none"/>
              </w:rPr>
              <w:t>资金来源</w:t>
            </w:r>
          </w:p>
        </w:tc>
        <w:tc>
          <w:tcPr>
            <w:tcW w:w="5244" w:type="dxa"/>
          </w:tcPr>
          <w:p w14:paraId="71DB04CA">
            <w:pPr>
              <w:rPr>
                <w:color w:val="auto"/>
                <w:highlight w:val="none"/>
              </w:rPr>
            </w:pPr>
          </w:p>
        </w:tc>
      </w:tr>
      <w:tr w14:paraId="0C9F1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18F54FFB">
            <w:pPr>
              <w:jc w:val="center"/>
              <w:rPr>
                <w:color w:val="auto"/>
                <w:highlight w:val="none"/>
              </w:rPr>
            </w:pPr>
            <w:r>
              <w:rPr>
                <w:rFonts w:hint="eastAsia"/>
                <w:color w:val="auto"/>
                <w:highlight w:val="none"/>
              </w:rPr>
              <w:t>1.2.2</w:t>
            </w:r>
          </w:p>
        </w:tc>
        <w:tc>
          <w:tcPr>
            <w:tcW w:w="2835" w:type="dxa"/>
          </w:tcPr>
          <w:p w14:paraId="050303D4">
            <w:pPr>
              <w:rPr>
                <w:color w:val="auto"/>
                <w:highlight w:val="none"/>
              </w:rPr>
            </w:pPr>
            <w:r>
              <w:rPr>
                <w:rFonts w:hint="eastAsia"/>
                <w:color w:val="auto"/>
                <w:highlight w:val="none"/>
              </w:rPr>
              <w:t>出资比例</w:t>
            </w:r>
          </w:p>
        </w:tc>
        <w:tc>
          <w:tcPr>
            <w:tcW w:w="5244" w:type="dxa"/>
          </w:tcPr>
          <w:p w14:paraId="7BE671BB">
            <w:pPr>
              <w:rPr>
                <w:color w:val="auto"/>
                <w:highlight w:val="none"/>
              </w:rPr>
            </w:pPr>
          </w:p>
        </w:tc>
      </w:tr>
      <w:tr w14:paraId="13F49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74032212">
            <w:pPr>
              <w:jc w:val="center"/>
              <w:rPr>
                <w:color w:val="auto"/>
                <w:highlight w:val="none"/>
              </w:rPr>
            </w:pPr>
            <w:r>
              <w:rPr>
                <w:rFonts w:hint="eastAsia"/>
                <w:color w:val="auto"/>
                <w:highlight w:val="none"/>
              </w:rPr>
              <w:t>1.2.3</w:t>
            </w:r>
          </w:p>
        </w:tc>
        <w:tc>
          <w:tcPr>
            <w:tcW w:w="2835" w:type="dxa"/>
          </w:tcPr>
          <w:p w14:paraId="6C4EB89E">
            <w:pPr>
              <w:rPr>
                <w:color w:val="auto"/>
                <w:highlight w:val="none"/>
              </w:rPr>
            </w:pPr>
            <w:r>
              <w:rPr>
                <w:rFonts w:hint="eastAsia"/>
                <w:color w:val="auto"/>
                <w:highlight w:val="none"/>
              </w:rPr>
              <w:t>资金落实情况</w:t>
            </w:r>
          </w:p>
        </w:tc>
        <w:tc>
          <w:tcPr>
            <w:tcW w:w="5244" w:type="dxa"/>
          </w:tcPr>
          <w:p w14:paraId="7BE0DE1C">
            <w:pPr>
              <w:rPr>
                <w:color w:val="auto"/>
                <w:highlight w:val="none"/>
              </w:rPr>
            </w:pPr>
          </w:p>
        </w:tc>
      </w:tr>
      <w:tr w14:paraId="5378A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0DB727E0">
            <w:pPr>
              <w:jc w:val="center"/>
              <w:rPr>
                <w:color w:val="auto"/>
                <w:highlight w:val="none"/>
              </w:rPr>
            </w:pPr>
            <w:r>
              <w:rPr>
                <w:rFonts w:hint="eastAsia"/>
                <w:color w:val="auto"/>
                <w:highlight w:val="none"/>
              </w:rPr>
              <w:t>1.3.1</w:t>
            </w:r>
          </w:p>
        </w:tc>
        <w:tc>
          <w:tcPr>
            <w:tcW w:w="2835" w:type="dxa"/>
          </w:tcPr>
          <w:p w14:paraId="06D45B65">
            <w:pPr>
              <w:rPr>
                <w:color w:val="auto"/>
                <w:highlight w:val="none"/>
              </w:rPr>
            </w:pPr>
            <w:r>
              <w:rPr>
                <w:rFonts w:hint="eastAsia"/>
                <w:color w:val="auto"/>
                <w:highlight w:val="none"/>
              </w:rPr>
              <w:t>招标范围</w:t>
            </w:r>
          </w:p>
        </w:tc>
        <w:tc>
          <w:tcPr>
            <w:tcW w:w="5244" w:type="dxa"/>
          </w:tcPr>
          <w:p w14:paraId="7B3A2268">
            <w:pPr>
              <w:rPr>
                <w:color w:val="auto"/>
                <w:highlight w:val="none"/>
              </w:rPr>
            </w:pPr>
          </w:p>
        </w:tc>
      </w:tr>
      <w:tr w14:paraId="7F849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1277035D">
            <w:pPr>
              <w:jc w:val="center"/>
              <w:rPr>
                <w:color w:val="auto"/>
                <w:highlight w:val="none"/>
              </w:rPr>
            </w:pPr>
            <w:r>
              <w:rPr>
                <w:rFonts w:hint="eastAsia"/>
                <w:color w:val="auto"/>
                <w:highlight w:val="none"/>
              </w:rPr>
              <w:t>1.3.2</w:t>
            </w:r>
          </w:p>
        </w:tc>
        <w:tc>
          <w:tcPr>
            <w:tcW w:w="2835" w:type="dxa"/>
          </w:tcPr>
          <w:p w14:paraId="677BCF0D">
            <w:pPr>
              <w:rPr>
                <w:color w:val="auto"/>
                <w:highlight w:val="none"/>
              </w:rPr>
            </w:pPr>
            <w:r>
              <w:rPr>
                <w:rFonts w:hint="eastAsia"/>
                <w:color w:val="auto"/>
                <w:highlight w:val="none"/>
              </w:rPr>
              <w:t>计划工期</w:t>
            </w:r>
          </w:p>
        </w:tc>
        <w:tc>
          <w:tcPr>
            <w:tcW w:w="5244" w:type="dxa"/>
          </w:tcPr>
          <w:p w14:paraId="5F1AFDE3">
            <w:pPr>
              <w:rPr>
                <w:color w:val="auto"/>
                <w:highlight w:val="none"/>
              </w:rPr>
            </w:pPr>
            <w:r>
              <w:rPr>
                <w:rFonts w:hint="eastAsia"/>
                <w:color w:val="auto"/>
                <w:highlight w:val="none"/>
              </w:rPr>
              <w:t>计划工期：　　　　日历天</w:t>
            </w:r>
          </w:p>
          <w:p w14:paraId="7DA1C483">
            <w:pPr>
              <w:rPr>
                <w:color w:val="auto"/>
                <w:highlight w:val="none"/>
              </w:rPr>
            </w:pPr>
            <w:r>
              <w:rPr>
                <w:rFonts w:hint="eastAsia"/>
                <w:color w:val="auto"/>
                <w:highlight w:val="none"/>
              </w:rPr>
              <w:t>计划开工日期：　　　　年　　月　　日</w:t>
            </w:r>
          </w:p>
          <w:p w14:paraId="5060E044">
            <w:pPr>
              <w:rPr>
                <w:color w:val="auto"/>
                <w:highlight w:val="none"/>
              </w:rPr>
            </w:pPr>
            <w:r>
              <w:rPr>
                <w:rFonts w:hint="eastAsia"/>
                <w:color w:val="auto"/>
                <w:highlight w:val="none"/>
              </w:rPr>
              <w:t>计划完工日期：　　　　年　　月　　日</w:t>
            </w:r>
          </w:p>
        </w:tc>
      </w:tr>
      <w:tr w14:paraId="26D39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307690E4">
            <w:pPr>
              <w:jc w:val="center"/>
              <w:rPr>
                <w:color w:val="auto"/>
                <w:highlight w:val="none"/>
              </w:rPr>
            </w:pPr>
            <w:r>
              <w:rPr>
                <w:rFonts w:hint="eastAsia"/>
                <w:color w:val="auto"/>
                <w:highlight w:val="none"/>
              </w:rPr>
              <w:t>1.3.3</w:t>
            </w:r>
          </w:p>
        </w:tc>
        <w:tc>
          <w:tcPr>
            <w:tcW w:w="2835" w:type="dxa"/>
          </w:tcPr>
          <w:p w14:paraId="7924B8CC">
            <w:pPr>
              <w:rPr>
                <w:color w:val="auto"/>
                <w:highlight w:val="none"/>
              </w:rPr>
            </w:pPr>
            <w:r>
              <w:rPr>
                <w:rFonts w:hint="eastAsia"/>
                <w:color w:val="auto"/>
                <w:highlight w:val="none"/>
              </w:rPr>
              <w:t>质量要求</w:t>
            </w:r>
          </w:p>
        </w:tc>
        <w:tc>
          <w:tcPr>
            <w:tcW w:w="5244" w:type="dxa"/>
          </w:tcPr>
          <w:p w14:paraId="16C820B3">
            <w:pPr>
              <w:rPr>
                <w:color w:val="auto"/>
                <w:highlight w:val="none"/>
              </w:rPr>
            </w:pPr>
          </w:p>
        </w:tc>
      </w:tr>
      <w:tr w14:paraId="07C4E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258DA7D9">
            <w:pPr>
              <w:jc w:val="center"/>
              <w:rPr>
                <w:color w:val="auto"/>
                <w:highlight w:val="none"/>
              </w:rPr>
            </w:pPr>
            <w:r>
              <w:rPr>
                <w:rFonts w:hint="eastAsia"/>
                <w:color w:val="auto"/>
                <w:highlight w:val="none"/>
              </w:rPr>
              <w:t>1.4.1</w:t>
            </w:r>
          </w:p>
        </w:tc>
        <w:tc>
          <w:tcPr>
            <w:tcW w:w="2835" w:type="dxa"/>
          </w:tcPr>
          <w:p w14:paraId="1D24FE10">
            <w:pPr>
              <w:rPr>
                <w:color w:val="auto"/>
                <w:highlight w:val="none"/>
              </w:rPr>
            </w:pPr>
            <w:r>
              <w:rPr>
                <w:rFonts w:hint="eastAsia"/>
                <w:color w:val="auto"/>
                <w:highlight w:val="none"/>
              </w:rPr>
              <w:t>投标人</w:t>
            </w:r>
            <w:r>
              <w:rPr>
                <w:rFonts w:hint="eastAsia"/>
                <w:b/>
                <w:bCs/>
                <w:color w:val="auto"/>
                <w:highlight w:val="none"/>
              </w:rPr>
              <w:t>资质条件</w:t>
            </w:r>
            <w:r>
              <w:rPr>
                <w:rFonts w:hint="eastAsia"/>
                <w:color w:val="auto"/>
                <w:highlight w:val="none"/>
              </w:rPr>
              <w:t>、能力和信誉</w:t>
            </w:r>
          </w:p>
        </w:tc>
        <w:tc>
          <w:tcPr>
            <w:tcW w:w="5244" w:type="dxa"/>
          </w:tcPr>
          <w:p w14:paraId="19BC96AE">
            <w:pPr>
              <w:rPr>
                <w:color w:val="auto"/>
                <w:highlight w:val="none"/>
              </w:rPr>
            </w:pPr>
            <w:r>
              <w:rPr>
                <w:rFonts w:hint="eastAsia"/>
                <w:color w:val="auto"/>
                <w:highlight w:val="none"/>
              </w:rPr>
              <w:t>1、资质要求：</w:t>
            </w:r>
            <w:r>
              <w:rPr>
                <w:rFonts w:hint="eastAsia" w:ascii="宋体" w:hAnsi="宋体"/>
                <w:color w:val="auto"/>
                <w:szCs w:val="21"/>
                <w:highlight w:val="none"/>
              </w:rPr>
              <w:t>本次招标要求投标人须具备独立法人资格</w:t>
            </w:r>
            <w:r>
              <w:rPr>
                <w:rFonts w:hint="eastAsia" w:ascii="宋体" w:hAnsi="宋体"/>
                <w:color w:val="auto"/>
                <w:szCs w:val="21"/>
                <w:highlight w:val="none"/>
                <w:lang w:eastAsia="zh-CN"/>
              </w:rPr>
              <w:t>，</w:t>
            </w:r>
            <w:r>
              <w:rPr>
                <w:rFonts w:hint="eastAsia"/>
                <w:color w:val="auto"/>
                <w:highlight w:val="none"/>
                <w:lang w:val="en-US" w:eastAsia="zh-CN"/>
              </w:rPr>
              <w:t>具有与项目建设相适应的施工资质，</w:t>
            </w:r>
            <w:r>
              <w:rPr>
                <w:rFonts w:hint="eastAsia" w:ascii="宋体" w:hAnsi="宋体"/>
                <w:color w:val="auto"/>
                <w:szCs w:val="21"/>
                <w:highlight w:val="none"/>
              </w:rPr>
              <w:t>以及具备有效的安全生产许可证。</w:t>
            </w:r>
          </w:p>
          <w:p w14:paraId="4B25BC01">
            <w:pPr>
              <w:rPr>
                <w:rFonts w:hint="eastAsia"/>
                <w:i/>
                <w:iCs/>
                <w:color w:val="auto"/>
                <w:highlight w:val="none"/>
              </w:rPr>
            </w:pPr>
            <w:r>
              <w:rPr>
                <w:rFonts w:hint="eastAsia"/>
                <w:i/>
                <w:iCs/>
                <w:color w:val="auto"/>
                <w:highlight w:val="none"/>
              </w:rPr>
              <w:t>2、</w:t>
            </w:r>
            <w:r>
              <w:rPr>
                <w:rFonts w:hint="eastAsia"/>
                <w:i w:val="0"/>
                <w:iCs w:val="0"/>
                <w:color w:val="auto"/>
                <w:highlight w:val="none"/>
              </w:rPr>
              <w:t>财务要求：</w:t>
            </w:r>
            <w:r>
              <w:rPr>
                <w:rFonts w:hint="eastAsia"/>
                <w:i w:val="0"/>
                <w:iCs w:val="0"/>
                <w:color w:val="auto"/>
                <w:highlight w:val="none"/>
                <w:u w:val="single"/>
              </w:rPr>
              <w:t xml:space="preserve"> </w:t>
            </w:r>
            <w:r>
              <w:rPr>
                <w:i w:val="0"/>
                <w:iCs w:val="0"/>
                <w:color w:val="auto"/>
                <w:highlight w:val="none"/>
                <w:u w:val="single"/>
              </w:rPr>
              <w:t xml:space="preserve">     </w:t>
            </w:r>
            <w:r>
              <w:rPr>
                <w:rFonts w:hint="eastAsia"/>
                <w:i w:val="0"/>
                <w:iCs w:val="0"/>
                <w:color w:val="auto"/>
                <w:highlight w:val="none"/>
                <w:u w:val="single"/>
                <w:lang w:val="en-US" w:eastAsia="zh-CN"/>
              </w:rPr>
              <w:t xml:space="preserve">     </w:t>
            </w:r>
            <w:r>
              <w:rPr>
                <w:i w:val="0"/>
                <w:iCs w:val="0"/>
                <w:color w:val="auto"/>
                <w:highlight w:val="none"/>
                <w:u w:val="single"/>
              </w:rPr>
              <w:t xml:space="preserve">               </w:t>
            </w:r>
          </w:p>
          <w:p w14:paraId="5B0C77AE">
            <w:pPr>
              <w:jc w:val="left"/>
              <w:rPr>
                <w:color w:val="auto"/>
                <w:highlight w:val="none"/>
              </w:rPr>
            </w:pPr>
            <w:r>
              <w:rPr>
                <w:rFonts w:hint="eastAsia"/>
                <w:color w:val="auto"/>
                <w:highlight w:val="none"/>
                <w:lang w:val="en-US" w:eastAsia="zh-CN"/>
              </w:rPr>
              <w:t>3</w:t>
            </w:r>
            <w:r>
              <w:rPr>
                <w:rFonts w:hint="eastAsia"/>
                <w:color w:val="auto"/>
                <w:highlight w:val="none"/>
              </w:rPr>
              <w:t>、信誉要求：未被列入信用中国网站</w:t>
            </w:r>
            <w:r>
              <w:rPr>
                <w:rFonts w:hint="eastAsia"/>
                <w:color w:val="auto"/>
                <w:highlight w:val="none"/>
                <w:lang w:eastAsia="zh-CN"/>
              </w:rPr>
              <w:t>（</w:t>
            </w:r>
            <w:r>
              <w:rPr>
                <w:rFonts w:hint="eastAsia"/>
                <w:color w:val="auto"/>
                <w:highlight w:val="none"/>
              </w:rPr>
              <w:t>www.creditchina.gov.cn</w:t>
            </w:r>
            <w:r>
              <w:rPr>
                <w:rFonts w:hint="eastAsia"/>
                <w:color w:val="auto"/>
                <w:highlight w:val="none"/>
                <w:lang w:eastAsia="zh-CN"/>
              </w:rPr>
              <w:t>）</w:t>
            </w:r>
            <w:r>
              <w:rPr>
                <w:rFonts w:hint="eastAsia"/>
                <w:color w:val="auto"/>
                <w:highlight w:val="none"/>
              </w:rPr>
              <w:t>的“失信被执行人”，投标人被列为失信被执行人的，投标活动依法予以限制。</w:t>
            </w:r>
          </w:p>
          <w:p w14:paraId="070A49D2">
            <w:pPr>
              <w:rPr>
                <w:color w:val="auto"/>
                <w:highlight w:val="none"/>
              </w:rPr>
            </w:pPr>
            <w:r>
              <w:rPr>
                <w:rFonts w:hint="eastAsia"/>
                <w:color w:val="auto"/>
                <w:highlight w:val="none"/>
                <w:lang w:val="en-US" w:eastAsia="zh-CN"/>
              </w:rPr>
              <w:t>4</w:t>
            </w:r>
            <w:r>
              <w:rPr>
                <w:rFonts w:hint="eastAsia"/>
                <w:color w:val="auto"/>
                <w:highlight w:val="none"/>
              </w:rPr>
              <w:t>、项目经理资格：</w:t>
            </w:r>
          </w:p>
          <w:p w14:paraId="1D47DD6F">
            <w:pPr>
              <w:rPr>
                <w:color w:val="auto"/>
                <w:highlight w:val="none"/>
              </w:rPr>
            </w:pPr>
            <w:r>
              <w:rPr>
                <w:rFonts w:hint="eastAsia"/>
                <w:color w:val="auto"/>
                <w:highlight w:val="none"/>
              </w:rPr>
              <w:t>具备</w:t>
            </w:r>
            <w:r>
              <w:rPr>
                <w:rFonts w:hint="eastAsia"/>
                <w:color w:val="auto"/>
                <w:highlight w:val="none"/>
                <w:u w:val="single"/>
              </w:rPr>
              <w:t xml:space="preserve"> </w:t>
            </w:r>
            <w:r>
              <w:rPr>
                <w:color w:val="auto"/>
                <w:highlight w:val="none"/>
                <w:u w:val="single"/>
              </w:rPr>
              <w:t xml:space="preserve">     </w:t>
            </w:r>
            <w:r>
              <w:rPr>
                <w:rFonts w:hint="eastAsia" w:ascii="宋体" w:hAnsi="宋体"/>
                <w:color w:val="auto"/>
                <w:szCs w:val="21"/>
                <w:highlight w:val="none"/>
              </w:rPr>
              <w:t>专业</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级（含以上级）注册建造师执业资格</w:t>
            </w:r>
            <w:r>
              <w:rPr>
                <w:rFonts w:hint="eastAsia"/>
                <w:color w:val="auto"/>
                <w:highlight w:val="none"/>
              </w:rPr>
              <w:t>，且具备有效的安全生产考核合格证书（B证），需在投标人单位注册，中标后不得担任其他项目的项目经理。（投标时应提供承诺函）</w:t>
            </w:r>
          </w:p>
          <w:p w14:paraId="7F22A406">
            <w:pPr>
              <w:rPr>
                <w:color w:val="auto"/>
                <w:highlight w:val="none"/>
                <w:u w:val="single"/>
              </w:rPr>
            </w:pPr>
            <w:r>
              <w:rPr>
                <w:rFonts w:hint="eastAsia"/>
                <w:color w:val="auto"/>
                <w:highlight w:val="none"/>
                <w:lang w:val="en-US" w:eastAsia="zh-CN"/>
              </w:rPr>
              <w:t>5</w:t>
            </w:r>
            <w:r>
              <w:rPr>
                <w:rFonts w:hint="eastAsia"/>
                <w:color w:val="auto"/>
                <w:highlight w:val="none"/>
              </w:rPr>
              <w:t>、技术负责人资格：</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rFonts w:hint="eastAsia"/>
                <w:color w:val="auto"/>
                <w:highlight w:val="none"/>
                <w:u w:val="single"/>
                <w:lang w:val="en-US" w:eastAsia="zh-CN"/>
              </w:rPr>
              <w:t xml:space="preserve"> </w:t>
            </w:r>
          </w:p>
          <w:p w14:paraId="3CBA7660">
            <w:pPr>
              <w:rPr>
                <w:color w:val="auto"/>
                <w:highlight w:val="none"/>
                <w:u w:val="single"/>
              </w:rPr>
            </w:pPr>
            <w:r>
              <w:rPr>
                <w:rFonts w:hint="eastAsia"/>
                <w:color w:val="auto"/>
                <w:highlight w:val="none"/>
                <w:lang w:val="en-US" w:eastAsia="zh-CN"/>
              </w:rPr>
              <w:t>6</w:t>
            </w:r>
            <w:r>
              <w:rPr>
                <w:rFonts w:hint="eastAsia"/>
                <w:color w:val="auto"/>
                <w:highlight w:val="none"/>
              </w:rPr>
              <w:t>、安全负责人：</w:t>
            </w:r>
            <w:r>
              <w:rPr>
                <w:rFonts w:hint="eastAsia"/>
                <w:color w:val="auto"/>
                <w:highlight w:val="none"/>
                <w:u w:val="single"/>
              </w:rPr>
              <w:t>具备有效的安全生产考核合格证书（C证）</w:t>
            </w:r>
            <w:r>
              <w:rPr>
                <w:color w:val="auto"/>
                <w:highlight w:val="none"/>
                <w:u w:val="single"/>
              </w:rPr>
              <w:t xml:space="preserve"> </w:t>
            </w:r>
          </w:p>
          <w:p w14:paraId="58C935CA">
            <w:pPr>
              <w:rPr>
                <w:rFonts w:hint="eastAsia"/>
                <w:color w:val="auto"/>
                <w:highlight w:val="none"/>
              </w:rPr>
            </w:pPr>
            <w:r>
              <w:rPr>
                <w:rFonts w:hint="eastAsia"/>
                <w:color w:val="auto"/>
                <w:highlight w:val="none"/>
                <w:lang w:val="en-US" w:eastAsia="zh-CN"/>
              </w:rPr>
              <w:t>7</w:t>
            </w:r>
            <w:r>
              <w:rPr>
                <w:rFonts w:hint="eastAsia"/>
                <w:color w:val="auto"/>
                <w:highlight w:val="none"/>
              </w:rPr>
              <w:t>、其它要求：</w:t>
            </w:r>
          </w:p>
          <w:p w14:paraId="0537350A">
            <w:pPr>
              <w:rPr>
                <w:color w:val="auto"/>
                <w:highlight w:val="none"/>
                <w:u w:val="none"/>
              </w:rPr>
            </w:pPr>
            <w:r>
              <w:rPr>
                <w:rFonts w:hint="eastAsia"/>
                <w:color w:val="auto"/>
                <w:highlight w:val="none"/>
                <w:u w:val="none"/>
                <w:lang w:val="en-US" w:eastAsia="zh-CN"/>
              </w:rPr>
              <w:t>（1）以上人员</w:t>
            </w:r>
            <w:r>
              <w:rPr>
                <w:rFonts w:hint="eastAsia"/>
                <w:color w:val="auto"/>
                <w:highlight w:val="none"/>
                <w:u w:val="single"/>
                <w:lang w:val="en-US" w:eastAsia="zh-CN"/>
              </w:rPr>
              <w:t>（项目经理、技术负责人、安全负责人）</w:t>
            </w:r>
            <w:r>
              <w:rPr>
                <w:rFonts w:hint="eastAsia"/>
                <w:color w:val="auto"/>
                <w:highlight w:val="none"/>
                <w:u w:val="none"/>
                <w:lang w:val="en-US" w:eastAsia="zh-CN"/>
              </w:rPr>
              <w:t>应是投标企业在职人员，投标时提供有效的社保、劳动合同。</w:t>
            </w:r>
          </w:p>
          <w:p w14:paraId="08E9EB4C">
            <w:pPr>
              <w:rPr>
                <w:rFonts w:hint="eastAsia" w:eastAsia="宋体"/>
                <w:color w:val="auto"/>
                <w:highlight w:val="none"/>
                <w:lang w:val="en-US" w:eastAsia="zh-CN"/>
              </w:rPr>
            </w:pPr>
            <w:r>
              <w:rPr>
                <w:rFonts w:hint="eastAsia"/>
                <w:color w:val="auto"/>
                <w:highlight w:val="none"/>
                <w:u w:val="none"/>
                <w:lang w:eastAsia="zh-CN"/>
              </w:rPr>
              <w:t>（</w:t>
            </w:r>
            <w:r>
              <w:rPr>
                <w:rFonts w:hint="eastAsia"/>
                <w:color w:val="auto"/>
                <w:highlight w:val="none"/>
                <w:u w:val="none"/>
                <w:lang w:val="en-US" w:eastAsia="zh-CN"/>
              </w:rPr>
              <w:t>2</w:t>
            </w:r>
            <w:r>
              <w:rPr>
                <w:rFonts w:hint="eastAsia"/>
                <w:color w:val="auto"/>
                <w:highlight w:val="none"/>
                <w:u w:val="none"/>
                <w:lang w:eastAsia="zh-CN"/>
              </w:rPr>
              <w:t>）</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p>
        </w:tc>
      </w:tr>
      <w:tr w14:paraId="5D776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47EDCDAA">
            <w:pPr>
              <w:jc w:val="center"/>
              <w:rPr>
                <w:color w:val="auto"/>
                <w:highlight w:val="none"/>
              </w:rPr>
            </w:pPr>
            <w:r>
              <w:rPr>
                <w:rFonts w:hint="eastAsia"/>
                <w:color w:val="auto"/>
                <w:highlight w:val="none"/>
              </w:rPr>
              <w:t>1.4.2</w:t>
            </w:r>
          </w:p>
        </w:tc>
        <w:tc>
          <w:tcPr>
            <w:tcW w:w="2835" w:type="dxa"/>
          </w:tcPr>
          <w:p w14:paraId="04DA0F89">
            <w:pPr>
              <w:rPr>
                <w:color w:val="auto"/>
                <w:highlight w:val="none"/>
              </w:rPr>
            </w:pPr>
            <w:r>
              <w:rPr>
                <w:rFonts w:hint="eastAsia"/>
                <w:color w:val="auto"/>
                <w:highlight w:val="none"/>
              </w:rPr>
              <w:t>是否接受联合体投标</w:t>
            </w:r>
          </w:p>
        </w:tc>
        <w:tc>
          <w:tcPr>
            <w:tcW w:w="5244" w:type="dxa"/>
          </w:tcPr>
          <w:p w14:paraId="02473061">
            <w:pPr>
              <w:rPr>
                <w:color w:val="auto"/>
                <w:highlight w:val="none"/>
              </w:rPr>
            </w:pPr>
            <w:r>
              <w:rPr>
                <w:rFonts w:hint="eastAsia"/>
                <w:color w:val="auto"/>
                <w:highlight w:val="none"/>
              </w:rPr>
              <w:t>□不接受</w:t>
            </w:r>
          </w:p>
          <w:p w14:paraId="0A986267">
            <w:pPr>
              <w:rPr>
                <w:color w:val="auto"/>
                <w:highlight w:val="none"/>
              </w:rPr>
            </w:pPr>
            <w:r>
              <w:rPr>
                <w:rFonts w:hint="eastAsia"/>
                <w:color w:val="auto"/>
                <w:highlight w:val="none"/>
              </w:rPr>
              <w:t>□接受，应满足下列要求：</w:t>
            </w:r>
          </w:p>
        </w:tc>
      </w:tr>
      <w:tr w14:paraId="6E95C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433D192E">
            <w:pPr>
              <w:jc w:val="center"/>
              <w:rPr>
                <w:color w:val="auto"/>
                <w:highlight w:val="none"/>
              </w:rPr>
            </w:pPr>
            <w:r>
              <w:rPr>
                <w:rFonts w:hint="eastAsia"/>
                <w:color w:val="auto"/>
                <w:highlight w:val="none"/>
              </w:rPr>
              <w:t>1.9</w:t>
            </w:r>
          </w:p>
        </w:tc>
        <w:tc>
          <w:tcPr>
            <w:tcW w:w="2835" w:type="dxa"/>
          </w:tcPr>
          <w:p w14:paraId="5C4FC3BB">
            <w:pPr>
              <w:rPr>
                <w:color w:val="auto"/>
                <w:highlight w:val="none"/>
              </w:rPr>
            </w:pPr>
            <w:r>
              <w:rPr>
                <w:rFonts w:hint="eastAsia"/>
                <w:color w:val="auto"/>
                <w:highlight w:val="none"/>
              </w:rPr>
              <w:t>踏勘现场</w:t>
            </w:r>
          </w:p>
        </w:tc>
        <w:tc>
          <w:tcPr>
            <w:tcW w:w="5244" w:type="dxa"/>
            <w:vAlign w:val="top"/>
          </w:tcPr>
          <w:p w14:paraId="4415C6AB">
            <w:pPr>
              <w:pStyle w:val="46"/>
              <w:keepNext w:val="0"/>
              <w:keepLines w:val="0"/>
              <w:suppressLineNumbers w:val="0"/>
              <w:spacing w:before="0" w:beforeAutospacing="0" w:after="0" w:afterAutospacing="0" w:line="240" w:lineRule="auto"/>
              <w:ind w:left="0" w:right="0" w:firstLine="0" w:firstLineChars="0"/>
              <w:rPr>
                <w:color w:val="auto"/>
                <w:highlight w:val="none"/>
                <w:lang w:eastAsia="zh-CN"/>
              </w:rPr>
            </w:pPr>
            <w:r>
              <w:rPr>
                <w:rFonts w:hint="eastAsia"/>
                <w:bCs/>
                <w:color w:val="auto"/>
                <w:szCs w:val="21"/>
                <w:highlight w:val="none"/>
                <w:lang w:eastAsia="zh-CN"/>
              </w:rPr>
              <w:t>□</w:t>
            </w:r>
            <w:r>
              <w:rPr>
                <w:color w:val="auto"/>
                <w:highlight w:val="none"/>
                <w:lang w:eastAsia="zh-CN"/>
              </w:rPr>
              <w:t>不组织</w:t>
            </w:r>
          </w:p>
          <w:p w14:paraId="55EF5462">
            <w:pPr>
              <w:pStyle w:val="46"/>
              <w:keepNext w:val="0"/>
              <w:keepLines w:val="0"/>
              <w:suppressLineNumbers w:val="0"/>
              <w:spacing w:before="0" w:beforeAutospacing="0" w:after="0" w:afterAutospacing="0" w:line="240" w:lineRule="auto"/>
              <w:ind w:left="0" w:right="0" w:firstLine="0" w:firstLineChars="0"/>
              <w:rPr>
                <w:bCs/>
                <w:color w:val="auto"/>
                <w:szCs w:val="21"/>
                <w:highlight w:val="none"/>
                <w:lang w:eastAsia="zh-CN"/>
              </w:rPr>
            </w:pPr>
            <w:r>
              <w:rPr>
                <w:rFonts w:hint="eastAsia"/>
                <w:bCs/>
                <w:color w:val="auto"/>
                <w:szCs w:val="21"/>
                <w:highlight w:val="none"/>
                <w:lang w:eastAsia="zh-CN"/>
              </w:rPr>
              <w:t>□组织，踏勘时间：________</w:t>
            </w:r>
          </w:p>
          <w:p w14:paraId="76451765">
            <w:pPr>
              <w:keepNext w:val="0"/>
              <w:keepLines w:val="0"/>
              <w:suppressLineNumbers w:val="0"/>
              <w:shd w:val="clear"/>
              <w:spacing w:before="0" w:beforeAutospacing="0" w:after="0" w:afterAutospacing="0"/>
              <w:ind w:left="0" w:leftChars="0" w:right="0" w:rightChars="0"/>
              <w:rPr>
                <w:color w:val="auto"/>
                <w:highlight w:val="none"/>
              </w:rPr>
            </w:pPr>
            <w:r>
              <w:rPr>
                <w:rFonts w:hint="eastAsia"/>
                <w:bCs/>
                <w:color w:val="auto"/>
                <w:szCs w:val="21"/>
                <w:highlight w:val="none"/>
                <w:lang w:eastAsia="zh-CN"/>
              </w:rPr>
              <w:t xml:space="preserve">        踏勘集中地点：________</w:t>
            </w:r>
          </w:p>
        </w:tc>
      </w:tr>
      <w:tr w14:paraId="4D939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Pr>
          <w:p w14:paraId="19471CD5">
            <w:pPr>
              <w:jc w:val="center"/>
              <w:rPr>
                <w:color w:val="auto"/>
                <w:highlight w:val="none"/>
              </w:rPr>
            </w:pPr>
            <w:r>
              <w:rPr>
                <w:rFonts w:hint="eastAsia"/>
                <w:color w:val="auto"/>
                <w:highlight w:val="none"/>
              </w:rPr>
              <w:t>1.10</w:t>
            </w:r>
          </w:p>
        </w:tc>
        <w:tc>
          <w:tcPr>
            <w:tcW w:w="2835" w:type="dxa"/>
          </w:tcPr>
          <w:p w14:paraId="29206ECE">
            <w:pPr>
              <w:rPr>
                <w:color w:val="auto"/>
                <w:highlight w:val="none"/>
              </w:rPr>
            </w:pPr>
            <w:r>
              <w:rPr>
                <w:rFonts w:hint="eastAsia"/>
                <w:color w:val="auto"/>
                <w:highlight w:val="none"/>
              </w:rPr>
              <w:t>投标预备会</w:t>
            </w:r>
          </w:p>
        </w:tc>
        <w:tc>
          <w:tcPr>
            <w:tcW w:w="5244" w:type="dxa"/>
            <w:vAlign w:val="top"/>
          </w:tcPr>
          <w:p w14:paraId="1D821CD7">
            <w:pPr>
              <w:pStyle w:val="46"/>
              <w:keepNext w:val="0"/>
              <w:keepLines w:val="0"/>
              <w:suppressLineNumbers w:val="0"/>
              <w:spacing w:before="20" w:beforeAutospacing="0" w:after="0" w:afterAutospacing="0" w:line="240" w:lineRule="auto"/>
              <w:ind w:left="0" w:right="1178" w:firstLine="0" w:firstLineChars="0"/>
              <w:rPr>
                <w:color w:val="auto"/>
                <w:highlight w:val="none"/>
                <w:lang w:eastAsia="zh-CN"/>
              </w:rPr>
            </w:pPr>
            <w:r>
              <w:rPr>
                <w:rFonts w:hint="eastAsia"/>
                <w:bCs/>
                <w:color w:val="auto"/>
                <w:szCs w:val="21"/>
                <w:highlight w:val="none"/>
                <w:lang w:eastAsia="zh-CN"/>
              </w:rPr>
              <w:t>□</w:t>
            </w:r>
            <w:r>
              <w:rPr>
                <w:color w:val="auto"/>
                <w:highlight w:val="none"/>
                <w:lang w:eastAsia="zh-CN"/>
              </w:rPr>
              <w:t>不召开</w:t>
            </w:r>
          </w:p>
          <w:p w14:paraId="09507A4A">
            <w:pPr>
              <w:pStyle w:val="46"/>
              <w:keepNext w:val="0"/>
              <w:keepLines w:val="0"/>
              <w:suppressLineNumbers w:val="0"/>
              <w:spacing w:before="20" w:beforeAutospacing="0" w:after="0" w:afterAutospacing="0" w:line="240" w:lineRule="auto"/>
              <w:ind w:left="0" w:right="1178" w:firstLine="0" w:firstLineChars="0"/>
              <w:rPr>
                <w:bCs/>
                <w:color w:val="auto"/>
                <w:szCs w:val="21"/>
                <w:highlight w:val="none"/>
                <w:lang w:eastAsia="zh-CN"/>
              </w:rPr>
            </w:pPr>
            <w:r>
              <w:rPr>
                <w:rFonts w:hint="eastAsia"/>
                <w:bCs/>
                <w:color w:val="auto"/>
                <w:szCs w:val="21"/>
                <w:highlight w:val="none"/>
                <w:lang w:eastAsia="zh-CN"/>
              </w:rPr>
              <w:t>□召开，召开时间：________</w:t>
            </w:r>
          </w:p>
          <w:p w14:paraId="540CFE2A">
            <w:pPr>
              <w:keepNext w:val="0"/>
              <w:keepLines w:val="0"/>
              <w:suppressLineNumbers w:val="0"/>
              <w:shd w:val="clear"/>
              <w:spacing w:before="0" w:beforeAutospacing="0" w:after="0" w:afterAutospacing="0"/>
              <w:ind w:left="0" w:leftChars="0" w:right="0" w:rightChars="0"/>
              <w:rPr>
                <w:color w:val="auto"/>
                <w:highlight w:val="none"/>
              </w:rPr>
            </w:pPr>
            <w:r>
              <w:rPr>
                <w:rFonts w:hint="eastAsia"/>
                <w:bCs/>
                <w:color w:val="auto"/>
                <w:szCs w:val="21"/>
                <w:highlight w:val="none"/>
                <w:lang w:eastAsia="zh-CN"/>
              </w:rPr>
              <w:t xml:space="preserve">        召开地点：________</w:t>
            </w:r>
          </w:p>
        </w:tc>
      </w:tr>
      <w:tr w14:paraId="4A942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3CD58509">
            <w:pPr>
              <w:jc w:val="center"/>
              <w:rPr>
                <w:color w:val="auto"/>
                <w:highlight w:val="none"/>
              </w:rPr>
            </w:pPr>
            <w:r>
              <w:rPr>
                <w:rFonts w:hint="eastAsia"/>
                <w:color w:val="auto"/>
                <w:highlight w:val="none"/>
              </w:rPr>
              <w:t>1.10.3</w:t>
            </w:r>
          </w:p>
        </w:tc>
        <w:tc>
          <w:tcPr>
            <w:tcW w:w="2835" w:type="dxa"/>
          </w:tcPr>
          <w:p w14:paraId="2CD26FA0">
            <w:pPr>
              <w:rPr>
                <w:color w:val="auto"/>
                <w:highlight w:val="none"/>
              </w:rPr>
            </w:pPr>
            <w:r>
              <w:rPr>
                <w:rFonts w:hint="eastAsia"/>
                <w:color w:val="auto"/>
                <w:highlight w:val="none"/>
              </w:rPr>
              <w:t>投标截止时间</w:t>
            </w:r>
          </w:p>
        </w:tc>
        <w:tc>
          <w:tcPr>
            <w:tcW w:w="5244" w:type="dxa"/>
          </w:tcPr>
          <w:p w14:paraId="58D8D91F">
            <w:pPr>
              <w:rPr>
                <w:color w:val="auto"/>
                <w:highlight w:val="none"/>
              </w:rPr>
            </w:pPr>
          </w:p>
        </w:tc>
      </w:tr>
      <w:tr w14:paraId="16291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48C31464">
            <w:pPr>
              <w:jc w:val="center"/>
              <w:rPr>
                <w:color w:val="auto"/>
                <w:highlight w:val="none"/>
              </w:rPr>
            </w:pPr>
            <w:r>
              <w:rPr>
                <w:rFonts w:hint="eastAsia"/>
                <w:color w:val="auto"/>
                <w:highlight w:val="none"/>
              </w:rPr>
              <w:t>1.11</w:t>
            </w:r>
          </w:p>
        </w:tc>
        <w:tc>
          <w:tcPr>
            <w:tcW w:w="2835" w:type="dxa"/>
          </w:tcPr>
          <w:p w14:paraId="4D5645C9">
            <w:pPr>
              <w:rPr>
                <w:color w:val="auto"/>
                <w:highlight w:val="none"/>
              </w:rPr>
            </w:pPr>
            <w:r>
              <w:rPr>
                <w:rFonts w:hint="eastAsia"/>
                <w:color w:val="auto"/>
                <w:highlight w:val="none"/>
              </w:rPr>
              <w:t>分包</w:t>
            </w:r>
          </w:p>
        </w:tc>
        <w:tc>
          <w:tcPr>
            <w:tcW w:w="5244" w:type="dxa"/>
          </w:tcPr>
          <w:p w14:paraId="2E884792">
            <w:pPr>
              <w:rPr>
                <w:color w:val="auto"/>
                <w:sz w:val="21"/>
                <w:szCs w:val="21"/>
                <w:highlight w:val="none"/>
              </w:rPr>
            </w:pPr>
            <w:r>
              <w:rPr>
                <w:rFonts w:hint="eastAsia"/>
                <w:color w:val="auto"/>
                <w:highlight w:val="none"/>
              </w:rPr>
              <w:t>□</w:t>
            </w:r>
            <w:r>
              <w:rPr>
                <w:rFonts w:hint="eastAsia"/>
                <w:color w:val="auto"/>
                <w:sz w:val="21"/>
                <w:szCs w:val="21"/>
                <w:highlight w:val="none"/>
              </w:rPr>
              <w:t>不允许</w:t>
            </w:r>
          </w:p>
          <w:p w14:paraId="54A0BD0C">
            <w:pPr>
              <w:rPr>
                <w:color w:val="auto"/>
                <w:highlight w:val="none"/>
              </w:rPr>
            </w:pPr>
            <w:r>
              <w:rPr>
                <w:rFonts w:hint="eastAsia"/>
                <w:color w:val="auto"/>
                <w:sz w:val="21"/>
                <w:szCs w:val="21"/>
                <w:highlight w:val="none"/>
              </w:rPr>
              <w:t>□允许</w:t>
            </w:r>
          </w:p>
        </w:tc>
      </w:tr>
      <w:tr w14:paraId="03683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48F736DA">
            <w:pPr>
              <w:jc w:val="center"/>
              <w:rPr>
                <w:color w:val="auto"/>
                <w:highlight w:val="none"/>
              </w:rPr>
            </w:pPr>
            <w:r>
              <w:rPr>
                <w:rFonts w:hint="eastAsia"/>
                <w:color w:val="auto"/>
                <w:highlight w:val="none"/>
              </w:rPr>
              <w:t>1.12</w:t>
            </w:r>
          </w:p>
        </w:tc>
        <w:tc>
          <w:tcPr>
            <w:tcW w:w="2835" w:type="dxa"/>
          </w:tcPr>
          <w:p w14:paraId="2A08799B">
            <w:pPr>
              <w:rPr>
                <w:color w:val="auto"/>
                <w:highlight w:val="none"/>
              </w:rPr>
            </w:pPr>
            <w:r>
              <w:rPr>
                <w:rFonts w:hint="eastAsia"/>
                <w:color w:val="auto"/>
                <w:highlight w:val="none"/>
              </w:rPr>
              <w:t>偏离</w:t>
            </w:r>
          </w:p>
        </w:tc>
        <w:tc>
          <w:tcPr>
            <w:tcW w:w="5244" w:type="dxa"/>
          </w:tcPr>
          <w:p w14:paraId="0D5C7A7A">
            <w:pPr>
              <w:rPr>
                <w:color w:val="auto"/>
                <w:highlight w:val="none"/>
              </w:rPr>
            </w:pPr>
            <w:r>
              <w:rPr>
                <w:rFonts w:hint="eastAsia"/>
                <w:color w:val="auto"/>
                <w:highlight w:val="none"/>
              </w:rPr>
              <w:t>偏离允许幅度及其处理方法：</w:t>
            </w:r>
          </w:p>
        </w:tc>
      </w:tr>
      <w:tr w14:paraId="093B7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7707F68B">
            <w:pPr>
              <w:jc w:val="center"/>
              <w:rPr>
                <w:color w:val="auto"/>
                <w:highlight w:val="none"/>
              </w:rPr>
            </w:pPr>
            <w:r>
              <w:rPr>
                <w:rFonts w:hint="eastAsia"/>
                <w:color w:val="auto"/>
                <w:highlight w:val="none"/>
              </w:rPr>
              <w:t>3.3.1</w:t>
            </w:r>
          </w:p>
        </w:tc>
        <w:tc>
          <w:tcPr>
            <w:tcW w:w="2835" w:type="dxa"/>
          </w:tcPr>
          <w:p w14:paraId="3AB7369B">
            <w:pPr>
              <w:rPr>
                <w:color w:val="auto"/>
                <w:highlight w:val="none"/>
              </w:rPr>
            </w:pPr>
            <w:r>
              <w:rPr>
                <w:rFonts w:hint="eastAsia"/>
                <w:color w:val="auto"/>
                <w:highlight w:val="none"/>
              </w:rPr>
              <w:t>投标有效期</w:t>
            </w:r>
          </w:p>
        </w:tc>
        <w:tc>
          <w:tcPr>
            <w:tcW w:w="5244" w:type="dxa"/>
          </w:tcPr>
          <w:p w14:paraId="35FCDC85">
            <w:pPr>
              <w:rPr>
                <w:color w:val="auto"/>
                <w:highlight w:val="none"/>
              </w:rPr>
            </w:pPr>
          </w:p>
        </w:tc>
      </w:tr>
      <w:tr w14:paraId="25091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7D30CD60">
            <w:pPr>
              <w:jc w:val="center"/>
              <w:rPr>
                <w:color w:val="auto"/>
                <w:highlight w:val="none"/>
              </w:rPr>
            </w:pPr>
            <w:r>
              <w:rPr>
                <w:rFonts w:hint="eastAsia"/>
                <w:color w:val="auto"/>
                <w:highlight w:val="none"/>
              </w:rPr>
              <w:t>3.4.1</w:t>
            </w:r>
          </w:p>
        </w:tc>
        <w:tc>
          <w:tcPr>
            <w:tcW w:w="2835" w:type="dxa"/>
          </w:tcPr>
          <w:p w14:paraId="023E4074">
            <w:pPr>
              <w:rPr>
                <w:color w:val="auto"/>
                <w:highlight w:val="none"/>
              </w:rPr>
            </w:pPr>
            <w:r>
              <w:rPr>
                <w:rFonts w:hint="eastAsia"/>
                <w:color w:val="auto"/>
                <w:highlight w:val="none"/>
              </w:rPr>
              <w:t>投标保证金</w:t>
            </w:r>
          </w:p>
        </w:tc>
        <w:tc>
          <w:tcPr>
            <w:tcW w:w="5244" w:type="dxa"/>
          </w:tcPr>
          <w:p w14:paraId="3BAAFC5B">
            <w:pPr>
              <w:spacing w:line="288" w:lineRule="auto"/>
              <w:ind w:firstLine="210" w:firstLineChars="100"/>
              <w:rPr>
                <w:color w:val="auto"/>
                <w:highlight w:val="none"/>
              </w:rPr>
            </w:pPr>
            <w:sdt>
              <w:sdtPr>
                <w:rPr>
                  <w:rFonts w:hint="eastAsia"/>
                  <w:color w:val="auto"/>
                  <w:highlight w:val="none"/>
                </w:rPr>
                <w:id w:val="147473851"/>
                <w14:checkbox>
                  <w14:checked w14:val="0"/>
                  <w14:checkedState w14:val="2612" w14:font="MS Gothic"/>
                  <w14:uncheckedState w14:val="2610" w14:font="MS Gothic"/>
                </w14:checkbox>
              </w:sdtPr>
              <w:sdtEndPr>
                <w:rPr>
                  <w:rFonts w:hint="eastAsia"/>
                  <w:color w:val="auto"/>
                  <w:highlight w:val="none"/>
                </w:rPr>
              </w:sdtEndPr>
              <w:sdtContent>
                <w:r>
                  <w:rPr>
                    <w:rFonts w:hint="eastAsia" w:ascii="MS Gothic" w:hAnsi="MS Gothic" w:eastAsia="MS Gothic"/>
                    <w:color w:val="auto"/>
                    <w:highlight w:val="none"/>
                  </w:rPr>
                  <w:t>☐</w:t>
                </w:r>
              </w:sdtContent>
            </w:sdt>
            <w:r>
              <w:rPr>
                <w:rFonts w:hint="eastAsia"/>
                <w:color w:val="auto"/>
                <w:highlight w:val="none"/>
              </w:rPr>
              <w:t>否</w:t>
            </w:r>
          </w:p>
          <w:p w14:paraId="48E7DC80">
            <w:pPr>
              <w:spacing w:line="288" w:lineRule="auto"/>
              <w:ind w:firstLine="210" w:firstLineChars="100"/>
              <w:rPr>
                <w:color w:val="auto"/>
                <w:highlight w:val="none"/>
              </w:rPr>
            </w:pPr>
            <w:sdt>
              <w:sdtPr>
                <w:rPr>
                  <w:rFonts w:hint="eastAsia"/>
                  <w:color w:val="auto"/>
                  <w:highlight w:val="none"/>
                </w:rPr>
                <w:id w:val="147465714"/>
                <w14:checkbox>
                  <w14:checked w14:val="0"/>
                  <w14:checkedState w14:val="2612" w14:font="MS Gothic"/>
                  <w14:uncheckedState w14:val="2610" w14:font="MS Gothic"/>
                </w14:checkbox>
              </w:sdtPr>
              <w:sdtEndPr>
                <w:rPr>
                  <w:rFonts w:hint="eastAsia"/>
                  <w:color w:val="auto"/>
                  <w:highlight w:val="none"/>
                </w:rPr>
              </w:sdtEndPr>
              <w:sdtContent>
                <w:r>
                  <w:rPr>
                    <w:rFonts w:hint="eastAsia" w:ascii="MS Gothic" w:hAnsi="MS Gothic" w:eastAsia="MS Gothic"/>
                    <w:color w:val="auto"/>
                    <w:highlight w:val="none"/>
                  </w:rPr>
                  <w:t>☐</w:t>
                </w:r>
              </w:sdtContent>
            </w:sdt>
            <w:r>
              <w:rPr>
                <w:rFonts w:hint="eastAsia"/>
                <w:color w:val="auto"/>
                <w:highlight w:val="none"/>
              </w:rPr>
              <w:t>是</w:t>
            </w:r>
          </w:p>
          <w:p w14:paraId="173D1CFD">
            <w:pPr>
              <w:numPr>
                <w:ilvl w:val="0"/>
                <w:numId w:val="1"/>
              </w:numPr>
              <w:spacing w:line="288" w:lineRule="auto"/>
              <w:rPr>
                <w:rFonts w:hint="eastAsia"/>
                <w:color w:val="auto"/>
                <w:highlight w:val="none"/>
              </w:rPr>
            </w:pPr>
            <w:r>
              <w:rPr>
                <w:rFonts w:hint="eastAsia"/>
                <w:color w:val="auto"/>
                <w:highlight w:val="none"/>
              </w:rPr>
              <w:t>投标保证金的形式：银行转账、银行保函、电子保函、建设工程投标保证保险支付。银行转账应当从其基本账户中转出。</w:t>
            </w:r>
          </w:p>
          <w:p w14:paraId="46C92FFE">
            <w:pPr>
              <w:spacing w:line="288" w:lineRule="auto"/>
              <w:rPr>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投标保证金的金额：</w:t>
            </w:r>
            <w:permStart w:id="3" w:edGrp="everyone"/>
            <w:r>
              <w:rPr>
                <w:color w:val="auto"/>
                <w:highlight w:val="none"/>
                <w:u w:val="single"/>
              </w:rPr>
              <w:t xml:space="preserve">    </w:t>
            </w:r>
            <w:r>
              <w:rPr>
                <w:rFonts w:hint="eastAsia"/>
                <w:color w:val="auto"/>
                <w:highlight w:val="none"/>
                <w:u w:val="single"/>
              </w:rPr>
              <w:t xml:space="preserve"> </w:t>
            </w:r>
            <w:r>
              <w:rPr>
                <w:rFonts w:hint="eastAsia"/>
                <w:color w:val="auto"/>
                <w:highlight w:val="none"/>
              </w:rPr>
              <w:t xml:space="preserve"> </w:t>
            </w:r>
            <w:permEnd w:id="3"/>
            <w:r>
              <w:rPr>
                <w:rFonts w:hint="eastAsia"/>
                <w:color w:val="auto"/>
                <w:highlight w:val="none"/>
              </w:rPr>
              <w:t>（不得超过</w:t>
            </w:r>
            <w:r>
              <w:rPr>
                <w:rFonts w:hint="eastAsia"/>
                <w:color w:val="auto"/>
                <w:highlight w:val="none"/>
                <w:shd w:val="clear" w:color="auto" w:fill="FFFFFF"/>
              </w:rPr>
              <w:t>项目估算价</w:t>
            </w:r>
            <w:r>
              <w:rPr>
                <w:rFonts w:hint="eastAsia"/>
                <w:color w:val="auto"/>
                <w:highlight w:val="none"/>
              </w:rPr>
              <w:t>的2%；投标人需要一次性转账所需金额）</w:t>
            </w:r>
          </w:p>
          <w:p w14:paraId="681860E5">
            <w:pPr>
              <w:spacing w:line="288" w:lineRule="auto"/>
              <w:rPr>
                <w:color w:val="auto"/>
                <w:highlight w:val="none"/>
              </w:rPr>
            </w:pPr>
            <w:r>
              <w:rPr>
                <w:rFonts w:hint="eastAsia"/>
                <w:color w:val="auto"/>
                <w:highlight w:val="none"/>
              </w:rPr>
              <w:t>户名：</w:t>
            </w:r>
            <w:permStart w:id="4" w:edGrp="everyone"/>
            <w:r>
              <w:rPr>
                <w:rFonts w:hint="eastAsia"/>
                <w:color w:val="auto"/>
                <w:highlight w:val="none"/>
                <w:u w:val="single"/>
              </w:rPr>
              <w:t>获取地址全国公共资源交易平台（海南省）（https://ggzy.hainan.gov.cn/ggzyjy/）</w:t>
            </w:r>
            <w:permEnd w:id="4"/>
          </w:p>
          <w:p w14:paraId="23382F5D">
            <w:pPr>
              <w:spacing w:line="288" w:lineRule="auto"/>
              <w:rPr>
                <w:color w:val="auto"/>
                <w:highlight w:val="none"/>
                <w:u w:val="single"/>
              </w:rPr>
            </w:pPr>
            <w:r>
              <w:rPr>
                <w:rFonts w:hint="eastAsia"/>
                <w:color w:val="auto"/>
                <w:highlight w:val="none"/>
              </w:rPr>
              <w:t>开户行：</w:t>
            </w:r>
            <w:permStart w:id="5" w:edGrp="everyone"/>
            <w:r>
              <w:rPr>
                <w:rFonts w:hint="eastAsia"/>
                <w:color w:val="auto"/>
                <w:highlight w:val="none"/>
                <w:u w:val="single"/>
              </w:rPr>
              <w:t>获取地址全国公共资源交易平台（海南省）（</w:t>
            </w:r>
            <w:r>
              <w:rPr>
                <w:rFonts w:hint="eastAsia"/>
                <w:color w:val="auto"/>
                <w:highlight w:val="none"/>
                <w:u w:val="single"/>
                <w:lang w:eastAsia="zh-CN"/>
              </w:rPr>
              <w:t>https://ggzy.hainan.gov.cn/ggzyjy/</w:t>
            </w:r>
            <w:r>
              <w:rPr>
                <w:rFonts w:hint="eastAsia"/>
                <w:color w:val="auto"/>
                <w:highlight w:val="none"/>
                <w:u w:val="single"/>
              </w:rPr>
              <w:t>）</w:t>
            </w:r>
            <w:permEnd w:id="5"/>
          </w:p>
          <w:p w14:paraId="027C86AC">
            <w:pPr>
              <w:spacing w:line="288" w:lineRule="auto"/>
              <w:rPr>
                <w:rFonts w:hint="eastAsia"/>
                <w:color w:val="auto"/>
                <w:highlight w:val="none"/>
                <w:u w:val="single"/>
              </w:rPr>
            </w:pPr>
            <w:r>
              <w:rPr>
                <w:rFonts w:hint="eastAsia"/>
                <w:color w:val="auto"/>
                <w:highlight w:val="none"/>
              </w:rPr>
              <w:t>账号：</w:t>
            </w:r>
            <w:permStart w:id="6" w:edGrp="everyone"/>
            <w:r>
              <w:rPr>
                <w:rFonts w:hint="eastAsia"/>
                <w:color w:val="auto"/>
                <w:highlight w:val="none"/>
                <w:u w:val="single"/>
              </w:rPr>
              <w:t>获取地址全国公共资源交易平台（海南省）（</w:t>
            </w:r>
            <w:r>
              <w:rPr>
                <w:rFonts w:hint="eastAsia"/>
                <w:color w:val="auto"/>
                <w:highlight w:val="none"/>
              </w:rPr>
              <w:t>https://ggzy.hainan.gov.cn/ggzyjy/</w:t>
            </w:r>
            <w:r>
              <w:rPr>
                <w:rFonts w:hint="eastAsia"/>
                <w:color w:val="auto"/>
                <w:highlight w:val="none"/>
                <w:u w:val="single"/>
              </w:rPr>
              <w:t>）</w:t>
            </w:r>
          </w:p>
          <w:permEnd w:id="6"/>
          <w:p w14:paraId="5C0F9002">
            <w:pPr>
              <w:rPr>
                <w:color w:val="auto"/>
                <w:highlight w:val="none"/>
              </w:rPr>
            </w:pPr>
            <w:r>
              <w:rPr>
                <w:rFonts w:hint="eastAsia"/>
                <w:color w:val="auto"/>
                <w:highlight w:val="none"/>
              </w:rPr>
              <w:t>不符合上述要求的，否决其投标。</w:t>
            </w:r>
          </w:p>
        </w:tc>
      </w:tr>
      <w:tr w14:paraId="4470C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14:paraId="2B227F0F">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3.7.3</w:t>
            </w:r>
          </w:p>
        </w:tc>
        <w:tc>
          <w:tcPr>
            <w:tcW w:w="2835" w:type="dxa"/>
            <w:vAlign w:val="center"/>
          </w:tcPr>
          <w:p w14:paraId="4DBBCAD3">
            <w:pP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签字和（或）盖章要求</w:t>
            </w:r>
          </w:p>
        </w:tc>
        <w:tc>
          <w:tcPr>
            <w:tcW w:w="5244" w:type="dxa"/>
            <w:vAlign w:val="center"/>
          </w:tcPr>
          <w:p w14:paraId="4089A3F4">
            <w:pPr>
              <w:spacing w:line="288" w:lineRule="auto"/>
              <w:rPr>
                <w:color w:val="auto"/>
                <w:highlight w:val="none"/>
              </w:rPr>
            </w:pPr>
            <w:r>
              <w:rPr>
                <w:color w:val="auto"/>
                <w:highlight w:val="none"/>
              </w:rPr>
              <w:t>招标文件中明确投标文件中需签字和盖章的地方应按要求进行电子签字或盖上电子章。</w:t>
            </w:r>
          </w:p>
          <w:p w14:paraId="478797B0">
            <w:pPr>
              <w:spacing w:line="288" w:lineRule="auto"/>
              <w:rPr>
                <w:color w:val="auto"/>
                <w:highlight w:val="none"/>
              </w:rPr>
            </w:pPr>
            <w:r>
              <w:rPr>
                <w:color w:val="auto"/>
                <w:highlight w:val="none"/>
              </w:rPr>
              <w:t>投标函及投标函附录应在规定位置加盖投标单位及其法人或授权委托人电子签字或盖章（以联合体名义进行投标的仅需加盖牵头单位的电子签章）</w:t>
            </w:r>
          </w:p>
          <w:p w14:paraId="4A33E8F2">
            <w:pPr>
              <w:spacing w:line="288" w:lineRule="auto"/>
              <w:rPr>
                <w:rFonts w:hint="eastAsia" w:ascii="Times New Roman" w:hAnsi="Times New Roman" w:eastAsia="宋体" w:cs="Times New Roman"/>
                <w:color w:val="auto"/>
                <w:kern w:val="2"/>
                <w:sz w:val="21"/>
                <w:szCs w:val="24"/>
                <w:highlight w:val="none"/>
                <w:lang w:val="en-US" w:eastAsia="zh-CN" w:bidi="ar-SA"/>
              </w:rPr>
            </w:pPr>
            <w:r>
              <w:rPr>
                <w:color w:val="auto"/>
                <w:highlight w:val="none"/>
              </w:rPr>
              <w:t>电子签字或盖章应使用对应使用人或单位的CA数字证书加盖，若CA数字证书信息与投标单位名称或其法人或授权委托人不符否决投标）</w:t>
            </w:r>
          </w:p>
        </w:tc>
      </w:tr>
      <w:tr w14:paraId="668A4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14:paraId="03831EE5">
            <w:pPr>
              <w:jc w:val="center"/>
              <w:rPr>
                <w:rFonts w:hint="eastAsia"/>
                <w:color w:val="auto"/>
                <w:highlight w:val="none"/>
              </w:rPr>
            </w:pPr>
            <w:r>
              <w:rPr>
                <w:rFonts w:hint="eastAsia"/>
                <w:color w:val="auto"/>
                <w:highlight w:val="none"/>
              </w:rPr>
              <w:t>4.1.1</w:t>
            </w:r>
          </w:p>
        </w:tc>
        <w:tc>
          <w:tcPr>
            <w:tcW w:w="2835" w:type="dxa"/>
            <w:vAlign w:val="center"/>
          </w:tcPr>
          <w:p w14:paraId="36EAA781">
            <w:pPr>
              <w:rPr>
                <w:rFonts w:hint="eastAsia"/>
                <w:color w:val="auto"/>
                <w:highlight w:val="none"/>
              </w:rPr>
            </w:pPr>
            <w:r>
              <w:rPr>
                <w:rFonts w:hint="eastAsia"/>
                <w:color w:val="auto"/>
                <w:highlight w:val="none"/>
              </w:rPr>
              <w:t>投标文件的密封及标记</w:t>
            </w:r>
          </w:p>
        </w:tc>
        <w:tc>
          <w:tcPr>
            <w:tcW w:w="5244" w:type="dxa"/>
            <w:vAlign w:val="center"/>
          </w:tcPr>
          <w:p w14:paraId="4BB9D006">
            <w:pPr>
              <w:pStyle w:val="8"/>
              <w:rPr>
                <w:color w:val="auto"/>
                <w:highlight w:val="none"/>
              </w:rPr>
            </w:pPr>
            <w:r>
              <w:rPr>
                <w:rFonts w:hint="eastAsia"/>
                <w:color w:val="auto"/>
                <w:highlight w:val="none"/>
              </w:rPr>
              <w:t>电子投标文件使用CA数字证书进行加密，未加密的电子投标文件将无法上传至交易平台。</w:t>
            </w:r>
          </w:p>
        </w:tc>
      </w:tr>
      <w:tr w14:paraId="5918C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57B9A8AB">
            <w:pPr>
              <w:jc w:val="center"/>
              <w:rPr>
                <w:color w:val="auto"/>
                <w:highlight w:val="none"/>
              </w:rPr>
            </w:pPr>
            <w:r>
              <w:rPr>
                <w:rFonts w:hint="eastAsia"/>
                <w:color w:val="auto"/>
                <w:highlight w:val="none"/>
              </w:rPr>
              <w:t>4.2.2</w:t>
            </w:r>
          </w:p>
        </w:tc>
        <w:tc>
          <w:tcPr>
            <w:tcW w:w="2835" w:type="dxa"/>
          </w:tcPr>
          <w:p w14:paraId="326C7CBF">
            <w:pPr>
              <w:rPr>
                <w:color w:val="auto"/>
                <w:highlight w:val="none"/>
              </w:rPr>
            </w:pPr>
            <w:r>
              <w:rPr>
                <w:rFonts w:hint="eastAsia"/>
                <w:color w:val="auto"/>
                <w:highlight w:val="none"/>
              </w:rPr>
              <w:t>递交投标文件地点</w:t>
            </w:r>
          </w:p>
        </w:tc>
        <w:tc>
          <w:tcPr>
            <w:tcW w:w="5244" w:type="dxa"/>
          </w:tcPr>
          <w:p w14:paraId="6824ED47">
            <w:pPr>
              <w:rPr>
                <w:color w:val="auto"/>
                <w:highlight w:val="none"/>
              </w:rPr>
            </w:pPr>
          </w:p>
        </w:tc>
      </w:tr>
      <w:tr w14:paraId="3E616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709FBF84">
            <w:pPr>
              <w:jc w:val="center"/>
              <w:rPr>
                <w:color w:val="auto"/>
                <w:highlight w:val="none"/>
              </w:rPr>
            </w:pPr>
            <w:r>
              <w:rPr>
                <w:rFonts w:hint="eastAsia"/>
                <w:color w:val="auto"/>
                <w:highlight w:val="none"/>
              </w:rPr>
              <w:t>5.1</w:t>
            </w:r>
          </w:p>
        </w:tc>
        <w:tc>
          <w:tcPr>
            <w:tcW w:w="2835" w:type="dxa"/>
          </w:tcPr>
          <w:p w14:paraId="1F63CAD7">
            <w:pPr>
              <w:rPr>
                <w:color w:val="auto"/>
                <w:highlight w:val="none"/>
              </w:rPr>
            </w:pPr>
            <w:r>
              <w:rPr>
                <w:rFonts w:hint="eastAsia"/>
                <w:color w:val="auto"/>
                <w:highlight w:val="none"/>
              </w:rPr>
              <w:t>开标时间和地点</w:t>
            </w:r>
          </w:p>
        </w:tc>
        <w:tc>
          <w:tcPr>
            <w:tcW w:w="5244" w:type="dxa"/>
          </w:tcPr>
          <w:p w14:paraId="1B418DF6">
            <w:pPr>
              <w:rPr>
                <w:color w:val="auto"/>
                <w:highlight w:val="none"/>
              </w:rPr>
            </w:pPr>
            <w:r>
              <w:rPr>
                <w:rFonts w:hint="eastAsia"/>
                <w:color w:val="auto"/>
                <w:highlight w:val="none"/>
              </w:rPr>
              <w:t>开标时间：</w:t>
            </w:r>
          </w:p>
          <w:p w14:paraId="4C254AF5">
            <w:pPr>
              <w:rPr>
                <w:color w:val="auto"/>
                <w:highlight w:val="none"/>
              </w:rPr>
            </w:pPr>
            <w:r>
              <w:rPr>
                <w:rFonts w:hint="eastAsia"/>
                <w:color w:val="auto"/>
                <w:highlight w:val="none"/>
              </w:rPr>
              <w:t>开标地点：</w:t>
            </w:r>
          </w:p>
        </w:tc>
      </w:tr>
      <w:tr w14:paraId="5B85D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7F659465">
            <w:pPr>
              <w:jc w:val="center"/>
              <w:rPr>
                <w:color w:val="auto"/>
                <w:highlight w:val="none"/>
              </w:rPr>
            </w:pPr>
            <w:r>
              <w:rPr>
                <w:rFonts w:hint="eastAsia"/>
                <w:color w:val="auto"/>
                <w:highlight w:val="none"/>
              </w:rPr>
              <w:t>5.2</w:t>
            </w:r>
          </w:p>
        </w:tc>
        <w:tc>
          <w:tcPr>
            <w:tcW w:w="2835" w:type="dxa"/>
          </w:tcPr>
          <w:p w14:paraId="68046C36">
            <w:pPr>
              <w:rPr>
                <w:color w:val="auto"/>
                <w:highlight w:val="none"/>
              </w:rPr>
            </w:pPr>
            <w:r>
              <w:rPr>
                <w:rFonts w:hint="eastAsia"/>
                <w:color w:val="auto"/>
                <w:highlight w:val="none"/>
              </w:rPr>
              <w:t>开标程序</w:t>
            </w:r>
          </w:p>
        </w:tc>
        <w:tc>
          <w:tcPr>
            <w:tcW w:w="5244" w:type="dxa"/>
          </w:tcPr>
          <w:p w14:paraId="09BF9C84">
            <w:pPr>
              <w:spacing w:line="288" w:lineRule="auto"/>
              <w:rPr>
                <w:color w:val="auto"/>
                <w:highlight w:val="none"/>
              </w:rPr>
            </w:pPr>
            <w:r>
              <w:rPr>
                <w:rFonts w:hint="eastAsia"/>
                <w:color w:val="auto"/>
                <w:highlight w:val="none"/>
              </w:rPr>
              <w:t>（1）宣布开标纪律；</w:t>
            </w:r>
          </w:p>
          <w:p w14:paraId="651AE169">
            <w:pPr>
              <w:spacing w:line="288" w:lineRule="auto"/>
              <w:rPr>
                <w:color w:val="auto"/>
                <w:highlight w:val="none"/>
              </w:rPr>
            </w:pPr>
            <w:r>
              <w:rPr>
                <w:rFonts w:hint="eastAsia"/>
                <w:color w:val="auto"/>
                <w:highlight w:val="none"/>
              </w:rPr>
              <w:t>（2）公布在投标截止时间前递交投标文件的投标人名称；</w:t>
            </w:r>
          </w:p>
          <w:p w14:paraId="217E1062">
            <w:pPr>
              <w:spacing w:line="288" w:lineRule="auto"/>
              <w:rPr>
                <w:color w:val="auto"/>
                <w:highlight w:val="none"/>
              </w:rPr>
            </w:pPr>
            <w:r>
              <w:rPr>
                <w:rFonts w:hint="eastAsia"/>
                <w:color w:val="auto"/>
                <w:highlight w:val="none"/>
              </w:rPr>
              <w:t>（3）宣布开标人、唱标人、记录人、监标人等有关人员姓名；</w:t>
            </w:r>
          </w:p>
          <w:p w14:paraId="49BBB3BB">
            <w:pPr>
              <w:spacing w:line="288" w:lineRule="auto"/>
              <w:rPr>
                <w:color w:val="auto"/>
                <w:highlight w:val="none"/>
              </w:rPr>
            </w:pPr>
            <w:r>
              <w:rPr>
                <w:rFonts w:hint="eastAsia"/>
                <w:color w:val="auto"/>
                <w:highlight w:val="none"/>
              </w:rPr>
              <w:t>（4）招标人组织投标人代表使用投标人的企业CA数字证书线上或线下解密投标文件；</w:t>
            </w:r>
          </w:p>
          <w:p w14:paraId="3DEAE6BF">
            <w:pPr>
              <w:spacing w:line="288" w:lineRule="auto"/>
              <w:rPr>
                <w:color w:val="auto"/>
                <w:highlight w:val="none"/>
              </w:rPr>
            </w:pPr>
            <w:r>
              <w:rPr>
                <w:rFonts w:hint="eastAsia"/>
                <w:color w:val="auto"/>
                <w:highlight w:val="none"/>
              </w:rPr>
              <w:t>（5）设有标底的，公布标底；</w:t>
            </w:r>
          </w:p>
          <w:p w14:paraId="2BC9F1EA">
            <w:pPr>
              <w:spacing w:line="288" w:lineRule="auto"/>
              <w:rPr>
                <w:color w:val="auto"/>
                <w:highlight w:val="none"/>
              </w:rPr>
            </w:pPr>
            <w:r>
              <w:rPr>
                <w:rFonts w:hint="eastAsia"/>
                <w:color w:val="auto"/>
                <w:highlight w:val="none"/>
              </w:rPr>
              <w:t>（6）按照宣布的开标顺序当众开标，公布投标人名称、标段名称、投标保证金的递交情况、投标报价、质量目标、工期及其他内容，并记录在案；</w:t>
            </w:r>
          </w:p>
          <w:p w14:paraId="4111032C">
            <w:pPr>
              <w:spacing w:line="288" w:lineRule="auto"/>
              <w:rPr>
                <w:color w:val="auto"/>
                <w:highlight w:val="none"/>
              </w:rPr>
            </w:pPr>
            <w:r>
              <w:rPr>
                <w:color w:val="auto"/>
                <w:highlight w:val="none"/>
              </w:rPr>
              <w:t>（7）通过“机器管招投标”系统的自动比对、筛选功能对</w:t>
            </w:r>
            <w:r>
              <w:rPr>
                <w:rFonts w:hint="eastAsia"/>
                <w:color w:val="auto"/>
                <w:highlight w:val="none"/>
              </w:rPr>
              <w:t>投标文件的IP地址、计算机网卡MAC地址、计价软件加密锁号</w:t>
            </w:r>
            <w:r>
              <w:rPr>
                <w:rFonts w:hint="eastAsia"/>
                <w:color w:val="auto"/>
                <w:highlight w:val="none"/>
                <w:lang w:eastAsia="zh-CN"/>
              </w:rPr>
              <w:t>（</w:t>
            </w:r>
            <w:r>
              <w:rPr>
                <w:rFonts w:hint="eastAsia"/>
                <w:color w:val="auto"/>
                <w:highlight w:val="none"/>
                <w:lang w:val="en-US" w:eastAsia="zh-CN"/>
              </w:rPr>
              <w:t>如有</w:t>
            </w:r>
            <w:r>
              <w:rPr>
                <w:rFonts w:hint="eastAsia"/>
                <w:color w:val="auto"/>
                <w:highlight w:val="none"/>
                <w:lang w:eastAsia="zh-CN"/>
              </w:rPr>
              <w:t>）</w:t>
            </w:r>
            <w:r>
              <w:rPr>
                <w:rFonts w:hint="eastAsia"/>
                <w:color w:val="auto"/>
                <w:highlight w:val="none"/>
              </w:rPr>
              <w:t>、设备序列号等信息进行比对，筛选出合格投标文件进入评标环节，如投标人之间的上述信息中的任何一项存在雷同的，将不得进入评标环节，并自动保存后推送给行业监督部门，由行业监督部门按照相关法律法规规定进行处理。</w:t>
            </w:r>
          </w:p>
          <w:p w14:paraId="4389D6DE">
            <w:pPr>
              <w:spacing w:line="288" w:lineRule="auto"/>
              <w:rPr>
                <w:color w:val="auto"/>
                <w:highlight w:val="none"/>
              </w:rPr>
            </w:pPr>
            <w:r>
              <w:rPr>
                <w:color w:val="auto"/>
                <w:highlight w:val="none"/>
              </w:rPr>
              <w:t>存在下列情况之一的投标文件将被自动截留</w:t>
            </w:r>
            <w:r>
              <w:rPr>
                <w:rFonts w:hint="eastAsia"/>
                <w:color w:val="auto"/>
                <w:highlight w:val="none"/>
                <w:lang w:val="en-US" w:eastAsia="zh-CN"/>
              </w:rPr>
              <w:t>并推送行业监管部门</w:t>
            </w:r>
            <w:r>
              <w:rPr>
                <w:color w:val="auto"/>
                <w:highlight w:val="none"/>
              </w:rPr>
              <w:t>：</w:t>
            </w:r>
          </w:p>
          <w:p w14:paraId="7EED26F3">
            <w:pPr>
              <w:spacing w:line="288" w:lineRule="auto"/>
              <w:rPr>
                <w:color w:val="auto"/>
                <w:highlight w:val="none"/>
              </w:rPr>
            </w:pPr>
            <w:r>
              <w:rPr>
                <w:color w:val="auto"/>
                <w:highlight w:val="none"/>
              </w:rPr>
              <w:t>a.投标文件上传的IP地址一致的；</w:t>
            </w:r>
          </w:p>
          <w:p w14:paraId="061E4405">
            <w:pPr>
              <w:spacing w:line="288" w:lineRule="auto"/>
              <w:rPr>
                <w:color w:val="auto"/>
                <w:highlight w:val="none"/>
              </w:rPr>
            </w:pPr>
            <w:r>
              <w:rPr>
                <w:color w:val="auto"/>
                <w:highlight w:val="none"/>
              </w:rPr>
              <w:t>b.编制投标文件时计算机的网卡MAC地址一致</w:t>
            </w:r>
            <w:r>
              <w:rPr>
                <w:rFonts w:hint="eastAsia"/>
                <w:color w:val="auto"/>
                <w:highlight w:val="none"/>
                <w:lang w:val="en-US" w:eastAsia="zh-CN"/>
              </w:rPr>
              <w:t>且</w:t>
            </w:r>
            <w:r>
              <w:rPr>
                <w:color w:val="auto"/>
                <w:highlight w:val="none"/>
              </w:rPr>
              <w:t>数据储存设备序列号一致的；</w:t>
            </w:r>
          </w:p>
          <w:p w14:paraId="77F1D99A">
            <w:pPr>
              <w:spacing w:line="288" w:lineRule="auto"/>
              <w:rPr>
                <w:rFonts w:hint="eastAsia"/>
                <w:color w:val="auto"/>
                <w:highlight w:val="none"/>
                <w:lang w:eastAsia="zh-CN"/>
              </w:rPr>
            </w:pPr>
            <w:r>
              <w:rPr>
                <w:rFonts w:hint="eastAsia"/>
                <w:color w:val="auto"/>
                <w:highlight w:val="none"/>
                <w:lang w:val="en-US" w:eastAsia="zh-CN"/>
              </w:rPr>
              <w:t>c</w:t>
            </w:r>
            <w:r>
              <w:rPr>
                <w:color w:val="auto"/>
                <w:highlight w:val="none"/>
              </w:rPr>
              <w:t>.</w:t>
            </w:r>
            <w:r>
              <w:rPr>
                <w:rFonts w:hint="eastAsia"/>
                <w:color w:val="auto"/>
                <w:highlight w:val="none"/>
                <w:lang w:val="en-US" w:eastAsia="zh-CN"/>
              </w:rPr>
              <w:t>编制工程量清单成果文件的</w:t>
            </w:r>
            <w:r>
              <w:rPr>
                <w:color w:val="auto"/>
                <w:highlight w:val="none"/>
              </w:rPr>
              <w:t>加密锁号一致的</w:t>
            </w:r>
            <w:r>
              <w:rPr>
                <w:rFonts w:hint="eastAsia"/>
                <w:color w:val="auto"/>
                <w:highlight w:val="none"/>
                <w:lang w:eastAsia="zh-CN"/>
              </w:rPr>
              <w:t>；（</w:t>
            </w:r>
            <w:r>
              <w:rPr>
                <w:rFonts w:hint="eastAsia"/>
                <w:color w:val="auto"/>
                <w:highlight w:val="none"/>
                <w:lang w:val="en-US" w:eastAsia="zh-CN"/>
              </w:rPr>
              <w:t>含投标人清单加密锁号和招标人公布的清单控制价加密锁号一致的</w:t>
            </w:r>
            <w:r>
              <w:rPr>
                <w:rFonts w:hint="eastAsia"/>
                <w:color w:val="auto"/>
                <w:highlight w:val="none"/>
                <w:lang w:eastAsia="zh-CN"/>
              </w:rPr>
              <w:t>）</w:t>
            </w:r>
          </w:p>
          <w:p w14:paraId="33533DF3">
            <w:pPr>
              <w:spacing w:line="288" w:lineRule="auto"/>
              <w:rPr>
                <w:color w:val="auto"/>
                <w:highlight w:val="none"/>
              </w:rPr>
            </w:pPr>
            <w:r>
              <w:rPr>
                <w:color w:val="auto"/>
                <w:highlight w:val="none"/>
              </w:rPr>
              <w:t>（8）投标人代表、监标人、记录人等有关人员在开标记录上签字（电子章）确认；</w:t>
            </w:r>
          </w:p>
          <w:p w14:paraId="0627D915">
            <w:pPr>
              <w:spacing w:line="288" w:lineRule="auto"/>
              <w:rPr>
                <w:color w:val="auto"/>
                <w:highlight w:val="none"/>
              </w:rPr>
            </w:pPr>
            <w:r>
              <w:rPr>
                <w:color w:val="auto"/>
                <w:highlight w:val="none"/>
              </w:rPr>
              <w:t>（9）投标人对开标有异议的，应及时提出，由招标人或其委托代理机构</w:t>
            </w:r>
            <w:r>
              <w:rPr>
                <w:rFonts w:hint="eastAsia"/>
                <w:color w:val="auto"/>
                <w:highlight w:val="none"/>
                <w:lang w:eastAsia="zh-CN"/>
              </w:rPr>
              <w:t>及时</w:t>
            </w:r>
            <w:r>
              <w:rPr>
                <w:color w:val="auto"/>
                <w:highlight w:val="none"/>
              </w:rPr>
              <w:t>答复处理。所有异议处理完毕后，由招标人或其委托代理机构确认开标结束。</w:t>
            </w:r>
          </w:p>
          <w:p w14:paraId="36A815B1">
            <w:pPr>
              <w:rPr>
                <w:color w:val="auto"/>
                <w:highlight w:val="none"/>
              </w:rPr>
            </w:pPr>
            <w:r>
              <w:rPr>
                <w:color w:val="auto"/>
                <w:highlight w:val="none"/>
              </w:rPr>
              <w:t>（10）开标结束。</w:t>
            </w:r>
          </w:p>
        </w:tc>
      </w:tr>
      <w:tr w14:paraId="3F40D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0" w:hRule="atLeast"/>
        </w:trPr>
        <w:tc>
          <w:tcPr>
            <w:tcW w:w="993" w:type="dxa"/>
          </w:tcPr>
          <w:p w14:paraId="63886DF7">
            <w:pPr>
              <w:jc w:val="center"/>
              <w:rPr>
                <w:color w:val="auto"/>
                <w:highlight w:val="none"/>
              </w:rPr>
            </w:pPr>
            <w:r>
              <w:rPr>
                <w:rFonts w:hint="eastAsia"/>
                <w:color w:val="auto"/>
                <w:highlight w:val="none"/>
              </w:rPr>
              <w:t>6.1.1</w:t>
            </w:r>
          </w:p>
        </w:tc>
        <w:tc>
          <w:tcPr>
            <w:tcW w:w="2835" w:type="dxa"/>
          </w:tcPr>
          <w:p w14:paraId="3B95045E">
            <w:pPr>
              <w:rPr>
                <w:color w:val="auto"/>
                <w:highlight w:val="none"/>
              </w:rPr>
            </w:pPr>
            <w:r>
              <w:rPr>
                <w:rFonts w:hint="eastAsia"/>
                <w:color w:val="auto"/>
                <w:highlight w:val="none"/>
              </w:rPr>
              <w:t>评标委员会的组建</w:t>
            </w:r>
          </w:p>
        </w:tc>
        <w:tc>
          <w:tcPr>
            <w:tcW w:w="5244" w:type="dxa"/>
          </w:tcPr>
          <w:p w14:paraId="5C172C8A">
            <w:pPr>
              <w:rPr>
                <w:rFonts w:hint="eastAsia"/>
                <w:color w:val="auto"/>
                <w:highlight w:val="none"/>
              </w:rPr>
            </w:pPr>
            <w:r>
              <w:rPr>
                <w:rFonts w:hint="eastAsia"/>
                <w:color w:val="auto"/>
                <w:highlight w:val="none"/>
              </w:rPr>
              <w:t>评标委员会构成：</w:t>
            </w:r>
            <w:r>
              <w:rPr>
                <w:rFonts w:hint="eastAsia"/>
                <w:color w:val="auto"/>
                <w:highlight w:val="none"/>
                <w:u w:val="single"/>
              </w:rPr>
              <w:t>　　</w:t>
            </w:r>
            <w:r>
              <w:rPr>
                <w:rFonts w:hint="eastAsia"/>
                <w:color w:val="auto"/>
                <w:highlight w:val="none"/>
              </w:rPr>
              <w:t>人，其中招标人代表</w:t>
            </w:r>
            <w:r>
              <w:rPr>
                <w:rFonts w:hint="eastAsia"/>
                <w:color w:val="auto"/>
                <w:highlight w:val="none"/>
                <w:u w:val="single"/>
              </w:rPr>
              <w:t>　　　</w:t>
            </w:r>
            <w:r>
              <w:rPr>
                <w:rFonts w:hint="eastAsia"/>
                <w:color w:val="auto"/>
                <w:highlight w:val="none"/>
              </w:rPr>
              <w:t>人，专家</w:t>
            </w:r>
            <w:r>
              <w:rPr>
                <w:rFonts w:hint="eastAsia"/>
                <w:color w:val="auto"/>
                <w:highlight w:val="none"/>
                <w:u w:val="single"/>
              </w:rPr>
              <w:t>　　</w:t>
            </w:r>
            <w:r>
              <w:rPr>
                <w:rFonts w:hint="eastAsia"/>
                <w:color w:val="auto"/>
                <w:highlight w:val="none"/>
              </w:rPr>
              <w:t>人；</w:t>
            </w:r>
            <w:r>
              <w:rPr>
                <w:rFonts w:hint="eastAsia" w:ascii="Times New Roman" w:hAnsi="Times New Roman" w:eastAsia="宋体"/>
                <w:color w:val="auto"/>
                <w:highlight w:val="none"/>
              </w:rPr>
              <w:t>☐</w:t>
            </w:r>
          </w:p>
          <w:p w14:paraId="5F593875">
            <w:pPr>
              <w:rPr>
                <w:rFonts w:hint="eastAsia"/>
                <w:color w:val="auto"/>
                <w:highlight w:val="none"/>
              </w:rPr>
            </w:pPr>
            <w:r>
              <w:rPr>
                <w:rFonts w:hint="eastAsia"/>
                <w:color w:val="auto"/>
                <w:highlight w:val="none"/>
              </w:rPr>
              <w:t>评标委员会构成：</w:t>
            </w:r>
            <w:r>
              <w:rPr>
                <w:rFonts w:hint="eastAsia"/>
                <w:color w:val="auto"/>
                <w:highlight w:val="none"/>
                <w:u w:val="single"/>
              </w:rPr>
              <w:t>　　</w:t>
            </w:r>
            <w:r>
              <w:rPr>
                <w:rFonts w:hint="eastAsia"/>
                <w:color w:val="auto"/>
                <w:highlight w:val="none"/>
              </w:rPr>
              <w:t>人，专家</w:t>
            </w:r>
            <w:r>
              <w:rPr>
                <w:rFonts w:hint="eastAsia"/>
                <w:color w:val="auto"/>
                <w:highlight w:val="none"/>
                <w:u w:val="single"/>
              </w:rPr>
              <w:t>　　</w:t>
            </w:r>
            <w:r>
              <w:rPr>
                <w:rFonts w:hint="eastAsia"/>
                <w:color w:val="auto"/>
                <w:highlight w:val="none"/>
              </w:rPr>
              <w:t>人；</w:t>
            </w:r>
            <w:sdt>
              <w:sdtPr>
                <w:rPr>
                  <w:rFonts w:hint="eastAsia"/>
                  <w:color w:val="auto"/>
                  <w:highlight w:val="none"/>
                </w:rPr>
                <w:id w:val="147468710"/>
                <w14:checkbox>
                  <w14:checked w14:val="0"/>
                  <w14:checkedState w14:val="2612" w14:font="MS Gothic"/>
                  <w14:uncheckedState w14:val="2610" w14:font="MS Gothic"/>
                </w14:checkbox>
              </w:sdtPr>
              <w:sdtEndPr>
                <w:rPr>
                  <w:rFonts w:hint="eastAsia"/>
                  <w:color w:val="auto"/>
                  <w:highlight w:val="none"/>
                </w:rPr>
              </w:sdtEndPr>
              <w:sdtContent>
                <w:r>
                  <w:rPr>
                    <w:rFonts w:hint="eastAsia" w:ascii="Times New Roman" w:hAnsi="Times New Roman" w:eastAsia="宋体"/>
                    <w:color w:val="auto"/>
                    <w:highlight w:val="none"/>
                  </w:rPr>
                  <w:t>☐</w:t>
                </w:r>
              </w:sdtContent>
            </w:sdt>
          </w:p>
          <w:p w14:paraId="1E56AA6E">
            <w:pPr>
              <w:rPr>
                <w:rFonts w:hint="eastAsia"/>
                <w:color w:val="auto"/>
                <w:highlight w:val="none"/>
              </w:rPr>
            </w:pPr>
            <w:r>
              <w:rPr>
                <w:rFonts w:hint="eastAsia"/>
                <w:color w:val="auto"/>
                <w:highlight w:val="none"/>
              </w:rPr>
              <w:t>评标专家确定方式：</w:t>
            </w:r>
          </w:p>
          <w:p w14:paraId="1297A29C">
            <w:pPr>
              <w:rPr>
                <w:color w:val="auto"/>
                <w:highlight w:val="none"/>
              </w:rPr>
            </w:pPr>
            <w:r>
              <w:rPr>
                <w:rFonts w:hint="eastAsia"/>
                <w:color w:val="auto"/>
                <w:highlight w:val="none"/>
                <w:lang w:val="en-US" w:eastAsia="zh-CN"/>
              </w:rPr>
              <w:t>1、</w:t>
            </w:r>
            <w:r>
              <w:rPr>
                <w:rFonts w:hint="eastAsia"/>
                <w:color w:val="auto"/>
                <w:highlight w:val="none"/>
              </w:rPr>
              <w:t>专家成员从</w:t>
            </w:r>
            <w:permStart w:id="7" w:edGrp="everyone"/>
            <w:r>
              <w:rPr>
                <w:rFonts w:hint="eastAsia"/>
                <w:color w:val="auto"/>
                <w:highlight w:val="none"/>
              </w:rPr>
              <w:t xml:space="preserve"> 海南省综合评标专家库 </w:t>
            </w:r>
            <w:permEnd w:id="7"/>
            <w:r>
              <w:rPr>
                <w:rFonts w:hint="eastAsia"/>
                <w:color w:val="auto"/>
                <w:highlight w:val="none"/>
              </w:rPr>
              <w:t>中随机抽取；</w:t>
            </w:r>
          </w:p>
          <w:p w14:paraId="336C282B">
            <w:pPr>
              <w:rPr>
                <w:rFonts w:hint="eastAsia"/>
                <w:color w:val="auto"/>
                <w:highlight w:val="none"/>
                <w:lang w:eastAsia="zh-CN"/>
              </w:rPr>
            </w:pPr>
            <w:r>
              <w:rPr>
                <w:rFonts w:hint="eastAsia"/>
                <w:color w:val="auto"/>
                <w:highlight w:val="none"/>
              </w:rPr>
              <w:t>2</w:t>
            </w:r>
            <w:r>
              <w:rPr>
                <w:rFonts w:hint="eastAsia"/>
                <w:color w:val="auto"/>
                <w:highlight w:val="none"/>
                <w:lang w:eastAsia="zh-CN"/>
              </w:rPr>
              <w:t>、</w:t>
            </w:r>
            <w:r>
              <w:rPr>
                <w:rFonts w:hint="eastAsia"/>
                <w:color w:val="auto"/>
                <w:highlight w:val="none"/>
              </w:rPr>
              <w:t>技术方面专家不少于1名</w:t>
            </w:r>
            <w:r>
              <w:rPr>
                <w:rFonts w:hint="eastAsia"/>
                <w:color w:val="auto"/>
                <w:highlight w:val="none"/>
                <w:lang w:eastAsia="zh-CN"/>
              </w:rPr>
              <w:t>；</w:t>
            </w:r>
          </w:p>
          <w:p w14:paraId="32899820">
            <w:pPr>
              <w:rPr>
                <w:rFonts w:hint="eastAsia" w:eastAsia="宋体"/>
                <w:color w:val="auto"/>
                <w:highlight w:val="none"/>
                <w:lang w:eastAsia="zh-CN"/>
              </w:rPr>
            </w:pPr>
            <w:r>
              <w:rPr>
                <w:rFonts w:hint="eastAsia"/>
                <w:color w:val="auto"/>
                <w:highlight w:val="none"/>
                <w:lang w:val="en-US" w:eastAsia="zh-CN"/>
              </w:rPr>
              <w:t>3、</w:t>
            </w:r>
            <w:r>
              <w:rPr>
                <w:rFonts w:hint="eastAsia"/>
                <w:color w:val="auto"/>
                <w:highlight w:val="none"/>
              </w:rPr>
              <w:t>经济方面专家不少于1名</w:t>
            </w:r>
            <w:r>
              <w:rPr>
                <w:rFonts w:hint="eastAsia"/>
                <w:color w:val="auto"/>
                <w:highlight w:val="none"/>
                <w:lang w:eastAsia="zh-CN"/>
              </w:rPr>
              <w:t>。</w:t>
            </w:r>
          </w:p>
        </w:tc>
      </w:tr>
      <w:tr w14:paraId="7FD0D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0" w:hRule="atLeast"/>
        </w:trPr>
        <w:tc>
          <w:tcPr>
            <w:tcW w:w="993" w:type="dxa"/>
            <w:shd w:val="clear" w:color="auto" w:fill="auto"/>
            <w:vAlign w:val="top"/>
          </w:tcPr>
          <w:p w14:paraId="1A2613A9">
            <w:pPr>
              <w:spacing w:line="337" w:lineRule="auto"/>
              <w:rPr>
                <w:rFonts w:ascii="Arial"/>
                <w:color w:val="auto"/>
                <w:sz w:val="21"/>
                <w:highlight w:val="none"/>
              </w:rPr>
            </w:pPr>
          </w:p>
          <w:p w14:paraId="1D5B91D0">
            <w:pPr>
              <w:spacing w:line="337" w:lineRule="auto"/>
              <w:rPr>
                <w:rFonts w:ascii="Arial"/>
                <w:color w:val="auto"/>
                <w:sz w:val="21"/>
                <w:highlight w:val="none"/>
              </w:rPr>
            </w:pPr>
          </w:p>
          <w:p w14:paraId="6B6B32F1">
            <w:pPr>
              <w:pStyle w:val="47"/>
              <w:spacing w:before="59" w:line="183" w:lineRule="auto"/>
              <w:ind w:left="473" w:leftChars="0"/>
              <w:rPr>
                <w:rFonts w:hint="eastAsia" w:ascii="宋体" w:hAnsi="宋体" w:eastAsia="宋体" w:cs="宋体"/>
                <w:color w:val="auto"/>
                <w:kern w:val="2"/>
                <w:sz w:val="18"/>
                <w:szCs w:val="18"/>
                <w:highlight w:val="none"/>
                <w:lang w:val="en-US" w:eastAsia="en-US" w:bidi="ar-SA"/>
              </w:rPr>
            </w:pPr>
            <w:r>
              <w:rPr>
                <w:color w:val="auto"/>
                <w:spacing w:val="-2"/>
                <w:highlight w:val="none"/>
              </w:rPr>
              <w:t>6.2</w:t>
            </w:r>
          </w:p>
        </w:tc>
        <w:tc>
          <w:tcPr>
            <w:tcW w:w="2835" w:type="dxa"/>
            <w:shd w:val="clear" w:color="auto" w:fill="auto"/>
            <w:vAlign w:val="top"/>
          </w:tcPr>
          <w:p w14:paraId="7BDB8DEC">
            <w:pPr>
              <w:spacing w:line="323" w:lineRule="auto"/>
              <w:rPr>
                <w:rFonts w:ascii="Arial"/>
                <w:color w:val="auto"/>
                <w:sz w:val="21"/>
                <w:highlight w:val="none"/>
              </w:rPr>
            </w:pPr>
          </w:p>
          <w:p w14:paraId="1D39C0C3">
            <w:pPr>
              <w:spacing w:line="323" w:lineRule="auto"/>
              <w:rPr>
                <w:rFonts w:ascii="Arial"/>
                <w:color w:val="auto"/>
                <w:sz w:val="21"/>
                <w:highlight w:val="none"/>
              </w:rPr>
            </w:pPr>
          </w:p>
          <w:p w14:paraId="71D460F9">
            <w:pPr>
              <w:pStyle w:val="47"/>
              <w:spacing w:before="58" w:line="219" w:lineRule="auto"/>
              <w:ind w:left="319" w:leftChars="0"/>
              <w:rPr>
                <w:rFonts w:hint="eastAsia" w:ascii="宋体" w:hAnsi="宋体" w:eastAsia="宋体" w:cs="宋体"/>
                <w:color w:val="auto"/>
                <w:kern w:val="2"/>
                <w:sz w:val="18"/>
                <w:szCs w:val="18"/>
                <w:highlight w:val="none"/>
                <w:lang w:val="en-US" w:eastAsia="en-US" w:bidi="ar-SA"/>
              </w:rPr>
            </w:pPr>
            <w:r>
              <w:rPr>
                <w:color w:val="auto"/>
                <w:spacing w:val="1"/>
                <w:highlight w:val="none"/>
              </w:rPr>
              <w:t>“机器”评审</w:t>
            </w:r>
          </w:p>
        </w:tc>
        <w:tc>
          <w:tcPr>
            <w:tcW w:w="5244" w:type="dxa"/>
            <w:shd w:val="clear" w:color="auto" w:fill="auto"/>
            <w:vAlign w:val="top"/>
          </w:tcPr>
          <w:p w14:paraId="5F3751CF">
            <w:pPr>
              <w:pStyle w:val="47"/>
              <w:spacing w:before="75" w:line="216" w:lineRule="auto"/>
              <w:ind w:left="155" w:leftChars="0" w:right="224" w:rightChars="0"/>
              <w:rPr>
                <w:rFonts w:hint="eastAsia" w:ascii="宋体" w:hAnsi="宋体" w:eastAsia="宋体" w:cs="宋体"/>
                <w:color w:val="auto"/>
                <w:kern w:val="2"/>
                <w:sz w:val="18"/>
                <w:szCs w:val="18"/>
                <w:highlight w:val="none"/>
                <w:lang w:val="en-US" w:eastAsia="en-US" w:bidi="ar-SA"/>
              </w:rPr>
            </w:pPr>
            <w:r>
              <w:rPr>
                <w:color w:val="auto"/>
                <w:highlight w:val="none"/>
              </w:rPr>
              <w:t>本项目为机器评审项目，机器管招投标系统投</w:t>
            </w:r>
            <w:r>
              <w:rPr>
                <w:color w:val="auto"/>
                <w:spacing w:val="-1"/>
                <w:highlight w:val="none"/>
              </w:rPr>
              <w:t>标工具将在投</w:t>
            </w:r>
            <w:r>
              <w:rPr>
                <w:color w:val="auto"/>
                <w:highlight w:val="none"/>
              </w:rPr>
              <w:t>标文件中生成“智能评审数据”（详细格式见</w:t>
            </w:r>
            <w:r>
              <w:rPr>
                <w:color w:val="auto"/>
                <w:spacing w:val="-1"/>
                <w:highlight w:val="none"/>
              </w:rPr>
              <w:t>招标文件中投标文件格式章节中的智能评审数据”</w:t>
            </w:r>
            <w:r>
              <w:rPr>
                <w:color w:val="auto"/>
                <w:spacing w:val="1"/>
                <w:highlight w:val="none"/>
              </w:rPr>
              <w:t>），</w:t>
            </w:r>
            <w:r>
              <w:rPr>
                <w:color w:val="auto"/>
                <w:spacing w:val="-1"/>
                <w:highlight w:val="none"/>
              </w:rPr>
              <w:t>机器评审</w:t>
            </w:r>
            <w:r>
              <w:rPr>
                <w:color w:val="auto"/>
                <w:highlight w:val="none"/>
              </w:rPr>
              <w:t>内容以机器管招投标系统投标工具从投标人主</w:t>
            </w:r>
            <w:r>
              <w:rPr>
                <w:color w:val="auto"/>
                <w:spacing w:val="-1"/>
                <w:highlight w:val="none"/>
              </w:rPr>
              <w:t>体库获取的智</w:t>
            </w:r>
            <w:r>
              <w:rPr>
                <w:color w:val="auto"/>
                <w:highlight w:val="none"/>
              </w:rPr>
              <w:t>能评审数据为准，若智能评审数据与投标人所</w:t>
            </w:r>
            <w:r>
              <w:rPr>
                <w:color w:val="auto"/>
                <w:spacing w:val="-1"/>
                <w:highlight w:val="none"/>
              </w:rPr>
              <w:t>上传相关支撑</w:t>
            </w:r>
            <w:r>
              <w:rPr>
                <w:color w:val="auto"/>
                <w:highlight w:val="none"/>
              </w:rPr>
              <w:t>材料不一致，以机器管招投标系统生成的智</w:t>
            </w:r>
            <w:r>
              <w:rPr>
                <w:color w:val="auto"/>
                <w:spacing w:val="-1"/>
                <w:highlight w:val="none"/>
              </w:rPr>
              <w:t>能评审数据为</w:t>
            </w:r>
            <w:r>
              <w:rPr>
                <w:color w:val="auto"/>
                <w:spacing w:val="-9"/>
                <w:highlight w:val="none"/>
              </w:rPr>
              <w:t>准。</w:t>
            </w:r>
          </w:p>
        </w:tc>
      </w:tr>
      <w:tr w14:paraId="7B60D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0" w:hRule="atLeast"/>
        </w:trPr>
        <w:tc>
          <w:tcPr>
            <w:tcW w:w="993" w:type="dxa"/>
            <w:shd w:val="clear" w:color="auto" w:fill="auto"/>
            <w:vAlign w:val="top"/>
          </w:tcPr>
          <w:p w14:paraId="2B208678">
            <w:pPr>
              <w:pStyle w:val="46"/>
              <w:keepNext w:val="0"/>
              <w:keepLines w:val="0"/>
              <w:suppressLineNumbers w:val="0"/>
              <w:kinsoku w:val="0"/>
              <w:overflowPunct w:val="0"/>
              <w:spacing w:before="0" w:beforeAutospacing="0" w:after="0" w:afterAutospacing="0"/>
              <w:ind w:left="0" w:right="0"/>
              <w:rPr>
                <w:color w:val="auto"/>
                <w:sz w:val="20"/>
                <w:szCs w:val="20"/>
                <w:highlight w:val="none"/>
              </w:rPr>
            </w:pPr>
          </w:p>
          <w:p w14:paraId="210EEEB4">
            <w:pPr>
              <w:pStyle w:val="46"/>
              <w:keepNext w:val="0"/>
              <w:keepLines w:val="0"/>
              <w:suppressLineNumbers w:val="0"/>
              <w:kinsoku w:val="0"/>
              <w:overflowPunct w:val="0"/>
              <w:spacing w:before="147" w:beforeAutospacing="0" w:after="0" w:afterAutospacing="0"/>
              <w:ind w:left="2" w:leftChars="0" w:right="0" w:rightChars="0"/>
              <w:jc w:val="center"/>
              <w:rPr>
                <w:rFonts w:hint="eastAsia" w:ascii="Times New Roman" w:hAnsi="Times New Roman" w:eastAsia="宋体" w:cs="Times New Roman"/>
                <w:color w:val="auto"/>
                <w:kern w:val="2"/>
                <w:sz w:val="21"/>
                <w:szCs w:val="24"/>
                <w:highlight w:val="none"/>
                <w:lang w:val="en-US" w:eastAsia="zh-CN" w:bidi="ar-SA"/>
              </w:rPr>
            </w:pPr>
            <w:r>
              <w:rPr>
                <w:color w:val="auto"/>
                <w:sz w:val="21"/>
                <w:szCs w:val="21"/>
                <w:highlight w:val="none"/>
              </w:rPr>
              <w:t>7.1</w:t>
            </w:r>
          </w:p>
        </w:tc>
        <w:tc>
          <w:tcPr>
            <w:tcW w:w="2835" w:type="dxa"/>
            <w:shd w:val="clear" w:color="auto" w:fill="auto"/>
            <w:vAlign w:val="top"/>
          </w:tcPr>
          <w:p w14:paraId="02CBC945">
            <w:pPr>
              <w:pStyle w:val="46"/>
              <w:keepNext w:val="0"/>
              <w:keepLines w:val="0"/>
              <w:suppressLineNumbers w:val="0"/>
              <w:kinsoku w:val="0"/>
              <w:overflowPunct w:val="0"/>
              <w:spacing w:before="3" w:beforeAutospacing="0" w:after="0" w:afterAutospacing="0"/>
              <w:ind w:left="0" w:right="0"/>
              <w:rPr>
                <w:color w:val="auto"/>
                <w:sz w:val="27"/>
                <w:szCs w:val="27"/>
                <w:highlight w:val="none"/>
              </w:rPr>
            </w:pPr>
          </w:p>
          <w:p w14:paraId="3D4E4FAD">
            <w:pPr>
              <w:pStyle w:val="46"/>
              <w:keepNext w:val="0"/>
              <w:keepLines w:val="0"/>
              <w:suppressLineNumbers w:val="0"/>
              <w:kinsoku w:val="0"/>
              <w:overflowPunct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宋体" w:cs="宋体"/>
                <w:color w:val="auto"/>
                <w:sz w:val="21"/>
                <w:szCs w:val="21"/>
                <w:highlight w:val="none"/>
              </w:rPr>
              <w:t>是否授权评标委员会确定中标人</w:t>
            </w:r>
            <w:r>
              <w:rPr>
                <w:rFonts w:ascii="宋体" w:cs="宋体"/>
                <w:color w:val="auto"/>
                <w:sz w:val="21"/>
                <w:szCs w:val="21"/>
                <w:highlight w:val="none"/>
              </w:rPr>
              <w:t xml:space="preserve"> </w:t>
            </w:r>
          </w:p>
        </w:tc>
        <w:tc>
          <w:tcPr>
            <w:tcW w:w="5244" w:type="dxa"/>
            <w:shd w:val="clear" w:color="auto" w:fill="auto"/>
            <w:vAlign w:val="top"/>
          </w:tcPr>
          <w:p w14:paraId="3A4FA8C6">
            <w:pPr>
              <w:pStyle w:val="46"/>
              <w:keepNext w:val="0"/>
              <w:keepLines w:val="0"/>
              <w:suppressLineNumbers w:val="0"/>
              <w:kinsoku w:val="0"/>
              <w:overflowPunct w:val="0"/>
              <w:spacing w:before="54" w:beforeAutospacing="0" w:after="0" w:afterAutospacing="0"/>
              <w:ind w:left="103" w:right="0"/>
              <w:rPr>
                <w:rFonts w:ascii="宋体" w:cs="宋体"/>
                <w:color w:val="auto"/>
                <w:sz w:val="21"/>
                <w:szCs w:val="21"/>
                <w:highlight w:val="none"/>
              </w:rPr>
            </w:pPr>
            <w:r>
              <w:rPr>
                <w:rFonts w:hint="eastAsia"/>
                <w:color w:val="auto"/>
                <w:sz w:val="32"/>
                <w:szCs w:val="32"/>
                <w:highlight w:val="none"/>
              </w:rPr>
              <w:t>□</w:t>
            </w:r>
            <w:r>
              <w:rPr>
                <w:rFonts w:hint="eastAsia" w:ascii="宋体" w:cs="宋体"/>
                <w:color w:val="auto"/>
                <w:sz w:val="21"/>
                <w:szCs w:val="21"/>
                <w:highlight w:val="none"/>
              </w:rPr>
              <w:t>是</w:t>
            </w:r>
          </w:p>
          <w:p w14:paraId="5986A23E">
            <w:pPr>
              <w:pStyle w:val="46"/>
              <w:keepNext w:val="0"/>
              <w:keepLines w:val="0"/>
              <w:suppressLineNumbers w:val="0"/>
              <w:tabs>
                <w:tab w:val="left" w:pos="2100"/>
              </w:tabs>
              <w:kinsoku w:val="0"/>
              <w:overflowPunct w:val="0"/>
              <w:spacing w:before="166" w:beforeAutospacing="0" w:after="0" w:afterAutospacing="0"/>
              <w:ind w:left="103" w:leftChars="0" w:right="0" w:rightChars="0"/>
              <w:rPr>
                <w:rFonts w:hint="eastAsia" w:ascii="Times New Roman" w:hAnsi="Times New Roman" w:eastAsia="宋体" w:cs="Times New Roman"/>
                <w:color w:val="auto"/>
                <w:kern w:val="2"/>
                <w:sz w:val="21"/>
                <w:szCs w:val="24"/>
                <w:highlight w:val="none"/>
                <w:lang w:val="en-US" w:eastAsia="zh-CN" w:bidi="ar-SA"/>
              </w:rPr>
            </w:pPr>
            <w:r>
              <w:rPr>
                <w:rFonts w:hint="eastAsia"/>
                <w:color w:val="auto"/>
                <w:sz w:val="32"/>
                <w:szCs w:val="32"/>
                <w:highlight w:val="none"/>
              </w:rPr>
              <w:t>□</w:t>
            </w:r>
            <w:r>
              <w:rPr>
                <w:rFonts w:hint="eastAsia" w:ascii="宋体" w:cs="宋体"/>
                <w:color w:val="auto"/>
                <w:sz w:val="21"/>
                <w:szCs w:val="21"/>
                <w:highlight w:val="none"/>
              </w:rPr>
              <w:t>否</w:t>
            </w:r>
            <w:r>
              <w:rPr>
                <w:rFonts w:ascii="宋体" w:cs="宋体"/>
                <w:color w:val="auto"/>
                <w:sz w:val="21"/>
                <w:szCs w:val="21"/>
                <w:highlight w:val="none"/>
              </w:rPr>
              <w:t>,</w:t>
            </w:r>
            <w:r>
              <w:rPr>
                <w:color w:val="auto"/>
                <w:highlight w:val="none"/>
              </w:rPr>
              <w:t xml:space="preserve"> </w:t>
            </w:r>
            <w:r>
              <w:rPr>
                <w:rFonts w:hint="eastAsia" w:ascii="宋体" w:cs="宋体"/>
                <w:color w:val="auto"/>
                <w:sz w:val="21"/>
                <w:szCs w:val="21"/>
                <w:highlight w:val="none"/>
              </w:rPr>
              <w:t>推荐的中标候选人的人数为</w:t>
            </w:r>
            <w:r>
              <w:rPr>
                <w:rFonts w:ascii="宋体" w:cs="宋体"/>
                <w:color w:val="auto"/>
                <w:sz w:val="21"/>
                <w:szCs w:val="21"/>
                <w:highlight w:val="none"/>
                <w:u w:val="single"/>
              </w:rPr>
              <w:t xml:space="preserve"> 3 </w:t>
            </w:r>
            <w:r>
              <w:rPr>
                <w:rFonts w:hint="eastAsia" w:ascii="宋体" w:cs="宋体"/>
                <w:color w:val="auto"/>
                <w:sz w:val="21"/>
                <w:szCs w:val="21"/>
                <w:highlight w:val="none"/>
              </w:rPr>
              <w:t>名</w:t>
            </w:r>
          </w:p>
        </w:tc>
      </w:tr>
      <w:tr w14:paraId="1093B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47065907">
            <w:pPr>
              <w:jc w:val="center"/>
              <w:rPr>
                <w:color w:val="auto"/>
                <w:highlight w:val="none"/>
              </w:rPr>
            </w:pPr>
            <w:r>
              <w:rPr>
                <w:rFonts w:hint="eastAsia"/>
                <w:color w:val="auto"/>
                <w:highlight w:val="none"/>
              </w:rPr>
              <w:t>7.3.1</w:t>
            </w:r>
          </w:p>
        </w:tc>
        <w:tc>
          <w:tcPr>
            <w:tcW w:w="2835" w:type="dxa"/>
          </w:tcPr>
          <w:p w14:paraId="594293C6">
            <w:pPr>
              <w:rPr>
                <w:color w:val="auto"/>
                <w:highlight w:val="none"/>
              </w:rPr>
            </w:pPr>
            <w:r>
              <w:rPr>
                <w:rFonts w:hint="eastAsia"/>
                <w:color w:val="auto"/>
                <w:highlight w:val="none"/>
              </w:rPr>
              <w:t>履约担保</w:t>
            </w:r>
          </w:p>
        </w:tc>
        <w:tc>
          <w:tcPr>
            <w:tcW w:w="5244" w:type="dxa"/>
          </w:tcPr>
          <w:p w14:paraId="6F692886">
            <w:pPr>
              <w:rPr>
                <w:color w:val="auto"/>
                <w:highlight w:val="none"/>
              </w:rPr>
            </w:pPr>
            <w:r>
              <w:rPr>
                <w:rFonts w:hint="eastAsia"/>
                <w:color w:val="auto"/>
                <w:highlight w:val="none"/>
              </w:rPr>
              <w:t>　　履约担保的形式：</w:t>
            </w:r>
          </w:p>
          <w:p w14:paraId="5915DBC9">
            <w:pPr>
              <w:rPr>
                <w:color w:val="auto"/>
                <w:highlight w:val="none"/>
              </w:rPr>
            </w:pPr>
            <w:r>
              <w:rPr>
                <w:rFonts w:hint="eastAsia"/>
                <w:color w:val="auto"/>
                <w:highlight w:val="none"/>
              </w:rPr>
              <w:t>　　履约担保的金额：</w:t>
            </w:r>
          </w:p>
        </w:tc>
      </w:tr>
      <w:tr w14:paraId="0D985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72" w:type="dxa"/>
            <w:gridSpan w:val="3"/>
          </w:tcPr>
          <w:p w14:paraId="36E4B09F">
            <w:pPr>
              <w:rPr>
                <w:color w:val="auto"/>
                <w:highlight w:val="none"/>
              </w:rPr>
            </w:pPr>
          </w:p>
        </w:tc>
      </w:tr>
      <w:tr w14:paraId="68622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78FC31D2">
            <w:pPr>
              <w:jc w:val="center"/>
              <w:rPr>
                <w:color w:val="auto"/>
                <w:highlight w:val="none"/>
              </w:rPr>
            </w:pPr>
            <w:r>
              <w:rPr>
                <w:rFonts w:hint="eastAsia"/>
                <w:color w:val="auto"/>
                <w:highlight w:val="none"/>
              </w:rPr>
              <w:t>10</w:t>
            </w:r>
          </w:p>
        </w:tc>
        <w:tc>
          <w:tcPr>
            <w:tcW w:w="8079" w:type="dxa"/>
            <w:gridSpan w:val="2"/>
          </w:tcPr>
          <w:p w14:paraId="4FF6C53D">
            <w:pPr>
              <w:jc w:val="center"/>
              <w:rPr>
                <w:color w:val="auto"/>
                <w:highlight w:val="none"/>
              </w:rPr>
            </w:pPr>
            <w:r>
              <w:rPr>
                <w:rFonts w:hint="eastAsia"/>
                <w:color w:val="auto"/>
                <w:highlight w:val="none"/>
              </w:rPr>
              <w:t>需要补充的其它内容</w:t>
            </w:r>
          </w:p>
        </w:tc>
      </w:tr>
      <w:tr w14:paraId="04A68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4784C48B">
            <w:pPr>
              <w:jc w:val="center"/>
              <w:rPr>
                <w:color w:val="auto"/>
                <w:highlight w:val="none"/>
              </w:rPr>
            </w:pPr>
            <w:r>
              <w:rPr>
                <w:rFonts w:hint="eastAsia"/>
                <w:color w:val="auto"/>
                <w:highlight w:val="none"/>
              </w:rPr>
              <w:t>10.1</w:t>
            </w:r>
          </w:p>
        </w:tc>
        <w:tc>
          <w:tcPr>
            <w:tcW w:w="2835" w:type="dxa"/>
          </w:tcPr>
          <w:p w14:paraId="130604B6">
            <w:pPr>
              <w:rPr>
                <w:color w:val="auto"/>
                <w:highlight w:val="none"/>
              </w:rPr>
            </w:pPr>
            <w:r>
              <w:rPr>
                <w:rFonts w:hint="eastAsia"/>
                <w:color w:val="auto"/>
                <w:highlight w:val="none"/>
              </w:rPr>
              <w:t>类似项目</w:t>
            </w:r>
          </w:p>
        </w:tc>
        <w:tc>
          <w:tcPr>
            <w:tcW w:w="5244" w:type="dxa"/>
          </w:tcPr>
          <w:p w14:paraId="5178A1D1">
            <w:pPr>
              <w:rPr>
                <w:rFonts w:hint="eastAsia" w:eastAsia="宋体"/>
                <w:color w:val="auto"/>
                <w:highlight w:val="none"/>
                <w:lang w:eastAsia="zh-CN"/>
              </w:rPr>
            </w:pPr>
          </w:p>
        </w:tc>
      </w:tr>
      <w:tr w14:paraId="0FC60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7B208E7A">
            <w:pPr>
              <w:jc w:val="center"/>
              <w:rPr>
                <w:color w:val="auto"/>
                <w:highlight w:val="none"/>
              </w:rPr>
            </w:pPr>
            <w:r>
              <w:rPr>
                <w:rFonts w:hint="eastAsia"/>
                <w:color w:val="auto"/>
                <w:highlight w:val="none"/>
              </w:rPr>
              <w:t>10.2</w:t>
            </w:r>
          </w:p>
        </w:tc>
        <w:tc>
          <w:tcPr>
            <w:tcW w:w="2835" w:type="dxa"/>
          </w:tcPr>
          <w:p w14:paraId="07A2F389">
            <w:pPr>
              <w:rPr>
                <w:color w:val="auto"/>
                <w:highlight w:val="none"/>
              </w:rPr>
            </w:pPr>
            <w:r>
              <w:rPr>
                <w:rFonts w:hint="eastAsia"/>
                <w:color w:val="auto"/>
                <w:highlight w:val="none"/>
              </w:rPr>
              <w:t>已标价工程量清单电子版</w:t>
            </w:r>
          </w:p>
        </w:tc>
        <w:tc>
          <w:tcPr>
            <w:tcW w:w="5244" w:type="dxa"/>
          </w:tcPr>
          <w:p w14:paraId="27E64359">
            <w:pPr>
              <w:rPr>
                <w:color w:val="auto"/>
                <w:highlight w:val="none"/>
              </w:rPr>
            </w:pPr>
            <w:r>
              <w:rPr>
                <w:rFonts w:hint="eastAsia"/>
                <w:color w:val="auto"/>
                <w:highlight w:val="none"/>
              </w:rPr>
              <w:t>　　份数：　　　　</w:t>
            </w:r>
          </w:p>
          <w:p w14:paraId="5EFA7092">
            <w:pPr>
              <w:rPr>
                <w:color w:val="auto"/>
                <w:highlight w:val="none"/>
              </w:rPr>
            </w:pPr>
            <w:r>
              <w:rPr>
                <w:rFonts w:hint="eastAsia"/>
                <w:color w:val="auto"/>
                <w:highlight w:val="none"/>
              </w:rPr>
              <w:t>　　格式：　　　　</w:t>
            </w:r>
          </w:p>
        </w:tc>
      </w:tr>
      <w:tr w14:paraId="2A05C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7C2B752D">
            <w:pPr>
              <w:jc w:val="center"/>
              <w:rPr>
                <w:color w:val="auto"/>
                <w:highlight w:val="none"/>
              </w:rPr>
            </w:pPr>
            <w:r>
              <w:rPr>
                <w:rFonts w:hint="eastAsia"/>
                <w:color w:val="auto"/>
                <w:highlight w:val="none"/>
              </w:rPr>
              <w:t>10.3</w:t>
            </w:r>
          </w:p>
        </w:tc>
        <w:tc>
          <w:tcPr>
            <w:tcW w:w="2835" w:type="dxa"/>
          </w:tcPr>
          <w:p w14:paraId="46915981">
            <w:pPr>
              <w:rPr>
                <w:color w:val="auto"/>
                <w:highlight w:val="none"/>
              </w:rPr>
            </w:pPr>
            <w:r>
              <w:rPr>
                <w:rFonts w:hint="eastAsia"/>
                <w:color w:val="auto"/>
                <w:highlight w:val="none"/>
              </w:rPr>
              <w:t>原件</w:t>
            </w:r>
          </w:p>
        </w:tc>
        <w:tc>
          <w:tcPr>
            <w:tcW w:w="5244" w:type="dxa"/>
          </w:tcPr>
          <w:p w14:paraId="373037AD">
            <w:pPr>
              <w:rPr>
                <w:color w:val="auto"/>
                <w:highlight w:val="none"/>
              </w:rPr>
            </w:pPr>
            <w:r>
              <w:rPr>
                <w:rFonts w:hint="eastAsia"/>
                <w:color w:val="auto"/>
                <w:highlight w:val="none"/>
              </w:rPr>
              <w:t>　　□提交</w:t>
            </w:r>
          </w:p>
          <w:p w14:paraId="1904041C">
            <w:pPr>
              <w:rPr>
                <w:color w:val="auto"/>
                <w:highlight w:val="none"/>
              </w:rPr>
            </w:pPr>
            <w:r>
              <w:rPr>
                <w:rFonts w:hint="eastAsia"/>
                <w:color w:val="auto"/>
                <w:highlight w:val="none"/>
              </w:rPr>
              <w:t>　　□不提交</w:t>
            </w:r>
          </w:p>
        </w:tc>
      </w:tr>
      <w:tr w14:paraId="68EAB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7BEE72F5">
            <w:pPr>
              <w:jc w:val="center"/>
              <w:rPr>
                <w:color w:val="auto"/>
                <w:highlight w:val="none"/>
              </w:rPr>
            </w:pPr>
            <w:r>
              <w:rPr>
                <w:rFonts w:hint="eastAsia"/>
                <w:color w:val="auto"/>
                <w:highlight w:val="none"/>
              </w:rPr>
              <w:t>10.4</w:t>
            </w:r>
          </w:p>
        </w:tc>
        <w:tc>
          <w:tcPr>
            <w:tcW w:w="2835" w:type="dxa"/>
          </w:tcPr>
          <w:p w14:paraId="1DC75F0C">
            <w:pPr>
              <w:rPr>
                <w:color w:val="auto"/>
                <w:highlight w:val="none"/>
              </w:rPr>
            </w:pPr>
            <w:r>
              <w:rPr>
                <w:rFonts w:hint="eastAsia"/>
                <w:color w:val="auto"/>
                <w:highlight w:val="none"/>
              </w:rPr>
              <w:t>中标后须提交的投标文件</w:t>
            </w:r>
          </w:p>
        </w:tc>
        <w:tc>
          <w:tcPr>
            <w:tcW w:w="5244" w:type="dxa"/>
          </w:tcPr>
          <w:p w14:paraId="529C815C">
            <w:pPr>
              <w:rPr>
                <w:color w:val="auto"/>
                <w:highlight w:val="none"/>
              </w:rPr>
            </w:pPr>
            <w:r>
              <w:rPr>
                <w:rFonts w:hint="eastAsia"/>
                <w:color w:val="auto"/>
                <w:highlight w:val="none"/>
              </w:rPr>
              <w:t>　　份数：</w:t>
            </w:r>
          </w:p>
        </w:tc>
      </w:tr>
      <w:tr w14:paraId="30695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3F9516B3">
            <w:pPr>
              <w:jc w:val="center"/>
              <w:rPr>
                <w:color w:val="auto"/>
                <w:highlight w:val="none"/>
              </w:rPr>
            </w:pPr>
            <w:r>
              <w:rPr>
                <w:rFonts w:hint="eastAsia"/>
                <w:color w:val="auto"/>
                <w:highlight w:val="none"/>
              </w:rPr>
              <w:t>……</w:t>
            </w:r>
          </w:p>
        </w:tc>
        <w:tc>
          <w:tcPr>
            <w:tcW w:w="2835" w:type="dxa"/>
          </w:tcPr>
          <w:p w14:paraId="7669852E">
            <w:pPr>
              <w:rPr>
                <w:color w:val="auto"/>
                <w:highlight w:val="none"/>
              </w:rPr>
            </w:pPr>
            <w:r>
              <w:rPr>
                <w:rFonts w:hint="eastAsia"/>
                <w:color w:val="auto"/>
                <w:highlight w:val="none"/>
              </w:rPr>
              <w:t>……</w:t>
            </w:r>
          </w:p>
        </w:tc>
        <w:tc>
          <w:tcPr>
            <w:tcW w:w="5244" w:type="dxa"/>
          </w:tcPr>
          <w:p w14:paraId="41695CDB">
            <w:pPr>
              <w:rPr>
                <w:color w:val="auto"/>
                <w:highlight w:val="none"/>
              </w:rPr>
            </w:pPr>
            <w:r>
              <w:rPr>
                <w:rFonts w:hint="eastAsia"/>
                <w:color w:val="auto"/>
                <w:highlight w:val="none"/>
              </w:rPr>
              <w:t>　　……</w:t>
            </w:r>
          </w:p>
        </w:tc>
      </w:tr>
    </w:tbl>
    <w:p w14:paraId="0942EBB1">
      <w:pPr>
        <w:rPr>
          <w:color w:val="auto"/>
          <w:highlight w:val="none"/>
        </w:rPr>
      </w:pPr>
    </w:p>
    <w:p w14:paraId="310F6A31">
      <w:pPr>
        <w:keepNext w:val="0"/>
        <w:keepLines w:val="0"/>
        <w:pageBreakBefore w:val="0"/>
        <w:widowControl w:val="0"/>
        <w:wordWrap/>
        <w:topLinePunct w:val="0"/>
        <w:autoSpaceDE/>
        <w:autoSpaceDN/>
        <w:bidi w:val="0"/>
        <w:adjustRightInd/>
        <w:snapToGrid/>
        <w:spacing w:line="380" w:lineRule="exact"/>
        <w:textAlignment w:val="auto"/>
        <w:outlineLvl w:val="1"/>
        <w:rPr>
          <w:rFonts w:hint="eastAsia" w:ascii="宋体" w:hAnsi="宋体" w:eastAsia="宋体" w:cs="宋体"/>
          <w:b/>
          <w:color w:val="auto"/>
          <w:highlight w:val="none"/>
        </w:rPr>
      </w:pPr>
      <w:bookmarkStart w:id="29" w:name="第02章投标人须知01"/>
      <w:bookmarkEnd w:id="29"/>
      <w:bookmarkStart w:id="30" w:name="_Toc32518"/>
      <w:r>
        <w:rPr>
          <w:rFonts w:hint="eastAsia" w:ascii="宋体" w:hAnsi="宋体" w:eastAsia="宋体" w:cs="宋体"/>
          <w:b/>
          <w:color w:val="auto"/>
          <w:highlight w:val="none"/>
        </w:rPr>
        <w:t>1　总则</w:t>
      </w:r>
      <w:bookmarkEnd w:id="30"/>
    </w:p>
    <w:p w14:paraId="58FE7898">
      <w:pPr>
        <w:keepNext w:val="0"/>
        <w:keepLines w:val="0"/>
        <w:pageBreakBefore w:val="0"/>
        <w:widowControl w:val="0"/>
        <w:wordWrap/>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w:t>
      </w:r>
      <w:r>
        <w:rPr>
          <w:rFonts w:hint="eastAsia" w:ascii="宋体" w:hAnsi="宋体" w:eastAsia="宋体" w:cs="宋体"/>
          <w:b w:val="0"/>
          <w:bCs w:val="0"/>
          <w:color w:val="auto"/>
          <w:highlight w:val="none"/>
        </w:rPr>
        <w:t>本节全文引用《标准施工招标文件》</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2007年版</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相应条款，并补充以下内容：</w:t>
      </w:r>
    </w:p>
    <w:p w14:paraId="09E6DFA9">
      <w:pPr>
        <w:keepNext w:val="0"/>
        <w:keepLines w:val="0"/>
        <w:pageBreakBefore w:val="0"/>
        <w:widowControl w:val="0"/>
        <w:wordWrap/>
        <w:topLinePunct w:val="0"/>
        <w:autoSpaceDE/>
        <w:autoSpaceDN/>
        <w:bidi w:val="0"/>
        <w:adjustRightInd/>
        <w:snapToGrid/>
        <w:spacing w:line="380" w:lineRule="exact"/>
        <w:textAlignment w:val="auto"/>
        <w:outlineLvl w:val="2"/>
        <w:rPr>
          <w:rFonts w:hint="eastAsia" w:ascii="宋体" w:hAnsi="宋体" w:eastAsia="宋体" w:cs="宋体"/>
          <w:b/>
          <w:color w:val="auto"/>
          <w:highlight w:val="none"/>
        </w:rPr>
      </w:pPr>
      <w:r>
        <w:rPr>
          <w:rFonts w:hint="eastAsia" w:ascii="宋体" w:hAnsi="宋体" w:eastAsia="宋体" w:cs="宋体"/>
          <w:b/>
          <w:color w:val="auto"/>
          <w:highlight w:val="none"/>
        </w:rPr>
        <w:t>　</w:t>
      </w:r>
      <w:bookmarkStart w:id="31" w:name="_Toc2997"/>
      <w:bookmarkStart w:id="32" w:name="_Toc20748"/>
      <w:bookmarkStart w:id="33" w:name="_Toc9729"/>
      <w:bookmarkStart w:id="34" w:name="_Toc19101"/>
      <w:bookmarkStart w:id="35" w:name="_Toc8677"/>
      <w:bookmarkStart w:id="36" w:name="_Toc23175"/>
      <w:r>
        <w:rPr>
          <w:rFonts w:hint="eastAsia" w:ascii="宋体" w:hAnsi="宋体" w:eastAsia="宋体" w:cs="宋体"/>
          <w:b/>
          <w:color w:val="auto"/>
          <w:highlight w:val="none"/>
        </w:rPr>
        <w:t>1.1　项目概况</w:t>
      </w:r>
      <w:bookmarkEnd w:id="31"/>
      <w:bookmarkEnd w:id="32"/>
      <w:bookmarkEnd w:id="33"/>
      <w:bookmarkEnd w:id="34"/>
      <w:bookmarkEnd w:id="35"/>
      <w:bookmarkEnd w:id="36"/>
    </w:p>
    <w:p w14:paraId="18BDF4D1">
      <w:pPr>
        <w:keepNext w:val="0"/>
        <w:keepLines w:val="0"/>
        <w:pageBreakBefore w:val="0"/>
        <w:widowControl w:val="0"/>
        <w:wordWrap/>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1.1.9　本招标项目代建机构</w:t>
      </w:r>
      <w:r>
        <w:rPr>
          <w:rFonts w:hint="eastAsia" w:ascii="宋体" w:hAnsi="宋体" w:eastAsia="宋体" w:cs="宋体"/>
          <w:color w:val="auto"/>
          <w:highlight w:val="none"/>
          <w:lang w:val="en-US" w:eastAsia="zh-CN"/>
        </w:rPr>
        <w:t>或代管机构</w:t>
      </w:r>
      <w:r>
        <w:rPr>
          <w:rFonts w:hint="eastAsia" w:ascii="宋体" w:hAnsi="宋体" w:eastAsia="宋体" w:cs="宋体"/>
          <w:color w:val="auto"/>
          <w:highlight w:val="none"/>
        </w:rPr>
        <w:t>：见投标人须知前附表。</w:t>
      </w:r>
    </w:p>
    <w:p w14:paraId="53EF36E5">
      <w:pPr>
        <w:keepNext w:val="0"/>
        <w:keepLines w:val="0"/>
        <w:pageBreakBefore w:val="0"/>
        <w:widowControl w:val="0"/>
        <w:wordWrap/>
        <w:topLinePunct w:val="0"/>
        <w:autoSpaceDE/>
        <w:autoSpaceDN/>
        <w:bidi w:val="0"/>
        <w:adjustRightInd/>
        <w:snapToGrid/>
        <w:spacing w:line="380" w:lineRule="exact"/>
        <w:textAlignment w:val="auto"/>
        <w:outlineLvl w:val="2"/>
        <w:rPr>
          <w:rFonts w:hint="eastAsia" w:ascii="宋体" w:hAnsi="宋体" w:eastAsia="宋体" w:cs="宋体"/>
          <w:i w:val="0"/>
          <w:iCs w:val="0"/>
          <w:color w:val="auto"/>
          <w:highlight w:val="none"/>
        </w:rPr>
      </w:pPr>
      <w:r>
        <w:rPr>
          <w:rFonts w:hint="eastAsia" w:ascii="宋体" w:hAnsi="宋体" w:eastAsia="宋体" w:cs="宋体"/>
          <w:color w:val="auto"/>
          <w:highlight w:val="none"/>
        </w:rPr>
        <w:t>　</w:t>
      </w:r>
      <w:bookmarkStart w:id="37" w:name="_Toc2870"/>
      <w:bookmarkStart w:id="38" w:name="_Toc22028"/>
      <w:bookmarkStart w:id="39" w:name="_Toc29037"/>
      <w:bookmarkStart w:id="40" w:name="_Toc4844"/>
      <w:r>
        <w:rPr>
          <w:rFonts w:hint="eastAsia" w:ascii="宋体" w:hAnsi="宋体" w:eastAsia="宋体" w:cs="宋体"/>
          <w:color w:val="auto"/>
          <w:highlight w:val="none"/>
          <w:lang w:val="en-US" w:eastAsia="zh-CN"/>
        </w:rPr>
        <w:t xml:space="preserve">  </w:t>
      </w:r>
      <w:bookmarkStart w:id="41" w:name="_Toc19338"/>
      <w:bookmarkStart w:id="42" w:name="_Toc29548"/>
      <w:r>
        <w:rPr>
          <w:rFonts w:hint="eastAsia" w:ascii="宋体" w:hAnsi="宋体" w:eastAsia="宋体" w:cs="宋体"/>
          <w:i w:val="0"/>
          <w:iCs w:val="0"/>
          <w:color w:val="auto"/>
          <w:highlight w:val="none"/>
        </w:rPr>
        <w:t>1.9　踏勘现场</w:t>
      </w:r>
      <w:bookmarkEnd w:id="37"/>
      <w:bookmarkEnd w:id="38"/>
      <w:bookmarkEnd w:id="39"/>
      <w:bookmarkEnd w:id="40"/>
      <w:bookmarkEnd w:id="41"/>
      <w:bookmarkEnd w:id="42"/>
    </w:p>
    <w:p w14:paraId="32B05B4B">
      <w:pPr>
        <w:keepNext w:val="0"/>
        <w:keepLines w:val="0"/>
        <w:pageBreakBefore w:val="0"/>
        <w:widowControl w:val="0"/>
        <w:wordWrap/>
        <w:topLinePunct w:val="0"/>
        <w:autoSpaceDE/>
        <w:autoSpaceDN/>
        <w:bidi w:val="0"/>
        <w:adjustRightInd/>
        <w:snapToGrid/>
        <w:spacing w:line="380" w:lineRule="exact"/>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　　1.9.1　投标人须知前附表规定组织踏勘现场的，招标人按照招标公告</w:t>
      </w:r>
      <w:r>
        <w:rPr>
          <w:rFonts w:hint="eastAsia" w:ascii="宋体" w:hAnsi="宋体" w:eastAsia="宋体" w:cs="宋体"/>
          <w:i w:val="0"/>
          <w:iCs w:val="0"/>
          <w:color w:val="auto"/>
          <w:highlight w:val="none"/>
          <w:lang w:eastAsia="zh-CN"/>
        </w:rPr>
        <w:t>（</w:t>
      </w:r>
      <w:r>
        <w:rPr>
          <w:rFonts w:hint="eastAsia" w:ascii="宋体" w:hAnsi="宋体" w:eastAsia="宋体" w:cs="宋体"/>
          <w:i w:val="0"/>
          <w:iCs w:val="0"/>
          <w:color w:val="auto"/>
          <w:highlight w:val="none"/>
        </w:rPr>
        <w:t>或投标邀请书</w:t>
      </w:r>
      <w:r>
        <w:rPr>
          <w:rFonts w:hint="eastAsia" w:ascii="宋体" w:hAnsi="宋体" w:eastAsia="宋体" w:cs="宋体"/>
          <w:i w:val="0"/>
          <w:iCs w:val="0"/>
          <w:color w:val="auto"/>
          <w:highlight w:val="none"/>
          <w:lang w:eastAsia="zh-CN"/>
        </w:rPr>
        <w:t>）</w:t>
      </w:r>
      <w:r>
        <w:rPr>
          <w:rFonts w:hint="eastAsia" w:ascii="宋体" w:hAnsi="宋体" w:eastAsia="宋体" w:cs="宋体"/>
          <w:i w:val="0"/>
          <w:iCs w:val="0"/>
          <w:color w:val="auto"/>
          <w:highlight w:val="none"/>
        </w:rPr>
        <w:t>规定的时间和地点组织踏勘现场。</w:t>
      </w:r>
    </w:p>
    <w:p w14:paraId="56769053">
      <w:pPr>
        <w:keepNext w:val="0"/>
        <w:keepLines w:val="0"/>
        <w:pageBreakBefore w:val="0"/>
        <w:widowControl w:val="0"/>
        <w:wordWrap/>
        <w:topLinePunct w:val="0"/>
        <w:autoSpaceDE/>
        <w:autoSpaceDN/>
        <w:bidi w:val="0"/>
        <w:adjustRightInd/>
        <w:snapToGrid/>
        <w:spacing w:line="380" w:lineRule="exact"/>
        <w:textAlignment w:val="auto"/>
        <w:outlineLvl w:val="2"/>
        <w:rPr>
          <w:rFonts w:hint="eastAsia" w:ascii="宋体" w:hAnsi="宋体" w:eastAsia="宋体" w:cs="宋体"/>
          <w:color w:val="auto"/>
          <w:highlight w:val="none"/>
        </w:rPr>
      </w:pPr>
      <w:r>
        <w:rPr>
          <w:rFonts w:hint="eastAsia" w:ascii="宋体" w:hAnsi="宋体" w:eastAsia="宋体" w:cs="宋体"/>
          <w:color w:val="auto"/>
          <w:highlight w:val="none"/>
        </w:rPr>
        <w:t>　　</w:t>
      </w:r>
      <w:bookmarkStart w:id="43" w:name="_Toc31860"/>
      <w:bookmarkStart w:id="44" w:name="_Toc30023"/>
      <w:bookmarkStart w:id="45" w:name="_Toc21560"/>
      <w:bookmarkStart w:id="46" w:name="_Toc19609"/>
      <w:bookmarkStart w:id="47" w:name="_Toc25586"/>
      <w:bookmarkStart w:id="48" w:name="_Toc2223"/>
      <w:r>
        <w:rPr>
          <w:rFonts w:hint="eastAsia" w:ascii="宋体" w:hAnsi="宋体" w:eastAsia="宋体" w:cs="宋体"/>
          <w:color w:val="auto"/>
          <w:highlight w:val="none"/>
        </w:rPr>
        <w:t>1.10　投标预备会</w:t>
      </w:r>
      <w:bookmarkEnd w:id="43"/>
      <w:bookmarkEnd w:id="44"/>
      <w:bookmarkEnd w:id="45"/>
      <w:bookmarkEnd w:id="46"/>
      <w:bookmarkEnd w:id="47"/>
      <w:bookmarkEnd w:id="48"/>
    </w:p>
    <w:p w14:paraId="526B90A1">
      <w:pPr>
        <w:keepNext w:val="0"/>
        <w:keepLines w:val="0"/>
        <w:pageBreakBefore w:val="0"/>
        <w:widowControl w:val="0"/>
        <w:wordWrap/>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1.10.1　投标人须知前附表规定召开投标预备会的，招标人按照招标公告</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或投标邀请书</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规定的时间和地点召开投标预备会。</w:t>
      </w:r>
    </w:p>
    <w:p w14:paraId="3E6091D9">
      <w:pPr>
        <w:keepNext w:val="0"/>
        <w:keepLines w:val="0"/>
        <w:pageBreakBefore w:val="0"/>
        <w:widowControl w:val="0"/>
        <w:wordWrap/>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1.10.2　在投标预备会召开前，投标人应以书面形式</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包括信函、电报、传真等可以有形地表现所载内容的形式，下同</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将需要招标人澄清的问题送达招标人。</w:t>
      </w:r>
    </w:p>
    <w:p w14:paraId="6E1482BF">
      <w:pPr>
        <w:keepNext w:val="0"/>
        <w:keepLines w:val="0"/>
        <w:pageBreakBefore w:val="0"/>
        <w:widowControl w:val="0"/>
        <w:wordWrap/>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1.10.3　在投标人须知前附表规定的投标截止时间15天前，招标人将对投标人所提问题的澄清，以书面形式通知所有购买招标文件的投标人。该澄清通知为招标文件的组成部分。</w:t>
      </w:r>
    </w:p>
    <w:p w14:paraId="02E8B045">
      <w:pPr>
        <w:keepNext w:val="0"/>
        <w:keepLines w:val="0"/>
        <w:pageBreakBefore w:val="0"/>
        <w:widowControl w:val="0"/>
        <w:wordWrap/>
        <w:topLinePunct w:val="0"/>
        <w:autoSpaceDE/>
        <w:autoSpaceDN/>
        <w:bidi w:val="0"/>
        <w:adjustRightInd/>
        <w:snapToGrid/>
        <w:spacing w:line="380" w:lineRule="exact"/>
        <w:textAlignment w:val="auto"/>
        <w:outlineLvl w:val="2"/>
        <w:rPr>
          <w:rFonts w:hint="eastAsia" w:ascii="宋体" w:hAnsi="宋体" w:eastAsia="宋体" w:cs="宋体"/>
          <w:color w:val="auto"/>
          <w:highlight w:val="none"/>
        </w:rPr>
      </w:pPr>
      <w:r>
        <w:rPr>
          <w:rFonts w:hint="eastAsia" w:ascii="宋体" w:hAnsi="宋体" w:eastAsia="宋体" w:cs="宋体"/>
          <w:color w:val="auto"/>
          <w:highlight w:val="none"/>
        </w:rPr>
        <w:t>　</w:t>
      </w:r>
      <w:bookmarkStart w:id="49" w:name="_Toc22839"/>
      <w:bookmarkStart w:id="50" w:name="_Toc19178"/>
      <w:bookmarkStart w:id="51" w:name="_Toc28882"/>
      <w:r>
        <w:rPr>
          <w:rFonts w:hint="eastAsia" w:ascii="宋体" w:hAnsi="宋体" w:eastAsia="宋体" w:cs="宋体"/>
          <w:color w:val="auto"/>
          <w:highlight w:val="none"/>
          <w:lang w:val="en-US" w:eastAsia="zh-CN"/>
        </w:rPr>
        <w:t xml:space="preserve">  </w:t>
      </w:r>
      <w:bookmarkStart w:id="52" w:name="_Toc28949"/>
      <w:bookmarkStart w:id="53" w:name="_Toc30062"/>
      <w:bookmarkStart w:id="54" w:name="_Toc12616"/>
      <w:r>
        <w:rPr>
          <w:rFonts w:hint="eastAsia" w:ascii="宋体" w:hAnsi="宋体" w:eastAsia="宋体" w:cs="宋体"/>
          <w:color w:val="auto"/>
          <w:highlight w:val="none"/>
        </w:rPr>
        <w:t>1.11　分包</w:t>
      </w:r>
      <w:bookmarkEnd w:id="49"/>
      <w:bookmarkEnd w:id="50"/>
      <w:bookmarkEnd w:id="51"/>
      <w:bookmarkEnd w:id="52"/>
      <w:bookmarkEnd w:id="53"/>
      <w:bookmarkEnd w:id="54"/>
    </w:p>
    <w:p w14:paraId="54435C6A">
      <w:pPr>
        <w:keepNext w:val="0"/>
        <w:keepLines w:val="0"/>
        <w:pageBreakBefore w:val="0"/>
        <w:widowControl w:val="0"/>
        <w:wordWrap/>
        <w:topLinePunct w:val="0"/>
        <w:autoSpaceDE/>
        <w:autoSpaceDN/>
        <w:bidi w:val="0"/>
        <w:adjustRightInd/>
        <w:snapToGrid/>
        <w:spacing w:line="38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须知前附表规定允许分包的，要符合法律法规规定。投标人应在投标文件中明确是否在中标后将中标项目的部分非主体、非关键性工作进行分包。投标人拟分包时，分包人应具备与分包工程的标准和规模相适应的资质，在人力、设备、资金等方面具有承担分包工程施工的能力。投标人应在投标文件中提供分包协议、分包人的资质证书及营业执照复印件、人员、设备资料表、分包的工程项目和工程量。</w:t>
      </w:r>
    </w:p>
    <w:p w14:paraId="415FD284">
      <w:pPr>
        <w:keepNext w:val="0"/>
        <w:keepLines w:val="0"/>
        <w:pageBreakBefore w:val="0"/>
        <w:widowControl w:val="0"/>
        <w:wordWrap/>
        <w:topLinePunct w:val="0"/>
        <w:autoSpaceDE/>
        <w:autoSpaceDN/>
        <w:bidi w:val="0"/>
        <w:adjustRightInd/>
        <w:snapToGrid/>
        <w:spacing w:line="380" w:lineRule="exact"/>
        <w:textAlignment w:val="auto"/>
        <w:outlineLvl w:val="2"/>
        <w:rPr>
          <w:rFonts w:hint="eastAsia" w:ascii="宋体" w:hAnsi="宋体" w:eastAsia="宋体" w:cs="宋体"/>
          <w:color w:val="auto"/>
          <w:highlight w:val="none"/>
        </w:rPr>
      </w:pPr>
      <w:r>
        <w:rPr>
          <w:rFonts w:hint="eastAsia" w:ascii="宋体" w:hAnsi="宋体" w:eastAsia="宋体" w:cs="宋体"/>
          <w:color w:val="auto"/>
          <w:highlight w:val="none"/>
        </w:rPr>
        <w:t>　</w:t>
      </w:r>
      <w:bookmarkStart w:id="55" w:name="_Toc31594"/>
      <w:bookmarkStart w:id="56" w:name="_Toc602"/>
      <w:bookmarkStart w:id="57" w:name="_Toc10997"/>
      <w:r>
        <w:rPr>
          <w:rFonts w:hint="eastAsia" w:ascii="宋体" w:hAnsi="宋体" w:eastAsia="宋体" w:cs="宋体"/>
          <w:color w:val="auto"/>
          <w:highlight w:val="none"/>
          <w:lang w:val="en-US" w:eastAsia="zh-CN"/>
        </w:rPr>
        <w:t xml:space="preserve">  </w:t>
      </w:r>
      <w:bookmarkStart w:id="58" w:name="_Toc24794"/>
      <w:bookmarkStart w:id="59" w:name="_Toc8979"/>
      <w:bookmarkStart w:id="60" w:name="_Toc25770"/>
      <w:r>
        <w:rPr>
          <w:rFonts w:hint="eastAsia" w:ascii="宋体" w:hAnsi="宋体" w:eastAsia="宋体" w:cs="宋体"/>
          <w:color w:val="auto"/>
          <w:highlight w:val="none"/>
        </w:rPr>
        <w:t>1.12　偏离</w:t>
      </w:r>
      <w:bookmarkEnd w:id="55"/>
      <w:bookmarkEnd w:id="56"/>
      <w:bookmarkEnd w:id="57"/>
      <w:bookmarkEnd w:id="58"/>
      <w:bookmarkEnd w:id="59"/>
      <w:bookmarkEnd w:id="60"/>
    </w:p>
    <w:p w14:paraId="74E5AD0F">
      <w:pPr>
        <w:keepNext w:val="0"/>
        <w:keepLines w:val="0"/>
        <w:pageBreakBefore w:val="0"/>
        <w:widowControl w:val="0"/>
        <w:wordWrap/>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投标文件不允许偏离招标文件的实质性要求和条件。投标文件偏离招标文件的非实质性要求和条件的，其处理方式见投标人须知前附表。</w:t>
      </w:r>
    </w:p>
    <w:p w14:paraId="427D3134">
      <w:pPr>
        <w:keepNext w:val="0"/>
        <w:keepLines w:val="0"/>
        <w:pageBreakBefore w:val="0"/>
        <w:widowControl w:val="0"/>
        <w:wordWrap/>
        <w:topLinePunct w:val="0"/>
        <w:autoSpaceDE/>
        <w:autoSpaceDN/>
        <w:bidi w:val="0"/>
        <w:adjustRightInd/>
        <w:snapToGrid/>
        <w:spacing w:line="380" w:lineRule="exact"/>
        <w:textAlignment w:val="auto"/>
        <w:outlineLvl w:val="1"/>
        <w:rPr>
          <w:rFonts w:hint="eastAsia" w:ascii="宋体" w:hAnsi="宋体" w:eastAsia="宋体" w:cs="宋体"/>
          <w:b/>
          <w:color w:val="auto"/>
          <w:highlight w:val="none"/>
        </w:rPr>
      </w:pPr>
      <w:bookmarkStart w:id="61" w:name="第02章投标人须知02"/>
      <w:bookmarkEnd w:id="61"/>
      <w:bookmarkStart w:id="62" w:name="_Toc15693"/>
      <w:r>
        <w:rPr>
          <w:rFonts w:hint="eastAsia" w:ascii="宋体" w:hAnsi="宋体" w:eastAsia="宋体" w:cs="宋体"/>
          <w:b/>
          <w:color w:val="auto"/>
          <w:highlight w:val="none"/>
        </w:rPr>
        <w:t>2　招标文件</w:t>
      </w:r>
      <w:bookmarkEnd w:id="62"/>
    </w:p>
    <w:p w14:paraId="6172780E">
      <w:pPr>
        <w:keepNext w:val="0"/>
        <w:keepLines w:val="0"/>
        <w:pageBreakBefore w:val="0"/>
        <w:widowControl w:val="0"/>
        <w:wordWrap/>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本节全文引用《标准施工招标文件》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2007年版</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相应条款，并补充以下内容：</w:t>
      </w:r>
    </w:p>
    <w:p w14:paraId="0CE4DBBE">
      <w:pPr>
        <w:keepNext w:val="0"/>
        <w:keepLines w:val="0"/>
        <w:pageBreakBefore w:val="0"/>
        <w:widowControl w:val="0"/>
        <w:wordWrap/>
        <w:topLinePunct w:val="0"/>
        <w:autoSpaceDE/>
        <w:autoSpaceDN/>
        <w:bidi w:val="0"/>
        <w:adjustRightInd/>
        <w:snapToGrid/>
        <w:spacing w:line="380" w:lineRule="exact"/>
        <w:textAlignment w:val="auto"/>
        <w:outlineLvl w:val="2"/>
        <w:rPr>
          <w:rFonts w:hint="eastAsia" w:ascii="宋体" w:hAnsi="宋体" w:eastAsia="宋体" w:cs="宋体"/>
          <w:color w:val="auto"/>
          <w:highlight w:val="none"/>
        </w:rPr>
      </w:pPr>
      <w:r>
        <w:rPr>
          <w:rFonts w:hint="eastAsia" w:ascii="宋体" w:hAnsi="宋体" w:eastAsia="宋体" w:cs="宋体"/>
          <w:color w:val="auto"/>
          <w:highlight w:val="none"/>
        </w:rPr>
        <w:t>　　</w:t>
      </w:r>
      <w:bookmarkStart w:id="63" w:name="_Toc26853"/>
      <w:bookmarkStart w:id="64" w:name="_Toc12747"/>
      <w:bookmarkStart w:id="65" w:name="_Toc23387"/>
      <w:bookmarkStart w:id="66" w:name="_Toc20395"/>
      <w:bookmarkStart w:id="67" w:name="_Toc6750"/>
      <w:bookmarkStart w:id="68" w:name="_Toc4317"/>
      <w:r>
        <w:rPr>
          <w:rFonts w:hint="eastAsia" w:ascii="宋体" w:hAnsi="宋体" w:eastAsia="宋体" w:cs="宋体"/>
          <w:color w:val="auto"/>
          <w:highlight w:val="none"/>
        </w:rPr>
        <w:t>2.2　招标文件的澄清</w:t>
      </w:r>
      <w:bookmarkEnd w:id="63"/>
      <w:bookmarkEnd w:id="64"/>
      <w:bookmarkEnd w:id="65"/>
      <w:bookmarkEnd w:id="66"/>
      <w:bookmarkEnd w:id="67"/>
      <w:bookmarkEnd w:id="68"/>
    </w:p>
    <w:p w14:paraId="48924A01">
      <w:pPr>
        <w:keepNext w:val="0"/>
        <w:keepLines w:val="0"/>
        <w:pageBreakBefore w:val="0"/>
        <w:widowControl w:val="0"/>
        <w:wordWrap/>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2.2.1　投标人应仔细阅读和检查招标文件的全部内容。如发现缺页或附件不全，应及时向招标人提出，以便补齐。如有疑问，应在投标截止时间</w:t>
      </w:r>
      <w:r>
        <w:rPr>
          <w:rFonts w:hint="eastAsia" w:ascii="宋体" w:hAnsi="宋体" w:eastAsia="宋体" w:cs="宋体"/>
          <w:b/>
          <w:bCs/>
          <w:color w:val="auto"/>
          <w:highlight w:val="none"/>
          <w:lang w:eastAsia="zh-CN"/>
        </w:rPr>
        <w:t>1</w:t>
      </w:r>
      <w:r>
        <w:rPr>
          <w:rFonts w:hint="eastAsia" w:ascii="宋体" w:hAnsi="宋体" w:eastAsia="宋体" w:cs="宋体"/>
          <w:b/>
          <w:bCs/>
          <w:color w:val="auto"/>
          <w:highlight w:val="none"/>
          <w:lang w:val="en-US" w:eastAsia="zh-CN"/>
        </w:rPr>
        <w:t>5</w:t>
      </w:r>
      <w:r>
        <w:rPr>
          <w:rFonts w:hint="eastAsia" w:ascii="宋体" w:hAnsi="宋体" w:eastAsia="宋体" w:cs="宋体"/>
          <w:b/>
          <w:bCs/>
          <w:color w:val="auto"/>
          <w:highlight w:val="none"/>
        </w:rPr>
        <w:t>天</w:t>
      </w:r>
      <w:r>
        <w:rPr>
          <w:rFonts w:hint="eastAsia" w:ascii="宋体" w:hAnsi="宋体" w:eastAsia="宋体" w:cs="宋体"/>
          <w:color w:val="auto"/>
          <w:highlight w:val="none"/>
        </w:rPr>
        <w:t>前以书面形式提出澄清申请，要求招标人对招标文件予以澄清。</w:t>
      </w:r>
    </w:p>
    <w:p w14:paraId="43B3A381">
      <w:pPr>
        <w:keepNext w:val="0"/>
        <w:keepLines w:val="0"/>
        <w:pageBreakBefore w:val="0"/>
        <w:widowControl w:val="0"/>
        <w:wordWrap/>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2.2.2　招标文件的澄清将在投标截止时间15天前，以书面形式通知所有购买招标文件的投标人，但不指明澄清问题的来源。如果澄清通知发出的时间距投标截止时间不足15天，投标截止时间应相应延长。</w:t>
      </w:r>
    </w:p>
    <w:p w14:paraId="1FB5028B">
      <w:pPr>
        <w:keepNext w:val="0"/>
        <w:keepLines w:val="0"/>
        <w:pageBreakBefore w:val="0"/>
        <w:widowControl w:val="0"/>
        <w:wordWrap/>
        <w:topLinePunct w:val="0"/>
        <w:autoSpaceDE/>
        <w:autoSpaceDN/>
        <w:bidi w:val="0"/>
        <w:adjustRightInd/>
        <w:snapToGrid/>
        <w:spacing w:line="38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　　2.2.3　投标人在收到澄清通知后，应在</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天内以书面形式告知招标人，确认已收到该澄清通知。</w:t>
      </w:r>
    </w:p>
    <w:p w14:paraId="0F3ADABB">
      <w:pPr>
        <w:keepNext w:val="0"/>
        <w:keepLines w:val="0"/>
        <w:pageBreakBefore w:val="0"/>
        <w:widowControl w:val="0"/>
        <w:wordWrap/>
        <w:topLinePunct w:val="0"/>
        <w:autoSpaceDE/>
        <w:autoSpaceDN/>
        <w:bidi w:val="0"/>
        <w:adjustRightInd/>
        <w:snapToGrid/>
        <w:spacing w:line="380" w:lineRule="exact"/>
        <w:textAlignment w:val="auto"/>
        <w:outlineLvl w:val="2"/>
        <w:rPr>
          <w:rFonts w:hint="eastAsia" w:ascii="宋体" w:hAnsi="宋体" w:eastAsia="宋体" w:cs="宋体"/>
          <w:color w:val="auto"/>
          <w:highlight w:val="none"/>
        </w:rPr>
      </w:pPr>
      <w:r>
        <w:rPr>
          <w:rFonts w:hint="eastAsia" w:ascii="宋体" w:hAnsi="宋体" w:eastAsia="宋体" w:cs="宋体"/>
          <w:color w:val="auto"/>
          <w:highlight w:val="none"/>
        </w:rPr>
        <w:t>　</w:t>
      </w:r>
      <w:bookmarkStart w:id="69" w:name="_Toc511"/>
      <w:bookmarkStart w:id="70" w:name="_Toc21028"/>
      <w:bookmarkStart w:id="71" w:name="_Toc14530"/>
      <w:r>
        <w:rPr>
          <w:rFonts w:hint="eastAsia" w:ascii="宋体" w:hAnsi="宋体" w:eastAsia="宋体" w:cs="宋体"/>
          <w:color w:val="auto"/>
          <w:highlight w:val="none"/>
          <w:lang w:val="en-US" w:eastAsia="zh-CN"/>
        </w:rPr>
        <w:t xml:space="preserve">  </w:t>
      </w:r>
      <w:bookmarkStart w:id="72" w:name="_Toc2778"/>
      <w:bookmarkStart w:id="73" w:name="_Toc19742"/>
      <w:bookmarkStart w:id="74" w:name="_Toc31036"/>
      <w:r>
        <w:rPr>
          <w:rFonts w:hint="eastAsia" w:ascii="宋体" w:hAnsi="宋体" w:eastAsia="宋体" w:cs="宋体"/>
          <w:color w:val="auto"/>
          <w:highlight w:val="none"/>
        </w:rPr>
        <w:t>2.3　招标文件的修改</w:t>
      </w:r>
      <w:bookmarkEnd w:id="69"/>
      <w:bookmarkEnd w:id="70"/>
      <w:bookmarkEnd w:id="71"/>
      <w:bookmarkEnd w:id="72"/>
      <w:bookmarkEnd w:id="73"/>
      <w:bookmarkEnd w:id="74"/>
    </w:p>
    <w:p w14:paraId="3B545F0E">
      <w:pPr>
        <w:keepNext w:val="0"/>
        <w:keepLines w:val="0"/>
        <w:pageBreakBefore w:val="0"/>
        <w:widowControl w:val="0"/>
        <w:wordWrap/>
        <w:topLinePunct w:val="0"/>
        <w:autoSpaceDE/>
        <w:autoSpaceDN/>
        <w:bidi w:val="0"/>
        <w:adjustRightInd/>
        <w:snapToGrid/>
        <w:spacing w:line="38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2.3.2　投标人收到修改通知后，应在1天内以书面形式告知招标人，确认已收到该修改通知。</w:t>
      </w:r>
    </w:p>
    <w:p w14:paraId="066F4CB7">
      <w:pPr>
        <w:keepNext w:val="0"/>
        <w:keepLines w:val="0"/>
        <w:pageBreakBefore w:val="0"/>
        <w:widowControl w:val="0"/>
        <w:wordWrap/>
        <w:topLinePunct w:val="0"/>
        <w:autoSpaceDE/>
        <w:autoSpaceDN/>
        <w:bidi w:val="0"/>
        <w:adjustRightInd/>
        <w:snapToGrid/>
        <w:spacing w:line="380" w:lineRule="exact"/>
        <w:textAlignment w:val="auto"/>
        <w:outlineLvl w:val="1"/>
        <w:rPr>
          <w:rFonts w:hint="eastAsia" w:ascii="宋体" w:hAnsi="宋体" w:eastAsia="宋体" w:cs="宋体"/>
          <w:b/>
          <w:color w:val="auto"/>
          <w:highlight w:val="none"/>
        </w:rPr>
      </w:pPr>
      <w:bookmarkStart w:id="75" w:name="第02章投标人须知03"/>
      <w:bookmarkEnd w:id="75"/>
      <w:bookmarkStart w:id="76" w:name="_Toc17802"/>
      <w:r>
        <w:rPr>
          <w:rFonts w:hint="eastAsia" w:ascii="宋体" w:hAnsi="宋体" w:eastAsia="宋体" w:cs="宋体"/>
          <w:b/>
          <w:color w:val="auto"/>
          <w:highlight w:val="none"/>
        </w:rPr>
        <w:t>3　投标文件</w:t>
      </w:r>
      <w:bookmarkEnd w:id="76"/>
    </w:p>
    <w:p w14:paraId="4D73DF3A">
      <w:pPr>
        <w:keepNext w:val="0"/>
        <w:keepLines w:val="0"/>
        <w:pageBreakBefore w:val="0"/>
        <w:widowControl w:val="0"/>
        <w:wordWrap/>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本节全文引用《标准施工招标文件》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2007年版</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相应条款，并补充以下内容：</w:t>
      </w:r>
    </w:p>
    <w:p w14:paraId="4273F1AB">
      <w:pPr>
        <w:keepNext w:val="0"/>
        <w:keepLines w:val="0"/>
        <w:pageBreakBefore w:val="0"/>
        <w:widowControl w:val="0"/>
        <w:wordWrap/>
        <w:topLinePunct w:val="0"/>
        <w:autoSpaceDE/>
        <w:autoSpaceDN/>
        <w:bidi w:val="0"/>
        <w:adjustRightInd/>
        <w:snapToGrid/>
        <w:spacing w:line="380" w:lineRule="exact"/>
        <w:textAlignment w:val="auto"/>
        <w:rPr>
          <w:rFonts w:hint="eastAsia" w:ascii="宋体" w:hAnsi="宋体" w:eastAsia="宋体" w:cs="宋体"/>
          <w:color w:val="auto"/>
          <w:sz w:val="24"/>
          <w:highlight w:val="none"/>
        </w:rPr>
      </w:pPr>
      <w:r>
        <w:rPr>
          <w:rFonts w:hint="eastAsia" w:ascii="宋体" w:hAnsi="宋体" w:eastAsia="宋体" w:cs="宋体"/>
          <w:color w:val="auto"/>
          <w:highlight w:val="none"/>
        </w:rPr>
        <w:t>　</w:t>
      </w:r>
      <w:r>
        <w:rPr>
          <w:rFonts w:hint="eastAsia" w:ascii="宋体" w:hAnsi="宋体" w:eastAsia="宋体" w:cs="宋体"/>
          <w:color w:val="auto"/>
          <w:highlight w:val="none"/>
          <w:lang w:val="en-US" w:eastAsia="zh-CN"/>
        </w:rPr>
        <w:t>　</w:t>
      </w:r>
      <w:bookmarkStart w:id="77" w:name="_Toc152042326"/>
      <w:bookmarkStart w:id="78" w:name="_Toc144974518"/>
      <w:bookmarkStart w:id="79" w:name="_Toc179632568"/>
      <w:bookmarkStart w:id="80" w:name="_Toc152045550"/>
      <w:bookmarkStart w:id="81" w:name="_Toc22938"/>
      <w:bookmarkStart w:id="82" w:name="_Toc31249"/>
      <w:bookmarkStart w:id="83" w:name="_Toc25730"/>
      <w:r>
        <w:rPr>
          <w:rFonts w:hint="eastAsia" w:ascii="宋体" w:hAnsi="宋体" w:eastAsia="宋体" w:cs="宋体"/>
          <w:color w:val="auto"/>
          <w:highlight w:val="none"/>
          <w:lang w:val="en-US" w:eastAsia="zh-CN"/>
        </w:rPr>
        <w:t>3.4 投标保证金</w:t>
      </w:r>
      <w:bookmarkEnd w:id="77"/>
      <w:bookmarkEnd w:id="78"/>
      <w:bookmarkEnd w:id="79"/>
      <w:bookmarkEnd w:id="80"/>
    </w:p>
    <w:p w14:paraId="75A85191">
      <w:pPr>
        <w:keepNext w:val="0"/>
        <w:keepLines w:val="0"/>
        <w:pageBreakBefore w:val="0"/>
        <w:widowControl w:val="0"/>
        <w:wordWrap/>
        <w:topLinePunct w:val="0"/>
        <w:autoSpaceDE/>
        <w:autoSpaceDN/>
        <w:bidi w:val="0"/>
        <w:adjustRightInd/>
        <w:snapToGrid/>
        <w:spacing w:line="38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3.4.1 投标人在递交投标文件的同时，应按投标人须知前附表规定的金额、担保形式和第七章“投标文件格式”规定的投标保证金格式递交投标保证金，并作为其投标文件的组成部分。联合体投标的，其投标保证金由牵头人递交，并应符合投标人须知前附表的规定。</w:t>
      </w:r>
    </w:p>
    <w:p w14:paraId="4C42E658">
      <w:pPr>
        <w:keepNext w:val="0"/>
        <w:keepLines w:val="0"/>
        <w:pageBreakBefore w:val="0"/>
        <w:widowControl w:val="0"/>
        <w:wordWrap/>
        <w:topLinePunct w:val="0"/>
        <w:autoSpaceDE/>
        <w:autoSpaceDN/>
        <w:bidi w:val="0"/>
        <w:adjustRightInd/>
        <w:snapToGrid/>
        <w:spacing w:line="38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3.4.2 投标人不按本章第3.4.1项要求提交投标保证金的，评标委员会将否决其投标。</w:t>
      </w:r>
    </w:p>
    <w:p w14:paraId="255C8CA5">
      <w:pPr>
        <w:keepNext w:val="0"/>
        <w:keepLines w:val="0"/>
        <w:pageBreakBefore w:val="0"/>
        <w:widowControl w:val="0"/>
        <w:wordWrap/>
        <w:topLinePunct w:val="0"/>
        <w:autoSpaceDE/>
        <w:autoSpaceDN/>
        <w:bidi w:val="0"/>
        <w:adjustRightInd/>
        <w:snapToGrid/>
        <w:spacing w:line="38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3.4.3 以银行现金转账形式提交投标保证金的，招标人或招标代理机构应当在发放中标通知书后及时将中标通知书上传至公共资源交易平台，公共资源交易平台运行服务机构最迟应当在收到中标通知书后 5 日内向中标候选人以外的其他投标人退还投标保证金及银行同期存款利息。招标人或招标代理机构应当在签订书面合同后 3 日内将书面合同上传至公共资源交易平台，公共资源交易平台运行服务机构最迟应当在收到书面合同后 2 日内向中标人和其他中标候选人退还投标保证金及银行同期存款利息。以保函、保证保险等形式提交投标保证金的，按招标文件投标人须知前附表要求退还。如遇到法律法规及招标文件规定的不予退还投标保证金的情形，由招标人向公共资源交易平台运行服务机构提前书面告知。</w:t>
      </w:r>
    </w:p>
    <w:p w14:paraId="1787E534">
      <w:pPr>
        <w:keepNext w:val="0"/>
        <w:keepLines w:val="0"/>
        <w:pageBreakBefore w:val="0"/>
        <w:widowControl w:val="0"/>
        <w:wordWrap/>
        <w:topLinePunct w:val="0"/>
        <w:autoSpaceDE/>
        <w:autoSpaceDN/>
        <w:bidi w:val="0"/>
        <w:adjustRightInd/>
        <w:snapToGrid/>
        <w:spacing w:line="38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3.4.4 有下列情形之一的，投标保证金将不予退还： </w:t>
      </w:r>
    </w:p>
    <w:p w14:paraId="3EA98F78">
      <w:pPr>
        <w:keepNext w:val="0"/>
        <w:keepLines w:val="0"/>
        <w:pageBreakBefore w:val="0"/>
        <w:widowControl w:val="0"/>
        <w:wordWrap/>
        <w:topLinePunct w:val="0"/>
        <w:autoSpaceDE/>
        <w:autoSpaceDN/>
        <w:bidi w:val="0"/>
        <w:adjustRightInd/>
        <w:snapToGrid/>
        <w:spacing w:line="38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（1）投标人在规定的投标有效期内撤销或修改其投标文件；</w:t>
      </w:r>
    </w:p>
    <w:p w14:paraId="2FC81344">
      <w:pPr>
        <w:keepNext w:val="0"/>
        <w:keepLines w:val="0"/>
        <w:pageBreakBefore w:val="0"/>
        <w:widowControl w:val="0"/>
        <w:wordWrap/>
        <w:topLinePunct w:val="0"/>
        <w:autoSpaceDE/>
        <w:autoSpaceDN/>
        <w:bidi w:val="0"/>
        <w:adjustRightInd/>
        <w:snapToGrid/>
        <w:spacing w:line="38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（2）中标人在收到中标通知书后，无正当理由拒签合同或未按招标文件规定提交履约担保。</w:t>
      </w:r>
    </w:p>
    <w:p w14:paraId="05843021">
      <w:pPr>
        <w:keepNext w:val="0"/>
        <w:keepLines w:val="0"/>
        <w:pageBreakBefore w:val="0"/>
        <w:widowControl w:val="0"/>
        <w:wordWrap/>
        <w:topLinePunct w:val="0"/>
        <w:autoSpaceDE/>
        <w:autoSpaceDN/>
        <w:bidi w:val="0"/>
        <w:adjustRightInd/>
        <w:snapToGrid/>
        <w:spacing w:line="38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（3）发生本招标文件规定的其他可以不予退还投标保证金的情形。</w:t>
      </w:r>
    </w:p>
    <w:p w14:paraId="12CAA9B3">
      <w:pPr>
        <w:keepNext w:val="0"/>
        <w:keepLines w:val="0"/>
        <w:pageBreakBefore w:val="0"/>
        <w:widowControl w:val="0"/>
        <w:wordWrap/>
        <w:topLinePunct w:val="0"/>
        <w:autoSpaceDE/>
        <w:autoSpaceDN/>
        <w:bidi w:val="0"/>
        <w:adjustRightInd/>
        <w:snapToGrid/>
        <w:spacing w:line="38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3.5　资格审查资料</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适用于未进行资格预审的</w:t>
      </w:r>
      <w:bookmarkEnd w:id="81"/>
      <w:bookmarkEnd w:id="82"/>
      <w:bookmarkEnd w:id="83"/>
      <w:r>
        <w:rPr>
          <w:rFonts w:hint="eastAsia" w:ascii="宋体" w:hAnsi="宋体" w:eastAsia="宋体" w:cs="宋体"/>
          <w:color w:val="auto"/>
          <w:highlight w:val="none"/>
          <w:lang w:eastAsia="zh-CN"/>
        </w:rPr>
        <w:t>）</w:t>
      </w:r>
    </w:p>
    <w:p w14:paraId="49CC6558">
      <w:pPr>
        <w:keepNext w:val="0"/>
        <w:keepLines w:val="0"/>
        <w:pageBreakBefore w:val="0"/>
        <w:widowControl w:val="0"/>
        <w:wordWrap/>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w:t>
      </w:r>
      <w:r>
        <w:rPr>
          <w:rFonts w:hint="eastAsia" w:ascii="宋体" w:hAnsi="宋体" w:eastAsia="宋体" w:cs="宋体"/>
          <w:i w:val="0"/>
          <w:iCs w:val="0"/>
          <w:color w:val="auto"/>
          <w:highlight w:val="none"/>
        </w:rPr>
        <w:t>3.5.2　“近</w:t>
      </w:r>
      <w:r>
        <w:rPr>
          <w:rFonts w:hint="eastAsia" w:ascii="宋体" w:hAnsi="宋体" w:eastAsia="宋体" w:cs="宋体"/>
          <w:i w:val="0"/>
          <w:iCs w:val="0"/>
          <w:color w:val="auto"/>
          <w:highlight w:val="none"/>
          <w:u w:val="single"/>
          <w:lang w:val="en-US" w:eastAsia="zh-CN"/>
        </w:rPr>
        <w:t xml:space="preserve">  </w:t>
      </w:r>
      <w:r>
        <w:rPr>
          <w:rFonts w:hint="eastAsia" w:ascii="宋体" w:hAnsi="宋体" w:eastAsia="宋体" w:cs="宋体"/>
          <w:i w:val="0"/>
          <w:iCs w:val="0"/>
          <w:color w:val="auto"/>
          <w:highlight w:val="none"/>
        </w:rPr>
        <w:t>年财务状况”应附流动资金来源证明及经会计师事务所或审计机构审计的财务会计报表，包括资产负债表、现金流量表、利润表和财务情况说明书的复印件。</w:t>
      </w:r>
    </w:p>
    <w:p w14:paraId="6285824A">
      <w:pPr>
        <w:keepNext w:val="0"/>
        <w:keepLines w:val="0"/>
        <w:pageBreakBefore w:val="0"/>
        <w:widowControl w:val="0"/>
        <w:wordWrap/>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3.5.3　“近</w:t>
      </w:r>
      <w:r>
        <w:rPr>
          <w:rFonts w:hint="eastAsia" w:ascii="宋体" w:hAnsi="宋体" w:eastAsia="宋体" w:cs="宋体"/>
          <w:i w:val="0"/>
          <w:iCs w:val="0"/>
          <w:color w:val="auto"/>
          <w:highlight w:val="none"/>
          <w:u w:val="single"/>
          <w:lang w:val="en-US" w:eastAsia="zh-CN"/>
        </w:rPr>
        <w:t xml:space="preserve">  </w:t>
      </w:r>
      <w:r>
        <w:rPr>
          <w:rFonts w:hint="eastAsia" w:ascii="宋体" w:hAnsi="宋体" w:eastAsia="宋体" w:cs="宋体"/>
          <w:color w:val="auto"/>
          <w:highlight w:val="none"/>
        </w:rPr>
        <w:t>年完成的类似项目情况表”应附中标通知书、合同协议书以及合同工程完工证书</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工程竣工证书副本</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的复印件。每张表格只填写一个项目，并标明序号。</w:t>
      </w:r>
    </w:p>
    <w:p w14:paraId="0CBA5003">
      <w:pPr>
        <w:keepNext w:val="0"/>
        <w:keepLines w:val="0"/>
        <w:pageBreakBefore w:val="0"/>
        <w:widowControl w:val="0"/>
        <w:wordWrap/>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3.5.5　“近</w:t>
      </w:r>
      <w:r>
        <w:rPr>
          <w:rFonts w:hint="eastAsia" w:ascii="宋体" w:hAnsi="宋体" w:eastAsia="宋体" w:cs="宋体"/>
          <w:i w:val="0"/>
          <w:iCs w:val="0"/>
          <w:color w:val="auto"/>
          <w:highlight w:val="none"/>
          <w:u w:val="single"/>
          <w:lang w:val="en-US" w:eastAsia="zh-CN"/>
        </w:rPr>
        <w:t xml:space="preserve">  </w:t>
      </w:r>
      <w:r>
        <w:rPr>
          <w:rFonts w:hint="eastAsia" w:ascii="宋体" w:hAnsi="宋体" w:eastAsia="宋体" w:cs="宋体"/>
          <w:color w:val="auto"/>
          <w:highlight w:val="none"/>
        </w:rPr>
        <w:t>年发生的诉讼及仲裁情况表”应说明相关情况，并附法院或仲裁机构作出的判决、裁决等有关法律文书复印件。</w:t>
      </w:r>
    </w:p>
    <w:p w14:paraId="45AC76FD">
      <w:pPr>
        <w:keepNext w:val="0"/>
        <w:keepLines w:val="0"/>
        <w:pageBreakBefore w:val="0"/>
        <w:widowControl w:val="0"/>
        <w:wordWrap/>
        <w:topLinePunct w:val="0"/>
        <w:autoSpaceDE/>
        <w:autoSpaceDN/>
        <w:bidi w:val="0"/>
        <w:adjustRightInd/>
        <w:snapToGrid/>
        <w:spacing w:line="380" w:lineRule="exact"/>
        <w:textAlignment w:val="auto"/>
        <w:outlineLvl w:val="2"/>
        <w:rPr>
          <w:rFonts w:hint="eastAsia" w:ascii="宋体" w:hAnsi="宋体" w:eastAsia="宋体" w:cs="宋体"/>
          <w:color w:val="auto"/>
          <w:highlight w:val="none"/>
        </w:rPr>
      </w:pPr>
      <w:r>
        <w:rPr>
          <w:rFonts w:hint="eastAsia" w:ascii="宋体" w:hAnsi="宋体" w:eastAsia="宋体" w:cs="宋体"/>
          <w:color w:val="auto"/>
          <w:highlight w:val="none"/>
        </w:rPr>
        <w:t>　</w:t>
      </w:r>
      <w:bookmarkStart w:id="84" w:name="_Toc11154"/>
      <w:bookmarkStart w:id="85" w:name="_Toc7422"/>
      <w:bookmarkStart w:id="86" w:name="_Toc12876"/>
      <w:bookmarkStart w:id="87" w:name="_Toc5876"/>
      <w:bookmarkStart w:id="88" w:name="_Toc9733"/>
      <w:bookmarkStart w:id="89" w:name="_Toc18305"/>
      <w:r>
        <w:rPr>
          <w:rFonts w:hint="eastAsia" w:ascii="宋体" w:hAnsi="宋体" w:eastAsia="宋体" w:cs="宋体"/>
          <w:color w:val="auto"/>
          <w:highlight w:val="none"/>
        </w:rPr>
        <w:t>3.6　备选投标方案</w:t>
      </w:r>
      <w:bookmarkEnd w:id="84"/>
      <w:bookmarkEnd w:id="85"/>
      <w:bookmarkEnd w:id="86"/>
      <w:bookmarkEnd w:id="87"/>
      <w:bookmarkEnd w:id="88"/>
      <w:bookmarkEnd w:id="89"/>
    </w:p>
    <w:p w14:paraId="18F1A5CF">
      <w:pPr>
        <w:keepNext w:val="0"/>
        <w:keepLines w:val="0"/>
        <w:pageBreakBefore w:val="0"/>
        <w:widowControl w:val="0"/>
        <w:wordWrap/>
        <w:topLinePunct w:val="0"/>
        <w:autoSpaceDE/>
        <w:autoSpaceDN/>
        <w:bidi w:val="0"/>
        <w:adjustRightInd/>
        <w:snapToGrid/>
        <w:spacing w:line="38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投标人可以递交备选投标方案，只有中标人所递交的备选投标方案方可予以考虑。评标委员会认为中标人递交的备选投标方案优于其按照招标文件要求编制的投标方案时，招标人可以接受该备选投标方案。</w:t>
      </w:r>
    </w:p>
    <w:p w14:paraId="21FC50C4">
      <w:pPr>
        <w:keepNext w:val="0"/>
        <w:keepLines w:val="0"/>
        <w:pageBreakBefore w:val="0"/>
        <w:widowControl w:val="0"/>
        <w:wordWrap/>
        <w:topLinePunct w:val="0"/>
        <w:autoSpaceDE/>
        <w:autoSpaceDN/>
        <w:bidi w:val="0"/>
        <w:adjustRightInd/>
        <w:snapToGrid/>
        <w:spacing w:line="380" w:lineRule="exact"/>
        <w:textAlignment w:val="auto"/>
        <w:outlineLvl w:val="2"/>
        <w:rPr>
          <w:rFonts w:hint="eastAsia" w:ascii="宋体" w:hAnsi="宋体" w:eastAsia="宋体" w:cs="宋体"/>
          <w:color w:val="auto"/>
          <w:highlight w:val="none"/>
        </w:rPr>
      </w:pPr>
      <w:r>
        <w:rPr>
          <w:rFonts w:hint="eastAsia" w:ascii="宋体" w:hAnsi="宋体" w:eastAsia="宋体" w:cs="宋体"/>
          <w:color w:val="auto"/>
          <w:highlight w:val="none"/>
        </w:rPr>
        <w:t>　</w:t>
      </w:r>
      <w:bookmarkStart w:id="90" w:name="_Toc28260"/>
      <w:bookmarkStart w:id="91" w:name="_Toc5603"/>
      <w:bookmarkStart w:id="92" w:name="_Toc26678"/>
      <w:bookmarkStart w:id="93" w:name="_Toc13785"/>
      <w:bookmarkStart w:id="94" w:name="_Toc2698"/>
      <w:bookmarkStart w:id="95" w:name="_Toc21828"/>
      <w:r>
        <w:rPr>
          <w:rFonts w:hint="eastAsia" w:ascii="宋体" w:hAnsi="宋体" w:eastAsia="宋体" w:cs="宋体"/>
          <w:color w:val="auto"/>
          <w:highlight w:val="none"/>
        </w:rPr>
        <w:t>3.7　投标文件的编制</w:t>
      </w:r>
      <w:bookmarkEnd w:id="90"/>
      <w:bookmarkEnd w:id="91"/>
      <w:bookmarkEnd w:id="92"/>
      <w:bookmarkEnd w:id="93"/>
      <w:bookmarkEnd w:id="94"/>
      <w:bookmarkEnd w:id="95"/>
    </w:p>
    <w:p w14:paraId="3C2C69C3">
      <w:pPr>
        <w:keepNext w:val="0"/>
        <w:keepLines w:val="0"/>
        <w:pageBreakBefore w:val="0"/>
        <w:widowControl w:val="0"/>
        <w:wordWrap/>
        <w:topLinePunct w:val="0"/>
        <w:autoSpaceDE/>
        <w:autoSpaceDN/>
        <w:bidi w:val="0"/>
        <w:adjustRightInd/>
        <w:snapToGrid/>
        <w:spacing w:line="380" w:lineRule="exact"/>
        <w:ind w:firstLine="420"/>
        <w:textAlignment w:val="auto"/>
        <w:rPr>
          <w:rFonts w:hint="eastAsia" w:ascii="宋体" w:hAnsi="宋体" w:eastAsia="宋体" w:cs="宋体"/>
          <w:strike/>
          <w:color w:val="auto"/>
          <w:highlight w:val="none"/>
        </w:rPr>
      </w:pPr>
      <w:r>
        <w:rPr>
          <w:rFonts w:hint="eastAsia" w:ascii="宋体" w:hAnsi="宋体" w:eastAsia="宋体" w:cs="宋体"/>
          <w:color w:val="auto"/>
          <w:highlight w:val="none"/>
        </w:rPr>
        <w:t>投标文件全部采用电子文档，除投标人须知前附表另有规定外，投标文件所附</w:t>
      </w:r>
      <w:r>
        <w:rPr>
          <w:rFonts w:hint="eastAsia" w:ascii="宋体" w:hAnsi="宋体" w:eastAsia="宋体" w:cs="宋体"/>
          <w:color w:val="auto"/>
          <w:spacing w:val="0"/>
          <w:highlight w:val="none"/>
        </w:rPr>
        <w:t xml:space="preserve">证书证件均为原件扫描件，并采用单位和个人数字证书，按招标文件要求在相应位置加盖电子印章。由投标人的法定代表人签字或加盖电子印章的，应附法定代表人身份证明，由代理人签 字或加盖电子印章的，应附由法定代表人签署的授权委托书。签字或盖章的具体要求见投标人 </w:t>
      </w:r>
      <w:r>
        <w:rPr>
          <w:rFonts w:hint="eastAsia" w:ascii="宋体" w:hAnsi="宋体" w:eastAsia="宋体" w:cs="宋体"/>
          <w:color w:val="auto"/>
          <w:highlight w:val="none"/>
        </w:rPr>
        <w:t>须知前附表。</w:t>
      </w:r>
    </w:p>
    <w:p w14:paraId="332D16D3">
      <w:pPr>
        <w:keepNext w:val="0"/>
        <w:keepLines w:val="0"/>
        <w:pageBreakBefore w:val="0"/>
        <w:widowControl w:val="0"/>
        <w:wordWrap/>
        <w:topLinePunct w:val="0"/>
        <w:autoSpaceDE/>
        <w:autoSpaceDN/>
        <w:bidi w:val="0"/>
        <w:adjustRightInd/>
        <w:snapToGrid/>
        <w:spacing w:line="380" w:lineRule="exact"/>
        <w:textAlignment w:val="auto"/>
        <w:outlineLvl w:val="1"/>
        <w:rPr>
          <w:rFonts w:hint="eastAsia" w:ascii="宋体" w:hAnsi="宋体" w:eastAsia="宋体" w:cs="宋体"/>
          <w:b/>
          <w:i w:val="0"/>
          <w:iCs w:val="0"/>
          <w:color w:val="auto"/>
          <w:highlight w:val="none"/>
        </w:rPr>
      </w:pPr>
      <w:bookmarkStart w:id="96" w:name="第02章投标人须知04"/>
      <w:bookmarkEnd w:id="96"/>
      <w:bookmarkStart w:id="97" w:name="_Toc7227"/>
      <w:r>
        <w:rPr>
          <w:rFonts w:hint="eastAsia" w:ascii="宋体" w:hAnsi="宋体" w:eastAsia="宋体" w:cs="宋体"/>
          <w:b/>
          <w:i w:val="0"/>
          <w:iCs w:val="0"/>
          <w:color w:val="auto"/>
          <w:highlight w:val="none"/>
        </w:rPr>
        <w:t>4　投标</w:t>
      </w:r>
      <w:bookmarkEnd w:id="97"/>
    </w:p>
    <w:p w14:paraId="7C278AF5">
      <w:pPr>
        <w:keepNext w:val="0"/>
        <w:keepLines w:val="0"/>
        <w:pageBreakBefore w:val="0"/>
        <w:widowControl w:val="0"/>
        <w:wordWrap/>
        <w:topLinePunct w:val="0"/>
        <w:autoSpaceDE/>
        <w:autoSpaceDN/>
        <w:bidi w:val="0"/>
        <w:adjustRightInd/>
        <w:snapToGrid/>
        <w:spacing w:line="380" w:lineRule="exact"/>
        <w:textAlignment w:val="auto"/>
        <w:rPr>
          <w:rFonts w:hint="eastAsia" w:ascii="宋体" w:hAnsi="宋体" w:eastAsia="宋体" w:cs="宋体"/>
          <w:i/>
          <w:iCs/>
          <w:color w:val="auto"/>
          <w:highlight w:val="none"/>
        </w:rPr>
      </w:pPr>
      <w:r>
        <w:rPr>
          <w:rFonts w:hint="eastAsia" w:ascii="宋体" w:hAnsi="宋体" w:eastAsia="宋体" w:cs="宋体"/>
          <w:i/>
          <w:iCs/>
          <w:color w:val="auto"/>
          <w:highlight w:val="none"/>
        </w:rPr>
        <w:t>　　</w:t>
      </w:r>
      <w:r>
        <w:rPr>
          <w:rFonts w:hint="eastAsia" w:ascii="宋体" w:hAnsi="宋体" w:eastAsia="宋体" w:cs="宋体"/>
          <w:i w:val="0"/>
          <w:iCs w:val="0"/>
          <w:color w:val="auto"/>
          <w:highlight w:val="none"/>
        </w:rPr>
        <w:t>本节全文引用《标准施工招标文件》</w:t>
      </w:r>
      <w:r>
        <w:rPr>
          <w:rFonts w:hint="eastAsia" w:ascii="宋体" w:hAnsi="宋体" w:eastAsia="宋体" w:cs="宋体"/>
          <w:i w:val="0"/>
          <w:iCs w:val="0"/>
          <w:color w:val="auto"/>
          <w:highlight w:val="none"/>
          <w:lang w:eastAsia="zh-CN"/>
        </w:rPr>
        <w:t>（</w:t>
      </w:r>
      <w:r>
        <w:rPr>
          <w:rFonts w:hint="eastAsia" w:ascii="宋体" w:hAnsi="宋体" w:eastAsia="宋体" w:cs="宋体"/>
          <w:i w:val="0"/>
          <w:iCs w:val="0"/>
          <w:color w:val="auto"/>
          <w:highlight w:val="none"/>
        </w:rPr>
        <w:t>2007年版</w:t>
      </w:r>
      <w:r>
        <w:rPr>
          <w:rFonts w:hint="eastAsia" w:ascii="宋体" w:hAnsi="宋体" w:eastAsia="宋体" w:cs="宋体"/>
          <w:i w:val="0"/>
          <w:iCs w:val="0"/>
          <w:color w:val="auto"/>
          <w:highlight w:val="none"/>
          <w:lang w:eastAsia="zh-CN"/>
        </w:rPr>
        <w:t>）</w:t>
      </w:r>
      <w:r>
        <w:rPr>
          <w:rFonts w:hint="eastAsia" w:ascii="宋体" w:hAnsi="宋体" w:eastAsia="宋体" w:cs="宋体"/>
          <w:i w:val="0"/>
          <w:iCs w:val="0"/>
          <w:color w:val="auto"/>
          <w:highlight w:val="none"/>
        </w:rPr>
        <w:t>相应条款，并补充以下内容：</w:t>
      </w:r>
    </w:p>
    <w:p w14:paraId="0BA93484">
      <w:pPr>
        <w:keepNext w:val="0"/>
        <w:keepLines w:val="0"/>
        <w:pageBreakBefore w:val="0"/>
        <w:widowControl w:val="0"/>
        <w:kinsoku w:val="0"/>
        <w:wordWrap/>
        <w:overflowPunct w:val="0"/>
        <w:topLinePunct w:val="0"/>
        <w:autoSpaceDE/>
        <w:autoSpaceDN/>
        <w:bidi w:val="0"/>
        <w:adjustRightInd/>
        <w:snapToGrid/>
        <w:spacing w:line="380" w:lineRule="exact"/>
        <w:ind w:right="113" w:firstLine="420"/>
        <w:textAlignment w:val="auto"/>
        <w:outlineLvl w:val="2"/>
        <w:rPr>
          <w:rFonts w:hint="eastAsia" w:ascii="宋体" w:hAnsi="宋体" w:eastAsia="宋体" w:cs="宋体"/>
          <w:i w:val="0"/>
          <w:iCs w:val="0"/>
          <w:color w:val="auto"/>
          <w:sz w:val="21"/>
          <w:highlight w:val="none"/>
        </w:rPr>
      </w:pPr>
      <w:bookmarkStart w:id="98" w:name="bookmark48"/>
      <w:bookmarkEnd w:id="98"/>
      <w:bookmarkStart w:id="99" w:name="_Toc849"/>
      <w:bookmarkStart w:id="100" w:name="_Toc22642"/>
      <w:bookmarkStart w:id="101" w:name="_Toc9551"/>
      <w:bookmarkStart w:id="102" w:name="_Toc9795"/>
      <w:bookmarkStart w:id="103" w:name="_Toc24564"/>
      <w:bookmarkStart w:id="104" w:name="_Toc30605"/>
      <w:r>
        <w:rPr>
          <w:rFonts w:hint="eastAsia" w:ascii="宋体" w:hAnsi="宋体" w:eastAsia="宋体" w:cs="宋体"/>
          <w:i w:val="0"/>
          <w:iCs w:val="0"/>
          <w:color w:val="auto"/>
          <w:sz w:val="21"/>
          <w:highlight w:val="none"/>
        </w:rPr>
        <w:t>4.1  投标文件的密封和标记</w:t>
      </w:r>
      <w:bookmarkEnd w:id="99"/>
      <w:bookmarkEnd w:id="100"/>
      <w:bookmarkEnd w:id="101"/>
      <w:bookmarkEnd w:id="102"/>
      <w:bookmarkEnd w:id="103"/>
      <w:bookmarkEnd w:id="104"/>
    </w:p>
    <w:p w14:paraId="39053488">
      <w:pPr>
        <w:pStyle w:val="9"/>
        <w:keepNext w:val="0"/>
        <w:keepLines w:val="0"/>
        <w:pageBreakBefore w:val="0"/>
        <w:widowControl w:val="0"/>
        <w:kinsoku w:val="0"/>
        <w:wordWrap/>
        <w:overflowPunct w:val="0"/>
        <w:topLinePunct w:val="0"/>
        <w:autoSpaceDE/>
        <w:autoSpaceDN/>
        <w:bidi w:val="0"/>
        <w:adjustRightInd/>
        <w:snapToGrid/>
        <w:spacing w:line="380" w:lineRule="exact"/>
        <w:ind w:right="113"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4.1.1投标人应当按照招标文件和电子招标投标交易平台的要求加密投标文件，具体 要求见投标人须知前附表。</w:t>
      </w:r>
    </w:p>
    <w:p w14:paraId="612103FC">
      <w:pPr>
        <w:pStyle w:val="9"/>
        <w:keepNext w:val="0"/>
        <w:keepLines w:val="0"/>
        <w:pageBreakBefore w:val="0"/>
        <w:widowControl w:val="0"/>
        <w:kinsoku w:val="0"/>
        <w:wordWrap/>
        <w:overflowPunct w:val="0"/>
        <w:topLinePunct w:val="0"/>
        <w:autoSpaceDE/>
        <w:autoSpaceDN/>
        <w:bidi w:val="0"/>
        <w:adjustRightInd/>
        <w:snapToGrid/>
        <w:spacing w:before="0" w:line="380" w:lineRule="exact"/>
        <w:ind w:left="0" w:right="113"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4.1.2</w:t>
      </w:r>
      <w:r>
        <w:rPr>
          <w:rFonts w:hint="eastAsia" w:ascii="宋体" w:hAnsi="宋体" w:eastAsia="宋体" w:cs="宋体"/>
          <w:color w:val="auto"/>
          <w:spacing w:val="0"/>
          <w:highlight w:val="none"/>
        </w:rPr>
        <w:t xml:space="preserve"> </w:t>
      </w:r>
      <w:r>
        <w:rPr>
          <w:rFonts w:hint="eastAsia" w:ascii="宋体" w:hAnsi="宋体" w:eastAsia="宋体" w:cs="宋体"/>
          <w:color w:val="auto"/>
          <w:highlight w:val="none"/>
        </w:rPr>
        <w:t>投标文件封套上应写明的内容见投标人须知前附表。</w:t>
      </w:r>
    </w:p>
    <w:p w14:paraId="20393647">
      <w:pPr>
        <w:pStyle w:val="9"/>
        <w:keepNext w:val="0"/>
        <w:keepLines w:val="0"/>
        <w:pageBreakBefore w:val="0"/>
        <w:widowControl w:val="0"/>
        <w:kinsoku w:val="0"/>
        <w:wordWrap/>
        <w:overflowPunct w:val="0"/>
        <w:topLinePunct w:val="0"/>
        <w:autoSpaceDE/>
        <w:autoSpaceDN/>
        <w:bidi w:val="0"/>
        <w:adjustRightInd/>
        <w:snapToGrid/>
        <w:spacing w:before="0" w:line="380" w:lineRule="exact"/>
        <w:ind w:left="0" w:right="113"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4.1.3 未按本章第 4.1.1</w:t>
      </w:r>
      <w:r>
        <w:rPr>
          <w:rFonts w:hint="eastAsia" w:ascii="宋体" w:hAnsi="宋体" w:eastAsia="宋体" w:cs="宋体"/>
          <w:color w:val="auto"/>
          <w:spacing w:val="0"/>
          <w:highlight w:val="none"/>
        </w:rPr>
        <w:t xml:space="preserve"> </w:t>
      </w:r>
      <w:r>
        <w:rPr>
          <w:rFonts w:hint="eastAsia" w:ascii="宋体" w:hAnsi="宋体" w:eastAsia="宋体" w:cs="宋体"/>
          <w:color w:val="auto"/>
          <w:highlight w:val="none"/>
        </w:rPr>
        <w:t>项要求加密的投标文件，招标人将予以拒收。</w:t>
      </w:r>
    </w:p>
    <w:p w14:paraId="0C24C007">
      <w:pPr>
        <w:pStyle w:val="5"/>
        <w:keepNext w:val="0"/>
        <w:keepLines w:val="0"/>
        <w:pageBreakBefore w:val="0"/>
        <w:widowControl w:val="0"/>
        <w:kinsoku w:val="0"/>
        <w:wordWrap/>
        <w:overflowPunct w:val="0"/>
        <w:topLinePunct w:val="0"/>
        <w:autoSpaceDE/>
        <w:autoSpaceDN/>
        <w:bidi w:val="0"/>
        <w:adjustRightInd/>
        <w:snapToGrid/>
        <w:spacing w:line="380" w:lineRule="exact"/>
        <w:ind w:left="0" w:right="113" w:firstLine="210" w:firstLineChars="100"/>
        <w:textAlignment w:val="auto"/>
        <w:outlineLvl w:val="2"/>
        <w:rPr>
          <w:rFonts w:hint="eastAsia" w:ascii="宋体" w:hAnsi="宋体" w:eastAsia="宋体" w:cs="宋体"/>
          <w:color w:val="auto"/>
          <w:sz w:val="21"/>
          <w:highlight w:val="none"/>
        </w:rPr>
      </w:pPr>
      <w:bookmarkStart w:id="105" w:name="bookmark49"/>
      <w:bookmarkEnd w:id="105"/>
      <w:bookmarkStart w:id="106" w:name="_Toc18216"/>
      <w:bookmarkStart w:id="107" w:name="_Toc30391"/>
      <w:bookmarkStart w:id="108" w:name="_Toc1176"/>
      <w:bookmarkStart w:id="109" w:name="_Toc20193"/>
      <w:bookmarkStart w:id="110" w:name="_Toc28441"/>
      <w:bookmarkStart w:id="111" w:name="_Toc31039"/>
      <w:r>
        <w:rPr>
          <w:rFonts w:hint="eastAsia" w:ascii="宋体" w:hAnsi="宋体" w:eastAsia="宋体" w:cs="宋体"/>
          <w:color w:val="auto"/>
          <w:sz w:val="21"/>
          <w:highlight w:val="none"/>
        </w:rPr>
        <w:t>4.2  投标文件的递交</w:t>
      </w:r>
      <w:bookmarkEnd w:id="106"/>
      <w:bookmarkEnd w:id="107"/>
      <w:bookmarkEnd w:id="108"/>
      <w:bookmarkEnd w:id="109"/>
      <w:bookmarkEnd w:id="110"/>
      <w:bookmarkEnd w:id="111"/>
    </w:p>
    <w:p w14:paraId="2347B117">
      <w:pPr>
        <w:pStyle w:val="9"/>
        <w:keepNext w:val="0"/>
        <w:keepLines w:val="0"/>
        <w:pageBreakBefore w:val="0"/>
        <w:widowControl w:val="0"/>
        <w:kinsoku w:val="0"/>
        <w:wordWrap/>
        <w:overflowPunct w:val="0"/>
        <w:topLinePunct w:val="0"/>
        <w:autoSpaceDE/>
        <w:autoSpaceDN/>
        <w:bidi w:val="0"/>
        <w:adjustRightInd/>
        <w:snapToGrid/>
        <w:spacing w:line="380" w:lineRule="exact"/>
        <w:ind w:left="0" w:right="113"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4.2.1</w:t>
      </w:r>
      <w:r>
        <w:rPr>
          <w:rFonts w:hint="eastAsia" w:ascii="宋体" w:hAnsi="宋体" w:eastAsia="宋体" w:cs="宋体"/>
          <w:color w:val="auto"/>
          <w:spacing w:val="0"/>
          <w:highlight w:val="none"/>
        </w:rPr>
        <w:t xml:space="preserve"> </w:t>
      </w:r>
      <w:r>
        <w:rPr>
          <w:rFonts w:hint="eastAsia" w:ascii="宋体" w:hAnsi="宋体" w:eastAsia="宋体" w:cs="宋体"/>
          <w:color w:val="auto"/>
          <w:highlight w:val="none"/>
        </w:rPr>
        <w:t>投标人应在投标人须知前附表规定的投标截止时间前递交投标文件。</w:t>
      </w:r>
    </w:p>
    <w:p w14:paraId="6D49394E">
      <w:pPr>
        <w:pStyle w:val="9"/>
        <w:keepNext w:val="0"/>
        <w:keepLines w:val="0"/>
        <w:pageBreakBefore w:val="0"/>
        <w:widowControl w:val="0"/>
        <w:kinsoku w:val="0"/>
        <w:wordWrap/>
        <w:overflowPunct w:val="0"/>
        <w:topLinePunct w:val="0"/>
        <w:autoSpaceDE/>
        <w:autoSpaceDN/>
        <w:bidi w:val="0"/>
        <w:adjustRightInd/>
        <w:snapToGrid/>
        <w:spacing w:before="0" w:line="380" w:lineRule="exact"/>
        <w:ind w:left="0" w:right="113"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4.2.2投标人通过下载招标文件的电子招标投标交易平台递交电子投标文件。</w:t>
      </w:r>
    </w:p>
    <w:p w14:paraId="24A23F68">
      <w:pPr>
        <w:pStyle w:val="9"/>
        <w:keepNext w:val="0"/>
        <w:keepLines w:val="0"/>
        <w:pageBreakBefore w:val="0"/>
        <w:widowControl w:val="0"/>
        <w:kinsoku w:val="0"/>
        <w:wordWrap/>
        <w:overflowPunct w:val="0"/>
        <w:topLinePunct w:val="0"/>
        <w:autoSpaceDE/>
        <w:autoSpaceDN/>
        <w:bidi w:val="0"/>
        <w:adjustRightInd/>
        <w:snapToGrid/>
        <w:spacing w:before="0" w:line="380" w:lineRule="exact"/>
        <w:ind w:left="0" w:right="113"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4.2.3</w:t>
      </w:r>
      <w:r>
        <w:rPr>
          <w:rFonts w:hint="eastAsia" w:ascii="宋体" w:hAnsi="宋体" w:eastAsia="宋体" w:cs="宋体"/>
          <w:color w:val="auto"/>
          <w:spacing w:val="0"/>
          <w:highlight w:val="none"/>
        </w:rPr>
        <w:t xml:space="preserve"> </w:t>
      </w:r>
      <w:r>
        <w:rPr>
          <w:rFonts w:hint="eastAsia" w:ascii="宋体" w:hAnsi="宋体" w:eastAsia="宋体" w:cs="宋体"/>
          <w:color w:val="auto"/>
          <w:highlight w:val="none"/>
        </w:rPr>
        <w:t>除投标人须知前附表另有规定外，投标人所递交的投标文件不予退还。</w:t>
      </w:r>
    </w:p>
    <w:p w14:paraId="187F473E">
      <w:pPr>
        <w:pStyle w:val="9"/>
        <w:keepNext w:val="0"/>
        <w:keepLines w:val="0"/>
        <w:pageBreakBefore w:val="0"/>
        <w:widowControl w:val="0"/>
        <w:kinsoku w:val="0"/>
        <w:wordWrap/>
        <w:overflowPunct w:val="0"/>
        <w:topLinePunct w:val="0"/>
        <w:autoSpaceDE/>
        <w:autoSpaceDN/>
        <w:bidi w:val="0"/>
        <w:adjustRightInd/>
        <w:snapToGrid/>
        <w:spacing w:before="0" w:line="380" w:lineRule="exact"/>
        <w:ind w:left="0" w:right="113"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4.2.4投标人完成电子投标文件上传后，电子招标投标交易平台即时向投标人发出递交回执通知。递交时间以递交回执通知载明的传输完成时间为准。</w:t>
      </w:r>
    </w:p>
    <w:p w14:paraId="4E27EA06">
      <w:pPr>
        <w:pStyle w:val="9"/>
        <w:keepNext w:val="0"/>
        <w:keepLines w:val="0"/>
        <w:pageBreakBefore w:val="0"/>
        <w:widowControl w:val="0"/>
        <w:kinsoku w:val="0"/>
        <w:wordWrap/>
        <w:overflowPunct w:val="0"/>
        <w:topLinePunct w:val="0"/>
        <w:autoSpaceDE/>
        <w:autoSpaceDN/>
        <w:bidi w:val="0"/>
        <w:adjustRightInd/>
        <w:snapToGrid/>
        <w:spacing w:before="0" w:line="380" w:lineRule="exact"/>
        <w:ind w:left="0" w:right="113"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4.2.5逾期送达的投标文件，电子招标投标交易平台将予以拒收。</w:t>
      </w:r>
      <w:bookmarkStart w:id="112" w:name="bookmark50"/>
      <w:bookmarkEnd w:id="112"/>
    </w:p>
    <w:p w14:paraId="013CF033">
      <w:pPr>
        <w:pStyle w:val="5"/>
        <w:keepNext w:val="0"/>
        <w:keepLines w:val="0"/>
        <w:pageBreakBefore w:val="0"/>
        <w:widowControl w:val="0"/>
        <w:kinsoku w:val="0"/>
        <w:wordWrap/>
        <w:overflowPunct w:val="0"/>
        <w:topLinePunct w:val="0"/>
        <w:autoSpaceDE/>
        <w:autoSpaceDN/>
        <w:bidi w:val="0"/>
        <w:adjustRightInd/>
        <w:snapToGrid/>
        <w:spacing w:before="44" w:line="380" w:lineRule="exact"/>
        <w:ind w:left="0" w:right="113" w:firstLine="210" w:firstLineChars="100"/>
        <w:textAlignment w:val="auto"/>
        <w:outlineLvl w:val="2"/>
        <w:rPr>
          <w:rFonts w:hint="eastAsia" w:ascii="宋体" w:hAnsi="宋体" w:eastAsia="宋体" w:cs="宋体"/>
          <w:color w:val="auto"/>
          <w:sz w:val="21"/>
          <w:highlight w:val="none"/>
        </w:rPr>
      </w:pPr>
      <w:bookmarkStart w:id="113" w:name="_Toc25969"/>
      <w:bookmarkStart w:id="114" w:name="_Toc19707"/>
      <w:bookmarkStart w:id="115" w:name="_Toc3434"/>
      <w:bookmarkStart w:id="116" w:name="_Toc1919"/>
      <w:bookmarkStart w:id="117" w:name="_Toc29465"/>
      <w:bookmarkStart w:id="118" w:name="_Toc18148"/>
      <w:r>
        <w:rPr>
          <w:rFonts w:hint="eastAsia" w:ascii="宋体" w:hAnsi="宋体" w:eastAsia="宋体" w:cs="宋体"/>
          <w:color w:val="auto"/>
          <w:sz w:val="21"/>
          <w:highlight w:val="none"/>
        </w:rPr>
        <w:t>4.3  投标文件的修改与撤回</w:t>
      </w:r>
      <w:bookmarkEnd w:id="113"/>
      <w:bookmarkEnd w:id="114"/>
      <w:bookmarkEnd w:id="115"/>
      <w:bookmarkEnd w:id="116"/>
      <w:bookmarkEnd w:id="117"/>
      <w:bookmarkEnd w:id="118"/>
    </w:p>
    <w:p w14:paraId="6D0E4551">
      <w:pPr>
        <w:pStyle w:val="9"/>
        <w:keepNext w:val="0"/>
        <w:keepLines w:val="0"/>
        <w:pageBreakBefore w:val="0"/>
        <w:widowControl w:val="0"/>
        <w:kinsoku w:val="0"/>
        <w:wordWrap/>
        <w:overflowPunct w:val="0"/>
        <w:topLinePunct w:val="0"/>
        <w:autoSpaceDE/>
        <w:autoSpaceDN/>
        <w:bidi w:val="0"/>
        <w:adjustRightInd/>
        <w:snapToGrid/>
        <w:spacing w:line="380" w:lineRule="exact"/>
        <w:ind w:right="113"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4.3.1 在本章第 4.2.1</w:t>
      </w:r>
      <w:r>
        <w:rPr>
          <w:rFonts w:hint="eastAsia" w:ascii="宋体" w:hAnsi="宋体" w:eastAsia="宋体" w:cs="宋体"/>
          <w:color w:val="auto"/>
          <w:spacing w:val="0"/>
          <w:highlight w:val="none"/>
        </w:rPr>
        <w:t xml:space="preserve"> 项规定的投标截止时间前，投标人可以修改或撤回已递交的投标文件，</w:t>
      </w:r>
      <w:r>
        <w:rPr>
          <w:rFonts w:hint="eastAsia" w:ascii="宋体" w:hAnsi="宋体" w:eastAsia="宋体" w:cs="宋体"/>
          <w:color w:val="auto"/>
          <w:highlight w:val="none"/>
        </w:rPr>
        <w:t xml:space="preserve"> 但应以书面形式通知招标人。</w:t>
      </w:r>
    </w:p>
    <w:p w14:paraId="7021C5B6">
      <w:pPr>
        <w:pStyle w:val="9"/>
        <w:keepNext w:val="0"/>
        <w:keepLines w:val="0"/>
        <w:pageBreakBefore w:val="0"/>
        <w:widowControl w:val="0"/>
        <w:kinsoku w:val="0"/>
        <w:wordWrap/>
        <w:overflowPunct w:val="0"/>
        <w:topLinePunct w:val="0"/>
        <w:autoSpaceDE/>
        <w:autoSpaceDN/>
        <w:bidi w:val="0"/>
        <w:adjustRightInd/>
        <w:snapToGrid/>
        <w:spacing w:before="0" w:line="380" w:lineRule="exact"/>
        <w:ind w:right="113"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4.3.2投标人修改或撤回已递交投标文件的通知，应按照本章第</w:t>
      </w:r>
      <w:r>
        <w:rPr>
          <w:rFonts w:hint="eastAsia" w:ascii="宋体" w:hAnsi="宋体" w:eastAsia="宋体" w:cs="宋体"/>
          <w:color w:val="auto"/>
          <w:spacing w:val="0"/>
          <w:highlight w:val="none"/>
        </w:rPr>
        <w:t xml:space="preserve"> </w:t>
      </w:r>
      <w:r>
        <w:rPr>
          <w:rFonts w:hint="eastAsia" w:ascii="宋体" w:hAnsi="宋体" w:eastAsia="宋体" w:cs="宋体"/>
          <w:color w:val="auto"/>
          <w:highlight w:val="none"/>
        </w:rPr>
        <w:t>3.7.3项的要求加盖电子印章。电子招标投标交易平台收到通知后，即时向投标人发出确认回执通知。</w:t>
      </w:r>
    </w:p>
    <w:p w14:paraId="47D2656A">
      <w:pPr>
        <w:pStyle w:val="9"/>
        <w:keepNext w:val="0"/>
        <w:keepLines w:val="0"/>
        <w:pageBreakBefore w:val="0"/>
        <w:widowControl w:val="0"/>
        <w:kinsoku w:val="0"/>
        <w:wordWrap/>
        <w:overflowPunct w:val="0"/>
        <w:topLinePunct w:val="0"/>
        <w:autoSpaceDE/>
        <w:autoSpaceDN/>
        <w:bidi w:val="0"/>
        <w:adjustRightInd/>
        <w:snapToGrid/>
        <w:spacing w:before="0" w:line="380" w:lineRule="exact"/>
        <w:ind w:right="113"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4.3.3 </w:t>
      </w:r>
      <w:r>
        <w:rPr>
          <w:rFonts w:hint="eastAsia" w:ascii="宋体" w:hAnsi="宋体" w:eastAsia="宋体" w:cs="宋体"/>
          <w:color w:val="auto"/>
          <w:spacing w:val="0"/>
          <w:highlight w:val="none"/>
        </w:rPr>
        <w:t xml:space="preserve">投标人撤回投标文件的，招标人自收到投标人书面撤回通知之日起 </w:t>
      </w:r>
      <w:r>
        <w:rPr>
          <w:rFonts w:hint="eastAsia" w:ascii="宋体" w:hAnsi="宋体" w:eastAsia="宋体" w:cs="宋体"/>
          <w:color w:val="auto"/>
          <w:highlight w:val="none"/>
        </w:rPr>
        <w:t>5</w:t>
      </w:r>
      <w:r>
        <w:rPr>
          <w:rFonts w:hint="eastAsia" w:ascii="宋体" w:hAnsi="宋体" w:eastAsia="宋体" w:cs="宋体"/>
          <w:color w:val="auto"/>
          <w:spacing w:val="0"/>
          <w:highlight w:val="none"/>
        </w:rPr>
        <w:t xml:space="preserve"> </w:t>
      </w:r>
      <w:r>
        <w:rPr>
          <w:rFonts w:hint="eastAsia" w:ascii="宋体" w:hAnsi="宋体" w:eastAsia="宋体" w:cs="宋体"/>
          <w:color w:val="auto"/>
          <w:highlight w:val="none"/>
        </w:rPr>
        <w:t>日内退还已收取 的投标保证金。</w:t>
      </w:r>
    </w:p>
    <w:p w14:paraId="44D1978C">
      <w:pPr>
        <w:pStyle w:val="9"/>
        <w:keepNext w:val="0"/>
        <w:keepLines w:val="0"/>
        <w:pageBreakBefore w:val="0"/>
        <w:widowControl w:val="0"/>
        <w:kinsoku w:val="0"/>
        <w:wordWrap/>
        <w:overflowPunct w:val="0"/>
        <w:topLinePunct w:val="0"/>
        <w:autoSpaceDE/>
        <w:autoSpaceDN/>
        <w:bidi w:val="0"/>
        <w:adjustRightInd/>
        <w:snapToGrid/>
        <w:spacing w:before="0" w:line="380" w:lineRule="exact"/>
        <w:ind w:right="113"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4.3.4</w:t>
      </w:r>
      <w:r>
        <w:rPr>
          <w:rFonts w:hint="eastAsia" w:ascii="宋体" w:hAnsi="宋体" w:eastAsia="宋体" w:cs="宋体"/>
          <w:color w:val="auto"/>
          <w:spacing w:val="0"/>
          <w:highlight w:val="none"/>
        </w:rPr>
        <w:t xml:space="preserve"> 修改的内容为投标文件的组成部分。修改的投标文件应按照本章第 </w:t>
      </w:r>
      <w:r>
        <w:rPr>
          <w:rFonts w:hint="eastAsia" w:ascii="宋体" w:hAnsi="宋体" w:eastAsia="宋体" w:cs="宋体"/>
          <w:color w:val="auto"/>
          <w:highlight w:val="none"/>
        </w:rPr>
        <w:t>3</w:t>
      </w:r>
      <w:r>
        <w:rPr>
          <w:rFonts w:hint="eastAsia" w:ascii="宋体" w:hAnsi="宋体" w:eastAsia="宋体" w:cs="宋体"/>
          <w:color w:val="auto"/>
          <w:spacing w:val="0"/>
          <w:highlight w:val="none"/>
        </w:rPr>
        <w:t xml:space="preserve"> 条、第 </w:t>
      </w:r>
      <w:r>
        <w:rPr>
          <w:rFonts w:hint="eastAsia" w:ascii="宋体" w:hAnsi="宋体" w:eastAsia="宋体" w:cs="宋体"/>
          <w:color w:val="auto"/>
          <w:highlight w:val="none"/>
        </w:rPr>
        <w:t>4</w:t>
      </w:r>
      <w:r>
        <w:rPr>
          <w:rFonts w:hint="eastAsia" w:ascii="宋体" w:hAnsi="宋体" w:eastAsia="宋体" w:cs="宋体"/>
          <w:color w:val="auto"/>
          <w:spacing w:val="0"/>
          <w:highlight w:val="none"/>
        </w:rPr>
        <w:t xml:space="preserve"> </w:t>
      </w:r>
      <w:r>
        <w:rPr>
          <w:rFonts w:hint="eastAsia" w:ascii="宋体" w:hAnsi="宋体" w:eastAsia="宋体" w:cs="宋体"/>
          <w:color w:val="auto"/>
          <w:highlight w:val="none"/>
        </w:rPr>
        <w:t>条的规 定进行编制、密封、标记和递交，并标明修改字样。</w:t>
      </w:r>
    </w:p>
    <w:p w14:paraId="7C5E82F2">
      <w:pPr>
        <w:keepNext w:val="0"/>
        <w:keepLines w:val="0"/>
        <w:pageBreakBefore w:val="0"/>
        <w:widowControl w:val="0"/>
        <w:wordWrap/>
        <w:topLinePunct w:val="0"/>
        <w:autoSpaceDE/>
        <w:autoSpaceDN/>
        <w:bidi w:val="0"/>
        <w:adjustRightInd/>
        <w:snapToGrid/>
        <w:spacing w:line="380" w:lineRule="exact"/>
        <w:textAlignment w:val="auto"/>
        <w:outlineLvl w:val="1"/>
        <w:rPr>
          <w:rFonts w:hint="eastAsia" w:ascii="宋体" w:hAnsi="宋体" w:eastAsia="宋体" w:cs="宋体"/>
          <w:b/>
          <w:color w:val="auto"/>
          <w:highlight w:val="none"/>
        </w:rPr>
      </w:pPr>
      <w:bookmarkStart w:id="119" w:name="第02章投标人须知05"/>
      <w:bookmarkEnd w:id="119"/>
      <w:bookmarkStart w:id="120" w:name="_Toc29287"/>
      <w:r>
        <w:rPr>
          <w:rFonts w:hint="eastAsia" w:ascii="宋体" w:hAnsi="宋体" w:eastAsia="宋体" w:cs="宋体"/>
          <w:b/>
          <w:color w:val="auto"/>
          <w:highlight w:val="none"/>
        </w:rPr>
        <w:t>5　开标</w:t>
      </w:r>
      <w:bookmarkEnd w:id="120"/>
    </w:p>
    <w:p w14:paraId="4E35E927">
      <w:pPr>
        <w:keepNext w:val="0"/>
        <w:keepLines w:val="0"/>
        <w:pageBreakBefore w:val="0"/>
        <w:widowControl w:val="0"/>
        <w:wordWrap/>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本节全文引用《标准施工招标文件》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2007年版</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相应条款，并补充以下内容：</w:t>
      </w:r>
    </w:p>
    <w:p w14:paraId="766C8AFB">
      <w:pPr>
        <w:keepNext w:val="0"/>
        <w:keepLines w:val="0"/>
        <w:pageBreakBefore w:val="0"/>
        <w:widowControl w:val="0"/>
        <w:wordWrap/>
        <w:topLinePunct w:val="0"/>
        <w:autoSpaceDE/>
        <w:autoSpaceDN/>
        <w:bidi w:val="0"/>
        <w:adjustRightInd/>
        <w:snapToGrid/>
        <w:spacing w:line="38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　5.2.1主持人按下列程序进行开标：</w:t>
      </w:r>
    </w:p>
    <w:p w14:paraId="73DC8954">
      <w:pPr>
        <w:keepNext w:val="0"/>
        <w:keepLines w:val="0"/>
        <w:pageBreakBefore w:val="0"/>
        <w:widowControl w:val="0"/>
        <w:wordWrap/>
        <w:topLinePunct w:val="0"/>
        <w:autoSpaceDE/>
        <w:autoSpaceDN/>
        <w:bidi w:val="0"/>
        <w:adjustRightInd/>
        <w:snapToGrid/>
        <w:spacing w:line="38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（1）线上签到：招标人或其委托的代理机构登入远程开标大厅。投标人须在投标截止时间前完成线上签到。</w:t>
      </w:r>
    </w:p>
    <w:p w14:paraId="0FC4C355">
      <w:pPr>
        <w:keepNext w:val="0"/>
        <w:keepLines w:val="0"/>
        <w:pageBreakBefore w:val="0"/>
        <w:widowControl w:val="0"/>
        <w:wordWrap/>
        <w:topLinePunct w:val="0"/>
        <w:autoSpaceDE/>
        <w:autoSpaceDN/>
        <w:bidi w:val="0"/>
        <w:adjustRightInd/>
        <w:snapToGrid/>
        <w:spacing w:line="38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公布名单和相关信息：招标人或其委托的代理机构和投标人，均在投标截止时间前登录不见面开标系统，投标文件递交截止时间后，主持人将在不见面开标系统内公布投标人名单、签到情况以及投标保证金到账情况等。</w:t>
      </w:r>
    </w:p>
    <w:p w14:paraId="5BFE65BF">
      <w:pPr>
        <w:keepNext w:val="0"/>
        <w:keepLines w:val="0"/>
        <w:pageBreakBefore w:val="0"/>
        <w:widowControl w:val="0"/>
        <w:wordWrap/>
        <w:topLinePunct w:val="0"/>
        <w:autoSpaceDE/>
        <w:autoSpaceDN/>
        <w:bidi w:val="0"/>
        <w:adjustRightInd/>
        <w:snapToGrid/>
        <w:spacing w:line="38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（3）投标文件解密：招标人或其委托的代理机构通过系统发出投标文件解密指令并设定解密时长（解密时长不少于30分钟，具体时长由招标人或其委托的代理机构设定）， 投标人应在解密指令发出后使用数字证书在规定时间内完成解密。除因电子交易系统出现“第二章投标人须知”“5.2开标程序”“</w:t>
      </w:r>
      <w:r>
        <w:rPr>
          <w:rFonts w:hint="eastAsia" w:ascii="宋体" w:hAnsi="宋体" w:cs="宋体"/>
          <w:color w:val="auto"/>
          <w:highlight w:val="none"/>
          <w:lang w:val="en-US" w:eastAsia="zh-CN"/>
        </w:rPr>
        <w:t>5.2.</w:t>
      </w:r>
      <w:r>
        <w:rPr>
          <w:rFonts w:hint="eastAsia" w:ascii="宋体" w:hAnsi="宋体" w:eastAsia="宋体" w:cs="宋体"/>
          <w:color w:val="auto"/>
          <w:highlight w:val="none"/>
        </w:rPr>
        <w:t>2、不可预见情况处理（特殊情况）”所列情形，因投标人原因造成投标文件未解密的，视为撤销其投标文件；因投标人之外的原因造成投标文件未解密的，视为撤回其投标文件，投标人有权要求责任方赔偿因此遭受的直接损失。部分投标文件未解密的，其他投标文件的开标可以继续进行。所有投标人均完成投标文件解密或到达解密截止时间后，系统将自动结束解密环节，。</w:t>
      </w:r>
    </w:p>
    <w:p w14:paraId="7F6B7CEC">
      <w:pPr>
        <w:keepNext w:val="0"/>
        <w:keepLines w:val="0"/>
        <w:pageBreakBefore w:val="0"/>
        <w:widowControl w:val="0"/>
        <w:wordWrap/>
        <w:topLinePunct w:val="0"/>
        <w:autoSpaceDE/>
        <w:autoSpaceDN/>
        <w:bidi w:val="0"/>
        <w:adjustRightInd/>
        <w:snapToGrid/>
        <w:spacing w:line="38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（4）在线唱标：解密环节结束后，所有成功解密的投标人开标信息（投标保证金的递交情况、投标报价、</w:t>
      </w:r>
      <w:r>
        <w:rPr>
          <w:rFonts w:hint="eastAsia" w:ascii="宋体" w:hAnsi="宋体" w:cs="宋体"/>
          <w:color w:val="auto"/>
          <w:highlight w:val="none"/>
          <w:lang w:val="en-US" w:eastAsia="zh-CN"/>
        </w:rPr>
        <w:t>工期</w:t>
      </w:r>
      <w:r>
        <w:rPr>
          <w:rFonts w:hint="eastAsia" w:ascii="宋体" w:hAnsi="宋体" w:eastAsia="宋体" w:cs="宋体"/>
          <w:color w:val="auto"/>
          <w:highlight w:val="none"/>
        </w:rPr>
        <w:t>及其他内容）将在开标系统内公开展示。成功解密的投标人小于3家，宣布本次招标失败，结束开标。</w:t>
      </w:r>
    </w:p>
    <w:p w14:paraId="33449D2D">
      <w:pPr>
        <w:keepNext w:val="0"/>
        <w:keepLines w:val="0"/>
        <w:pageBreakBefore w:val="0"/>
        <w:widowControl w:val="0"/>
        <w:wordWrap/>
        <w:topLinePunct w:val="0"/>
        <w:autoSpaceDE/>
        <w:autoSpaceDN/>
        <w:bidi w:val="0"/>
        <w:adjustRightInd/>
        <w:snapToGrid/>
        <w:spacing w:line="38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异议和结果确认：解密环节结束后，招标人或其委托的代理机构通过系统发出异议指令并设定异议时长（异议时长不少于5分钟，具体时长由招标人或其委托的代理机构设定），投标人应在异议指令发出后确认是否存在异议，未在设定时长进行异议的，视为无异议。异议环节后， 系统生成开标记录表。</w:t>
      </w:r>
    </w:p>
    <w:p w14:paraId="69D6A1EB">
      <w:pPr>
        <w:keepNext w:val="0"/>
        <w:keepLines w:val="0"/>
        <w:pageBreakBefore w:val="0"/>
        <w:widowControl w:val="0"/>
        <w:wordWrap/>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招标人或其委托的代理机构通过系统发出确认开标记录表指令并设定时长（开标记录表确定时长不少于5分钟，具体时长由招标人或其委托的代理机构设定），投标人应在指令发出后完成报表确认，未在规定时间内对开标记录表进行确认的，视为默认确认开标结果。</w:t>
      </w:r>
    </w:p>
    <w:p w14:paraId="684C86A0">
      <w:pPr>
        <w:keepNext w:val="0"/>
        <w:keepLines w:val="0"/>
        <w:pageBreakBefore w:val="0"/>
        <w:widowControl w:val="0"/>
        <w:wordWrap/>
        <w:topLinePunct w:val="0"/>
        <w:autoSpaceDE/>
        <w:autoSpaceDN/>
        <w:bidi w:val="0"/>
        <w:adjustRightInd/>
        <w:snapToGrid/>
        <w:spacing w:line="38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（6）招标人或其委托的代理机构发起开标结束指令，开标系统通知投标人开标结束。</w:t>
      </w:r>
    </w:p>
    <w:p w14:paraId="29C45F53">
      <w:pPr>
        <w:keepNext w:val="0"/>
        <w:keepLines w:val="0"/>
        <w:pageBreakBefore w:val="0"/>
        <w:widowControl w:val="0"/>
        <w:wordWrap/>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备注：若投标人到达开标现场，投标人可在开标现场使用自带电脑设备对投标文件进行解密。</w:t>
      </w:r>
    </w:p>
    <w:p w14:paraId="57B72726">
      <w:pPr>
        <w:keepNext w:val="0"/>
        <w:keepLines w:val="0"/>
        <w:pageBreakBefore w:val="0"/>
        <w:widowControl w:val="0"/>
        <w:wordWrap/>
        <w:topLinePunct w:val="0"/>
        <w:autoSpaceDE/>
        <w:autoSpaceDN/>
        <w:bidi w:val="0"/>
        <w:adjustRightInd/>
        <w:snapToGrid/>
        <w:spacing w:line="38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5.2.2不可预见情况（特殊情况）处理：</w:t>
      </w:r>
    </w:p>
    <w:p w14:paraId="50A4AA87">
      <w:pPr>
        <w:keepNext w:val="0"/>
        <w:keepLines w:val="0"/>
        <w:pageBreakBefore w:val="0"/>
        <w:widowControl w:val="0"/>
        <w:wordWrap/>
        <w:topLinePunct w:val="0"/>
        <w:autoSpaceDE/>
        <w:autoSpaceDN/>
        <w:bidi w:val="0"/>
        <w:adjustRightInd/>
        <w:snapToGrid/>
        <w:spacing w:line="38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因下列情形导致线上开标无法正常开展，影响交易过程的公平、公正和信息安全的，视为特殊情况：</w:t>
      </w:r>
    </w:p>
    <w:p w14:paraId="56F82E92">
      <w:pPr>
        <w:keepNext w:val="0"/>
        <w:keepLines w:val="0"/>
        <w:pageBreakBefore w:val="0"/>
        <w:widowControl w:val="0"/>
        <w:wordWrap/>
        <w:topLinePunct w:val="0"/>
        <w:autoSpaceDE/>
        <w:autoSpaceDN/>
        <w:bidi w:val="0"/>
        <w:adjustRightInd/>
        <w:snapToGrid/>
        <w:spacing w:line="38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（1）公共资源交易平台端所涉开标项目电子服务、交易系统的服务器发生故障而无法访问网站或无法使用系统。</w:t>
      </w:r>
    </w:p>
    <w:p w14:paraId="03BA3CAB">
      <w:pPr>
        <w:keepNext w:val="0"/>
        <w:keepLines w:val="0"/>
        <w:pageBreakBefore w:val="0"/>
        <w:widowControl w:val="0"/>
        <w:wordWrap/>
        <w:topLinePunct w:val="0"/>
        <w:autoSpaceDE/>
        <w:autoSpaceDN/>
        <w:bidi w:val="0"/>
        <w:adjustRightInd/>
        <w:snapToGrid/>
        <w:spacing w:line="38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（2）公共资源交易平台端所涉开标项目电子服务、交易系统的软件或网络数据库出现错误，不能进行正常操作。</w:t>
      </w:r>
    </w:p>
    <w:p w14:paraId="774B08E9">
      <w:pPr>
        <w:keepNext w:val="0"/>
        <w:keepLines w:val="0"/>
        <w:pageBreakBefore w:val="0"/>
        <w:widowControl w:val="0"/>
        <w:wordWrap/>
        <w:topLinePunct w:val="0"/>
        <w:autoSpaceDE/>
        <w:autoSpaceDN/>
        <w:bidi w:val="0"/>
        <w:adjustRightInd/>
        <w:snapToGrid/>
        <w:spacing w:line="38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（3）公共资源交易平台端电子服务、交易系统存在安全漏洞，经判定有潜在泄密危险的。</w:t>
      </w:r>
    </w:p>
    <w:p w14:paraId="57BAEEEC">
      <w:pPr>
        <w:keepNext w:val="0"/>
        <w:keepLines w:val="0"/>
        <w:pageBreakBefore w:val="0"/>
        <w:widowControl w:val="0"/>
        <w:wordWrap/>
        <w:topLinePunct w:val="0"/>
        <w:autoSpaceDE/>
        <w:autoSpaceDN/>
        <w:bidi w:val="0"/>
        <w:adjustRightInd/>
        <w:snapToGrid/>
        <w:spacing w:line="38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（4）公共资源交易平台端受计算机病毒或网络攻击导致电子服务、交易系统无法正常运行的。</w:t>
      </w:r>
    </w:p>
    <w:p w14:paraId="2283D059">
      <w:pPr>
        <w:keepNext w:val="0"/>
        <w:keepLines w:val="0"/>
        <w:pageBreakBefore w:val="0"/>
        <w:widowControl w:val="0"/>
        <w:wordWrap/>
        <w:topLinePunct w:val="0"/>
        <w:autoSpaceDE/>
        <w:autoSpaceDN/>
        <w:bidi w:val="0"/>
        <w:adjustRightInd/>
        <w:snapToGrid/>
        <w:spacing w:line="38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（5）电力系统发生故障导致公共资源交易平台端电子服务、交易系统无法运行的。</w:t>
      </w:r>
    </w:p>
    <w:p w14:paraId="3F53A56D">
      <w:pPr>
        <w:keepNext w:val="0"/>
        <w:keepLines w:val="0"/>
        <w:pageBreakBefore w:val="0"/>
        <w:widowControl w:val="0"/>
        <w:wordWrap/>
        <w:topLinePunct w:val="0"/>
        <w:autoSpaceDE/>
        <w:autoSpaceDN/>
        <w:bidi w:val="0"/>
        <w:adjustRightInd/>
        <w:snapToGrid/>
        <w:spacing w:line="38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（6）第三方登录平台（省政务一体化平台、海易办等）故障导致公共资源交易平台端不见面开标系统无法登录、运行的。</w:t>
      </w:r>
    </w:p>
    <w:p w14:paraId="5377D122">
      <w:pPr>
        <w:keepNext w:val="0"/>
        <w:keepLines w:val="0"/>
        <w:pageBreakBefore w:val="0"/>
        <w:widowControl w:val="0"/>
        <w:wordWrap/>
        <w:topLinePunct w:val="0"/>
        <w:autoSpaceDE/>
        <w:autoSpaceDN/>
        <w:bidi w:val="0"/>
        <w:adjustRightInd/>
        <w:snapToGrid/>
        <w:spacing w:line="38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（7）其他影响交易过程公平、公正和信息安全的。</w:t>
      </w:r>
    </w:p>
    <w:p w14:paraId="12385B88">
      <w:pPr>
        <w:keepNext w:val="0"/>
        <w:keepLines w:val="0"/>
        <w:pageBreakBefore w:val="0"/>
        <w:widowControl w:val="0"/>
        <w:wordWrap/>
        <w:topLinePunct w:val="0"/>
        <w:autoSpaceDE/>
        <w:autoSpaceDN/>
        <w:bidi w:val="0"/>
        <w:adjustRightInd/>
        <w:snapToGrid/>
        <w:spacing w:line="38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系统或网络故障在4个小时（含）内排除并通过可靠测试的，恢复系统运行并继续启动在系统中实施暂缓项目的开标；系统或网络故障在4个小时（含）内未能排除的，工程建设类项目，经报告行政监督部门批准，可延期开标，招标人应在全国公共资源交易平台（海南省）网站发布公告，同时做好招投标资料的封存和保密工作。</w:t>
      </w:r>
    </w:p>
    <w:p w14:paraId="5D34DE13">
      <w:pPr>
        <w:keepNext w:val="0"/>
        <w:keepLines w:val="0"/>
        <w:pageBreakBefore w:val="0"/>
        <w:widowControl w:val="0"/>
        <w:wordWrap/>
        <w:topLinePunct w:val="0"/>
        <w:autoSpaceDE/>
        <w:autoSpaceDN/>
        <w:bidi w:val="0"/>
        <w:adjustRightInd/>
        <w:snapToGrid/>
        <w:spacing w:line="38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5.2.3 采用不见面开标项目，依据琼发改法规【2024】534号《海南省公共资源交易不见面开标操作指南》执行</w:t>
      </w:r>
    </w:p>
    <w:p w14:paraId="5A2BBEAD">
      <w:pPr>
        <w:keepNext w:val="0"/>
        <w:keepLines w:val="0"/>
        <w:pageBreakBefore w:val="0"/>
        <w:widowControl w:val="0"/>
        <w:wordWrap/>
        <w:topLinePunct w:val="0"/>
        <w:autoSpaceDE/>
        <w:autoSpaceDN/>
        <w:bidi w:val="0"/>
        <w:adjustRightInd/>
        <w:snapToGrid/>
        <w:spacing w:line="380" w:lineRule="exact"/>
        <w:textAlignment w:val="auto"/>
        <w:outlineLvl w:val="1"/>
        <w:rPr>
          <w:rFonts w:hint="eastAsia" w:ascii="宋体" w:hAnsi="宋体" w:eastAsia="宋体" w:cs="宋体"/>
          <w:b/>
          <w:color w:val="auto"/>
          <w:highlight w:val="none"/>
        </w:rPr>
      </w:pPr>
      <w:bookmarkStart w:id="121" w:name="第02章投标人须知06"/>
      <w:bookmarkEnd w:id="121"/>
      <w:bookmarkStart w:id="122" w:name="_Toc17560"/>
      <w:r>
        <w:rPr>
          <w:rFonts w:hint="eastAsia" w:ascii="宋体" w:hAnsi="宋体" w:eastAsia="宋体" w:cs="宋体"/>
          <w:b/>
          <w:color w:val="auto"/>
          <w:highlight w:val="none"/>
        </w:rPr>
        <w:t>6　评标</w:t>
      </w:r>
      <w:bookmarkEnd w:id="122"/>
    </w:p>
    <w:p w14:paraId="63861767">
      <w:pPr>
        <w:keepNext w:val="0"/>
        <w:keepLines w:val="0"/>
        <w:pageBreakBefore w:val="0"/>
        <w:widowControl w:val="0"/>
        <w:wordWrap/>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本节全文引用《标准施工招标文件》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2007年版</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相应条款。</w:t>
      </w:r>
    </w:p>
    <w:p w14:paraId="47002751">
      <w:pPr>
        <w:keepNext w:val="0"/>
        <w:keepLines w:val="0"/>
        <w:pageBreakBefore w:val="0"/>
        <w:widowControl w:val="0"/>
        <w:wordWrap/>
        <w:topLinePunct w:val="0"/>
        <w:autoSpaceDE/>
        <w:autoSpaceDN/>
        <w:bidi w:val="0"/>
        <w:adjustRightInd/>
        <w:snapToGrid/>
        <w:spacing w:line="380" w:lineRule="exact"/>
        <w:textAlignment w:val="auto"/>
        <w:outlineLvl w:val="1"/>
        <w:rPr>
          <w:rFonts w:hint="eastAsia" w:ascii="宋体" w:hAnsi="宋体" w:eastAsia="宋体" w:cs="宋体"/>
          <w:b/>
          <w:color w:val="auto"/>
          <w:highlight w:val="none"/>
        </w:rPr>
      </w:pPr>
      <w:bookmarkStart w:id="123" w:name="第02章投标人须知07"/>
      <w:bookmarkEnd w:id="123"/>
      <w:bookmarkStart w:id="124" w:name="_Toc25018"/>
      <w:r>
        <w:rPr>
          <w:rFonts w:hint="eastAsia" w:ascii="宋体" w:hAnsi="宋体" w:eastAsia="宋体" w:cs="宋体"/>
          <w:b/>
          <w:color w:val="auto"/>
          <w:highlight w:val="none"/>
        </w:rPr>
        <w:t>7　合同授予</w:t>
      </w:r>
      <w:bookmarkEnd w:id="124"/>
    </w:p>
    <w:p w14:paraId="56577ABF">
      <w:pPr>
        <w:keepNext w:val="0"/>
        <w:keepLines w:val="0"/>
        <w:pageBreakBefore w:val="0"/>
        <w:widowControl w:val="0"/>
        <w:wordWrap/>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本节全文引用《标准施工招标文件》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2007年版</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相应条款，并补充以下内容：</w:t>
      </w:r>
    </w:p>
    <w:p w14:paraId="48994736">
      <w:pPr>
        <w:keepNext w:val="0"/>
        <w:keepLines w:val="0"/>
        <w:pageBreakBefore w:val="0"/>
        <w:widowControl w:val="0"/>
        <w:wordWrap/>
        <w:topLinePunct w:val="0"/>
        <w:autoSpaceDE/>
        <w:autoSpaceDN/>
        <w:bidi w:val="0"/>
        <w:adjustRightInd/>
        <w:snapToGrid/>
        <w:spacing w:line="380" w:lineRule="exact"/>
        <w:textAlignment w:val="auto"/>
        <w:outlineLvl w:val="2"/>
        <w:rPr>
          <w:rFonts w:hint="eastAsia" w:ascii="宋体" w:hAnsi="宋体" w:eastAsia="宋体" w:cs="宋体"/>
          <w:color w:val="auto"/>
          <w:highlight w:val="none"/>
        </w:rPr>
      </w:pPr>
      <w:r>
        <w:rPr>
          <w:rFonts w:hint="eastAsia" w:ascii="宋体" w:hAnsi="宋体" w:eastAsia="宋体" w:cs="宋体"/>
          <w:color w:val="auto"/>
          <w:highlight w:val="none"/>
        </w:rPr>
        <w:t>　</w:t>
      </w:r>
      <w:bookmarkStart w:id="125" w:name="_Toc21752"/>
      <w:bookmarkStart w:id="126" w:name="_Toc17222"/>
      <w:bookmarkStart w:id="127" w:name="_Toc18825"/>
      <w:bookmarkStart w:id="128" w:name="_Toc3515"/>
      <w:bookmarkStart w:id="129" w:name="_Toc10720"/>
      <w:bookmarkStart w:id="130" w:name="_Toc26760"/>
      <w:r>
        <w:rPr>
          <w:rFonts w:hint="eastAsia" w:ascii="宋体" w:hAnsi="宋体" w:eastAsia="宋体" w:cs="宋体"/>
          <w:color w:val="auto"/>
          <w:highlight w:val="none"/>
        </w:rPr>
        <w:t>7.1　定标方式</w:t>
      </w:r>
      <w:bookmarkEnd w:id="125"/>
      <w:bookmarkEnd w:id="126"/>
      <w:bookmarkEnd w:id="127"/>
      <w:bookmarkEnd w:id="128"/>
      <w:bookmarkEnd w:id="129"/>
      <w:bookmarkEnd w:id="130"/>
    </w:p>
    <w:p w14:paraId="0D4001BB">
      <w:pPr>
        <w:keepNext w:val="0"/>
        <w:keepLines w:val="0"/>
        <w:pageBreakBefore w:val="0"/>
        <w:widowControl w:val="0"/>
        <w:wordWrap/>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评标委员会推荐3名中标候选人，并标明推荐顺序。招标人依据评标委员会推荐的中标候选人确定中标人。</w:t>
      </w:r>
    </w:p>
    <w:p w14:paraId="58A4EE79">
      <w:pPr>
        <w:keepNext w:val="0"/>
        <w:keepLines w:val="0"/>
        <w:pageBreakBefore w:val="0"/>
        <w:widowControl w:val="0"/>
        <w:wordWrap/>
        <w:topLinePunct w:val="0"/>
        <w:autoSpaceDE/>
        <w:autoSpaceDN/>
        <w:bidi w:val="0"/>
        <w:adjustRightInd/>
        <w:snapToGrid/>
        <w:spacing w:line="380" w:lineRule="exact"/>
        <w:textAlignment w:val="auto"/>
        <w:outlineLvl w:val="2"/>
        <w:rPr>
          <w:rFonts w:hint="eastAsia" w:ascii="宋体" w:hAnsi="宋体" w:eastAsia="宋体" w:cs="宋体"/>
          <w:color w:val="auto"/>
          <w:highlight w:val="none"/>
        </w:rPr>
      </w:pPr>
      <w:r>
        <w:rPr>
          <w:rFonts w:hint="eastAsia" w:ascii="宋体" w:hAnsi="宋体" w:eastAsia="宋体" w:cs="宋体"/>
          <w:color w:val="auto"/>
          <w:highlight w:val="none"/>
        </w:rPr>
        <w:t>　</w:t>
      </w:r>
      <w:bookmarkStart w:id="131" w:name="_Toc4699"/>
      <w:bookmarkStart w:id="132" w:name="_Toc12720"/>
      <w:bookmarkStart w:id="133" w:name="_Toc27516"/>
      <w:bookmarkStart w:id="134" w:name="_Toc29902"/>
      <w:bookmarkStart w:id="135" w:name="_Toc565"/>
      <w:bookmarkStart w:id="136" w:name="_Toc8891"/>
      <w:r>
        <w:rPr>
          <w:rFonts w:hint="eastAsia" w:ascii="宋体" w:hAnsi="宋体" w:eastAsia="宋体" w:cs="宋体"/>
          <w:color w:val="auto"/>
          <w:highlight w:val="none"/>
        </w:rPr>
        <w:t>7.4　签订合同</w:t>
      </w:r>
      <w:bookmarkEnd w:id="131"/>
      <w:bookmarkEnd w:id="132"/>
      <w:bookmarkEnd w:id="133"/>
      <w:bookmarkEnd w:id="134"/>
      <w:bookmarkEnd w:id="135"/>
      <w:bookmarkEnd w:id="136"/>
    </w:p>
    <w:p w14:paraId="5E49CFCB">
      <w:pPr>
        <w:keepNext w:val="0"/>
        <w:keepLines w:val="0"/>
        <w:pageBreakBefore w:val="0"/>
        <w:widowControl w:val="0"/>
        <w:wordWrap/>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7.4.2　发出中标通知书后，招标人无正当理由拒签合同的，招标人向中标人退还投标保证金，并按投标保证金双倍的金额补偿投标人损失。</w:t>
      </w:r>
    </w:p>
    <w:p w14:paraId="4FCBA5CC">
      <w:pPr>
        <w:keepNext w:val="0"/>
        <w:keepLines w:val="0"/>
        <w:pageBreakBefore w:val="0"/>
        <w:widowControl w:val="0"/>
        <w:wordWrap/>
        <w:topLinePunct w:val="0"/>
        <w:autoSpaceDE/>
        <w:autoSpaceDN/>
        <w:bidi w:val="0"/>
        <w:adjustRightInd/>
        <w:snapToGrid/>
        <w:spacing w:line="380" w:lineRule="exact"/>
        <w:textAlignment w:val="auto"/>
        <w:outlineLvl w:val="1"/>
        <w:rPr>
          <w:rFonts w:hint="eastAsia" w:ascii="宋体" w:hAnsi="宋体" w:eastAsia="宋体" w:cs="宋体"/>
          <w:b/>
          <w:color w:val="auto"/>
          <w:highlight w:val="none"/>
        </w:rPr>
      </w:pPr>
      <w:bookmarkStart w:id="137" w:name="第02章投标人须知08"/>
      <w:bookmarkEnd w:id="137"/>
      <w:bookmarkStart w:id="138" w:name="_Toc29808"/>
      <w:r>
        <w:rPr>
          <w:rFonts w:hint="eastAsia" w:ascii="宋体" w:hAnsi="宋体" w:eastAsia="宋体" w:cs="宋体"/>
          <w:b/>
          <w:color w:val="auto"/>
          <w:highlight w:val="none"/>
        </w:rPr>
        <w:t>8　重新招标和不再招标</w:t>
      </w:r>
      <w:bookmarkEnd w:id="138"/>
    </w:p>
    <w:p w14:paraId="69E81431">
      <w:pPr>
        <w:keepNext w:val="0"/>
        <w:keepLines w:val="0"/>
        <w:pageBreakBefore w:val="0"/>
        <w:widowControl w:val="0"/>
        <w:wordWrap/>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本节全文引用《标准施工招标文件》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2007年版</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相应条款，并补充以下内容：</w:t>
      </w:r>
    </w:p>
    <w:p w14:paraId="1A8DF6B6">
      <w:pPr>
        <w:keepNext w:val="0"/>
        <w:keepLines w:val="0"/>
        <w:pageBreakBefore w:val="0"/>
        <w:widowControl w:val="0"/>
        <w:wordWrap/>
        <w:topLinePunct w:val="0"/>
        <w:autoSpaceDE/>
        <w:autoSpaceDN/>
        <w:bidi w:val="0"/>
        <w:adjustRightInd/>
        <w:snapToGrid/>
        <w:spacing w:line="380" w:lineRule="exact"/>
        <w:textAlignment w:val="auto"/>
        <w:outlineLvl w:val="2"/>
        <w:rPr>
          <w:rFonts w:hint="eastAsia" w:ascii="宋体" w:hAnsi="宋体" w:eastAsia="宋体" w:cs="宋体"/>
          <w:color w:val="auto"/>
          <w:highlight w:val="none"/>
        </w:rPr>
      </w:pPr>
      <w:r>
        <w:rPr>
          <w:rFonts w:hint="eastAsia" w:ascii="宋体" w:hAnsi="宋体" w:eastAsia="宋体" w:cs="宋体"/>
          <w:color w:val="auto"/>
          <w:highlight w:val="none"/>
        </w:rPr>
        <w:t>　</w:t>
      </w:r>
      <w:bookmarkStart w:id="139" w:name="_Toc31218"/>
      <w:bookmarkStart w:id="140" w:name="_Toc1852"/>
      <w:bookmarkStart w:id="141" w:name="_Toc28450"/>
      <w:bookmarkStart w:id="142" w:name="_Toc28978"/>
      <w:bookmarkStart w:id="143" w:name="_Toc2900"/>
      <w:bookmarkStart w:id="144" w:name="_Toc29812"/>
      <w:r>
        <w:rPr>
          <w:rFonts w:hint="eastAsia" w:ascii="宋体" w:hAnsi="宋体" w:eastAsia="宋体" w:cs="宋体"/>
          <w:color w:val="auto"/>
          <w:highlight w:val="none"/>
        </w:rPr>
        <w:t>8.1　重新招标</w:t>
      </w:r>
      <w:bookmarkEnd w:id="139"/>
      <w:bookmarkEnd w:id="140"/>
      <w:bookmarkEnd w:id="141"/>
      <w:bookmarkEnd w:id="142"/>
      <w:bookmarkEnd w:id="143"/>
      <w:bookmarkEnd w:id="144"/>
    </w:p>
    <w:p w14:paraId="51A3B0D2">
      <w:pPr>
        <w:keepNext w:val="0"/>
        <w:keepLines w:val="0"/>
        <w:pageBreakBefore w:val="0"/>
        <w:widowControl w:val="0"/>
        <w:wordWrap/>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有下列情形之一的，招标人将重新招标：</w:t>
      </w:r>
    </w:p>
    <w:p w14:paraId="7C6244D7">
      <w:pPr>
        <w:keepNext w:val="0"/>
        <w:keepLines w:val="0"/>
        <w:pageBreakBefore w:val="0"/>
        <w:widowControl w:val="0"/>
        <w:wordWrap/>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投标截止时间止，投标人少于3个的；</w:t>
      </w:r>
    </w:p>
    <w:p w14:paraId="63BAA088">
      <w:pPr>
        <w:keepNext w:val="0"/>
        <w:keepLines w:val="0"/>
        <w:pageBreakBefore w:val="0"/>
        <w:widowControl w:val="0"/>
        <w:wordWrap/>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经评标委员会评审后否决所有投标的；</w:t>
      </w:r>
    </w:p>
    <w:p w14:paraId="2A4B2A89">
      <w:pPr>
        <w:keepNext w:val="0"/>
        <w:keepLines w:val="0"/>
        <w:pageBreakBefore w:val="0"/>
        <w:widowControl w:val="0"/>
        <w:wordWrap/>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评标委员会否决不合格投标或者界定为废标后因有效投标不足3个使得投标明显缺乏竞争</w:t>
      </w:r>
      <w:r>
        <w:rPr>
          <w:rFonts w:hint="eastAsia" w:ascii="宋体" w:hAnsi="宋体" w:cs="宋体"/>
          <w:color w:val="auto"/>
          <w:highlight w:val="none"/>
          <w:lang w:val="en-US" w:eastAsia="zh-CN"/>
        </w:rPr>
        <w:t>性</w:t>
      </w:r>
      <w:r>
        <w:rPr>
          <w:rFonts w:hint="eastAsia" w:ascii="宋体" w:hAnsi="宋体" w:eastAsia="宋体" w:cs="宋体"/>
          <w:color w:val="auto"/>
          <w:highlight w:val="none"/>
        </w:rPr>
        <w:t>，评标委员会决定否决全部投标的；</w:t>
      </w:r>
    </w:p>
    <w:p w14:paraId="49D08730">
      <w:pPr>
        <w:keepNext w:val="0"/>
        <w:keepLines w:val="0"/>
        <w:pageBreakBefore w:val="0"/>
        <w:widowControl w:val="0"/>
        <w:wordWrap/>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同意延长投标有效期的投标人少于3个的；</w:t>
      </w:r>
    </w:p>
    <w:p w14:paraId="6236D005">
      <w:pPr>
        <w:keepNext w:val="0"/>
        <w:keepLines w:val="0"/>
        <w:pageBreakBefore w:val="0"/>
        <w:widowControl w:val="0"/>
        <w:wordWrap/>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中标候选人均未与招标人签订合同的。</w:t>
      </w:r>
    </w:p>
    <w:p w14:paraId="24661671">
      <w:pPr>
        <w:keepNext w:val="0"/>
        <w:keepLines w:val="0"/>
        <w:pageBreakBefore w:val="0"/>
        <w:widowControl w:val="0"/>
        <w:wordWrap/>
        <w:topLinePunct w:val="0"/>
        <w:autoSpaceDE/>
        <w:autoSpaceDN/>
        <w:bidi w:val="0"/>
        <w:adjustRightInd/>
        <w:snapToGrid/>
        <w:spacing w:line="380" w:lineRule="exact"/>
        <w:textAlignment w:val="auto"/>
        <w:outlineLvl w:val="2"/>
        <w:rPr>
          <w:rFonts w:hint="eastAsia" w:ascii="宋体" w:hAnsi="宋体" w:eastAsia="宋体" w:cs="宋体"/>
          <w:color w:val="auto"/>
          <w:highlight w:val="none"/>
        </w:rPr>
      </w:pPr>
      <w:r>
        <w:rPr>
          <w:rFonts w:hint="eastAsia" w:ascii="宋体" w:hAnsi="宋体" w:eastAsia="宋体" w:cs="宋体"/>
          <w:color w:val="auto"/>
          <w:highlight w:val="none"/>
        </w:rPr>
        <w:t>　</w:t>
      </w:r>
      <w:bookmarkStart w:id="145" w:name="_Toc6122"/>
      <w:bookmarkStart w:id="146" w:name="_Toc7190"/>
      <w:bookmarkStart w:id="147" w:name="_Toc2059"/>
      <w:bookmarkStart w:id="148" w:name="_Toc11067"/>
      <w:bookmarkStart w:id="149" w:name="_Toc1949"/>
      <w:bookmarkStart w:id="150" w:name="_Toc3499"/>
      <w:r>
        <w:rPr>
          <w:rFonts w:hint="eastAsia" w:ascii="宋体" w:hAnsi="宋体" w:eastAsia="宋体" w:cs="宋体"/>
          <w:color w:val="auto"/>
          <w:highlight w:val="none"/>
        </w:rPr>
        <w:t>8.2　不再招标</w:t>
      </w:r>
      <w:bookmarkEnd w:id="145"/>
      <w:bookmarkEnd w:id="146"/>
      <w:bookmarkEnd w:id="147"/>
      <w:bookmarkEnd w:id="148"/>
      <w:bookmarkEnd w:id="149"/>
      <w:bookmarkEnd w:id="150"/>
    </w:p>
    <w:p w14:paraId="62FB094C">
      <w:pPr>
        <w:keepNext w:val="0"/>
        <w:keepLines w:val="0"/>
        <w:pageBreakBefore w:val="0"/>
        <w:widowControl w:val="0"/>
        <w:wordWrap/>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重新招标后，仍出现本章第8.1条规定情形之一的，属于必须审批的</w:t>
      </w:r>
      <w:r>
        <w:rPr>
          <w:rFonts w:hint="eastAsia" w:ascii="宋体" w:hAnsi="宋体" w:eastAsia="宋体" w:cs="宋体"/>
          <w:i w:val="0"/>
          <w:iCs w:val="0"/>
          <w:color w:val="auto"/>
          <w:highlight w:val="none"/>
          <w:lang w:val="en-US" w:eastAsia="zh-CN"/>
        </w:rPr>
        <w:t>农田建设</w:t>
      </w:r>
      <w:r>
        <w:rPr>
          <w:rFonts w:hint="eastAsia" w:ascii="宋体" w:hAnsi="宋体" w:eastAsia="宋体" w:cs="宋体"/>
          <w:color w:val="auto"/>
          <w:highlight w:val="none"/>
        </w:rPr>
        <w:t>工程建设项目，经行政监督部门批准后不再进行招标。</w:t>
      </w:r>
    </w:p>
    <w:p w14:paraId="51C00F4B">
      <w:pPr>
        <w:keepNext w:val="0"/>
        <w:keepLines w:val="0"/>
        <w:pageBreakBefore w:val="0"/>
        <w:widowControl w:val="0"/>
        <w:wordWrap/>
        <w:topLinePunct w:val="0"/>
        <w:autoSpaceDE/>
        <w:autoSpaceDN/>
        <w:bidi w:val="0"/>
        <w:adjustRightInd/>
        <w:snapToGrid/>
        <w:spacing w:line="380" w:lineRule="exact"/>
        <w:textAlignment w:val="auto"/>
        <w:outlineLvl w:val="1"/>
        <w:rPr>
          <w:rFonts w:hint="eastAsia" w:ascii="宋体" w:hAnsi="宋体" w:eastAsia="宋体" w:cs="宋体"/>
          <w:b/>
          <w:color w:val="auto"/>
          <w:highlight w:val="none"/>
        </w:rPr>
      </w:pPr>
      <w:bookmarkStart w:id="151" w:name="第02章投标人须知09"/>
      <w:bookmarkEnd w:id="151"/>
      <w:bookmarkStart w:id="152" w:name="_Toc31975"/>
      <w:r>
        <w:rPr>
          <w:rFonts w:hint="eastAsia" w:ascii="宋体" w:hAnsi="宋体" w:eastAsia="宋体" w:cs="宋体"/>
          <w:b/>
          <w:color w:val="auto"/>
          <w:highlight w:val="none"/>
        </w:rPr>
        <w:t>9　纪律和监督</w:t>
      </w:r>
      <w:bookmarkEnd w:id="152"/>
    </w:p>
    <w:p w14:paraId="2D74476D">
      <w:pPr>
        <w:keepNext w:val="0"/>
        <w:keepLines w:val="0"/>
        <w:pageBreakBefore w:val="0"/>
        <w:widowControl w:val="0"/>
        <w:wordWrap/>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本节全文引用《标准施工招标文件》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2007年版</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相应条款，并补充以下内容：</w:t>
      </w:r>
    </w:p>
    <w:p w14:paraId="674B9292">
      <w:pPr>
        <w:keepNext w:val="0"/>
        <w:keepLines w:val="0"/>
        <w:pageBreakBefore w:val="0"/>
        <w:widowControl w:val="0"/>
        <w:wordWrap/>
        <w:topLinePunct w:val="0"/>
        <w:autoSpaceDE/>
        <w:autoSpaceDN/>
        <w:bidi w:val="0"/>
        <w:adjustRightInd/>
        <w:snapToGrid/>
        <w:spacing w:line="380" w:lineRule="exact"/>
        <w:textAlignment w:val="auto"/>
        <w:outlineLvl w:val="2"/>
        <w:rPr>
          <w:rFonts w:hint="eastAsia" w:ascii="宋体" w:hAnsi="宋体" w:eastAsia="宋体" w:cs="宋体"/>
          <w:color w:val="auto"/>
          <w:highlight w:val="none"/>
        </w:rPr>
      </w:pPr>
      <w:r>
        <w:rPr>
          <w:rFonts w:hint="eastAsia" w:ascii="宋体" w:hAnsi="宋体" w:eastAsia="宋体" w:cs="宋体"/>
          <w:color w:val="auto"/>
          <w:highlight w:val="none"/>
        </w:rPr>
        <w:t>　　</w:t>
      </w:r>
      <w:bookmarkStart w:id="153" w:name="_Toc4771"/>
      <w:bookmarkStart w:id="154" w:name="_Toc25516"/>
      <w:bookmarkStart w:id="155" w:name="_Toc8385"/>
      <w:bookmarkStart w:id="156" w:name="_Toc5761"/>
      <w:bookmarkStart w:id="157" w:name="_Toc28647"/>
      <w:bookmarkStart w:id="158" w:name="_Toc4634"/>
      <w:r>
        <w:rPr>
          <w:rFonts w:hint="eastAsia" w:ascii="宋体" w:hAnsi="宋体" w:eastAsia="宋体" w:cs="宋体"/>
          <w:color w:val="auto"/>
          <w:highlight w:val="none"/>
        </w:rPr>
        <w:t>9.1　对招标人的纪律要求</w:t>
      </w:r>
      <w:bookmarkEnd w:id="153"/>
      <w:bookmarkEnd w:id="154"/>
      <w:bookmarkEnd w:id="155"/>
      <w:bookmarkEnd w:id="156"/>
      <w:bookmarkEnd w:id="157"/>
      <w:bookmarkEnd w:id="158"/>
    </w:p>
    <w:p w14:paraId="11C4A017">
      <w:pPr>
        <w:keepNext w:val="0"/>
        <w:keepLines w:val="0"/>
        <w:pageBreakBefore w:val="0"/>
        <w:widowControl w:val="0"/>
        <w:wordWrap/>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招标人不得泄漏招标投标活动中应当保密的情况和资料，不得与投标人串通损害国家利益、社会公共利益或者他人合法权益。</w:t>
      </w:r>
    </w:p>
    <w:p w14:paraId="4B38ABC1">
      <w:pPr>
        <w:keepNext w:val="0"/>
        <w:keepLines w:val="0"/>
        <w:pageBreakBefore w:val="0"/>
        <w:widowControl w:val="0"/>
        <w:wordWrap/>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下列行为均属招标人与投标人串通投标：</w:t>
      </w:r>
    </w:p>
    <w:p w14:paraId="4B5FC628">
      <w:pPr>
        <w:keepNext w:val="0"/>
        <w:keepLines w:val="0"/>
        <w:pageBreakBefore w:val="0"/>
        <w:widowControl w:val="0"/>
        <w:wordWrap/>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招标人在开标前开启投标文件，并将投标情况告知其它投标人，或者协助投标人撤换投标文件，更改报价；</w:t>
      </w:r>
    </w:p>
    <w:p w14:paraId="487A43B6">
      <w:pPr>
        <w:keepNext w:val="0"/>
        <w:keepLines w:val="0"/>
        <w:pageBreakBefore w:val="0"/>
        <w:widowControl w:val="0"/>
        <w:wordWrap/>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招标人向投标人泄露标底；</w:t>
      </w:r>
    </w:p>
    <w:p w14:paraId="2CC0027E">
      <w:pPr>
        <w:keepNext w:val="0"/>
        <w:keepLines w:val="0"/>
        <w:pageBreakBefore w:val="0"/>
        <w:widowControl w:val="0"/>
        <w:wordWrap/>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招标人与投标人商定，投标时压低或抬高标价，中标后再给投标人或招标人额外补偿；</w:t>
      </w:r>
    </w:p>
    <w:p w14:paraId="46C7E74B">
      <w:pPr>
        <w:keepNext w:val="0"/>
        <w:keepLines w:val="0"/>
        <w:pageBreakBefore w:val="0"/>
        <w:widowControl w:val="0"/>
        <w:wordWrap/>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招标人预先内定中标人；</w:t>
      </w:r>
    </w:p>
    <w:p w14:paraId="3982B19A">
      <w:pPr>
        <w:keepNext w:val="0"/>
        <w:keepLines w:val="0"/>
        <w:pageBreakBefore w:val="0"/>
        <w:widowControl w:val="0"/>
        <w:wordWrap/>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其它串通投标行为。</w:t>
      </w:r>
    </w:p>
    <w:p w14:paraId="70D49F68">
      <w:pPr>
        <w:keepNext w:val="0"/>
        <w:keepLines w:val="0"/>
        <w:pageBreakBefore w:val="0"/>
        <w:widowControl w:val="0"/>
        <w:wordWrap/>
        <w:topLinePunct w:val="0"/>
        <w:autoSpaceDE/>
        <w:autoSpaceDN/>
        <w:bidi w:val="0"/>
        <w:adjustRightInd/>
        <w:snapToGrid/>
        <w:spacing w:line="380" w:lineRule="exact"/>
        <w:textAlignment w:val="auto"/>
        <w:outlineLvl w:val="2"/>
        <w:rPr>
          <w:rFonts w:hint="eastAsia" w:ascii="宋体" w:hAnsi="宋体" w:eastAsia="宋体" w:cs="宋体"/>
          <w:color w:val="auto"/>
          <w:highlight w:val="none"/>
        </w:rPr>
      </w:pPr>
      <w:r>
        <w:rPr>
          <w:rFonts w:hint="eastAsia" w:ascii="宋体" w:hAnsi="宋体" w:eastAsia="宋体" w:cs="宋体"/>
          <w:color w:val="auto"/>
          <w:highlight w:val="none"/>
        </w:rPr>
        <w:t>　</w:t>
      </w:r>
      <w:bookmarkStart w:id="159" w:name="_Toc8265"/>
      <w:bookmarkStart w:id="160" w:name="_Toc13917"/>
      <w:bookmarkStart w:id="161" w:name="_Toc28974"/>
      <w:bookmarkStart w:id="162" w:name="_Toc14837"/>
      <w:bookmarkStart w:id="163" w:name="_Toc22015"/>
      <w:bookmarkStart w:id="164" w:name="_Toc669"/>
      <w:r>
        <w:rPr>
          <w:rFonts w:hint="eastAsia" w:ascii="宋体" w:hAnsi="宋体" w:eastAsia="宋体" w:cs="宋体"/>
          <w:color w:val="auto"/>
          <w:highlight w:val="none"/>
        </w:rPr>
        <w:t>9.2　对投标人的纪律要求</w:t>
      </w:r>
      <w:bookmarkEnd w:id="159"/>
      <w:bookmarkEnd w:id="160"/>
      <w:bookmarkEnd w:id="161"/>
      <w:bookmarkEnd w:id="162"/>
      <w:bookmarkEnd w:id="163"/>
      <w:bookmarkEnd w:id="164"/>
    </w:p>
    <w:p w14:paraId="10C25518">
      <w:pPr>
        <w:keepNext w:val="0"/>
        <w:keepLines w:val="0"/>
        <w:pageBreakBefore w:val="0"/>
        <w:widowControl w:val="0"/>
        <w:wordWrap/>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投标人不得相互串通投标或者与招标人串通投标，不得向招标人或者评标委员会成员行贿谋取中标，不得以他人名义投标或者以其它方式弄虚作假骗取中标；投标人不得以任何方式干扰、影响评标工作。</w:t>
      </w:r>
    </w:p>
    <w:p w14:paraId="698E8F51">
      <w:pPr>
        <w:keepNext w:val="0"/>
        <w:keepLines w:val="0"/>
        <w:pageBreakBefore w:val="0"/>
        <w:widowControl w:val="0"/>
        <w:wordWrap/>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9.2.1　下列行为均属以他人名义投标：</w:t>
      </w:r>
    </w:p>
    <w:p w14:paraId="47E2AFBB">
      <w:pPr>
        <w:keepNext w:val="0"/>
        <w:keepLines w:val="0"/>
        <w:pageBreakBefore w:val="0"/>
        <w:widowControl w:val="0"/>
        <w:wordWrap/>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投标人挂靠其它施工单位；</w:t>
      </w:r>
    </w:p>
    <w:p w14:paraId="47CAEBEC">
      <w:pPr>
        <w:keepNext w:val="0"/>
        <w:keepLines w:val="0"/>
        <w:pageBreakBefore w:val="0"/>
        <w:widowControl w:val="0"/>
        <w:wordWrap/>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投标人从其它施工单位通过转让或租借的方式获取资格或资质证书；</w:t>
      </w:r>
    </w:p>
    <w:p w14:paraId="7E740EEC">
      <w:pPr>
        <w:keepNext w:val="0"/>
        <w:keepLines w:val="0"/>
        <w:pageBreakBefore w:val="0"/>
        <w:widowControl w:val="0"/>
        <w:wordWrap/>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由其它单位及法定代表人在自己编制的投标文件上加盖印章或签字的行为。</w:t>
      </w:r>
    </w:p>
    <w:p w14:paraId="4827A39A">
      <w:pPr>
        <w:keepNext w:val="0"/>
        <w:keepLines w:val="0"/>
        <w:pageBreakBefore w:val="0"/>
        <w:widowControl w:val="0"/>
        <w:wordWrap/>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9.2.2　下列行为，视为允许他人以本单位名义承揽工程：</w:t>
      </w:r>
    </w:p>
    <w:p w14:paraId="0A5FBD24">
      <w:pPr>
        <w:keepNext w:val="0"/>
        <w:keepLines w:val="0"/>
        <w:pageBreakBefore w:val="0"/>
        <w:widowControl w:val="0"/>
        <w:wordWrap/>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投标人的法定代表人的委托代理人不是投标人本单位人员；</w:t>
      </w:r>
    </w:p>
    <w:p w14:paraId="5157A193">
      <w:pPr>
        <w:keepNext w:val="0"/>
        <w:keepLines w:val="0"/>
        <w:pageBreakBefore w:val="0"/>
        <w:widowControl w:val="0"/>
        <w:wordWrap/>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投标人拟在施工现场所设项目管理机构的项目经理、技术负责人、财务负责人、质量管理人员、安全管理人员</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专职安全生产管理人员</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不是本单位人员。</w:t>
      </w:r>
    </w:p>
    <w:p w14:paraId="6E311973">
      <w:pPr>
        <w:keepNext w:val="0"/>
        <w:keepLines w:val="0"/>
        <w:pageBreakBefore w:val="0"/>
        <w:widowControl w:val="0"/>
        <w:wordWrap/>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投标人本单位人员，必须同时满足以下条件：</w:t>
      </w:r>
    </w:p>
    <w:p w14:paraId="348E476D">
      <w:pPr>
        <w:keepNext w:val="0"/>
        <w:keepLines w:val="0"/>
        <w:pageBreakBefore w:val="0"/>
        <w:widowControl w:val="0"/>
        <w:wordWrap/>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聘任合同必须由投标人单位与之签订；</w:t>
      </w:r>
    </w:p>
    <w:p w14:paraId="529C6C5E">
      <w:pPr>
        <w:keepNext w:val="0"/>
        <w:keepLines w:val="0"/>
        <w:pageBreakBefore w:val="0"/>
        <w:widowControl w:val="0"/>
        <w:wordWrap/>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与投标人单位有合法的工资关系；</w:t>
      </w:r>
    </w:p>
    <w:p w14:paraId="7DD16B81">
      <w:pPr>
        <w:keepNext w:val="0"/>
        <w:keepLines w:val="0"/>
        <w:pageBreakBefore w:val="0"/>
        <w:widowControl w:val="0"/>
        <w:wordWrap/>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投标人单位为其办理社会保险关系，或具有其它有效证明其为本单位人员身份的文件。</w:t>
      </w:r>
    </w:p>
    <w:p w14:paraId="742756B3">
      <w:pPr>
        <w:keepNext w:val="0"/>
        <w:keepLines w:val="0"/>
        <w:pageBreakBefore w:val="0"/>
        <w:widowControl w:val="0"/>
        <w:wordWrap/>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9.2.3　下列行为均属投标人串通投标报价：</w:t>
      </w:r>
    </w:p>
    <w:p w14:paraId="20FF602E">
      <w:pPr>
        <w:keepNext w:val="0"/>
        <w:keepLines w:val="0"/>
        <w:pageBreakBefore w:val="0"/>
        <w:widowControl w:val="0"/>
        <w:wordWrap/>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投标人之间相互约定抬高或压低投标报价；</w:t>
      </w:r>
    </w:p>
    <w:p w14:paraId="0F9B12F4">
      <w:pPr>
        <w:keepNext w:val="0"/>
        <w:keepLines w:val="0"/>
        <w:pageBreakBefore w:val="0"/>
        <w:widowControl w:val="0"/>
        <w:wordWrap/>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投标人之间相互约定，在招标项目中分别以高、中、低价位报价；</w:t>
      </w:r>
    </w:p>
    <w:p w14:paraId="2ED24CC2">
      <w:pPr>
        <w:keepNext w:val="0"/>
        <w:keepLines w:val="0"/>
        <w:pageBreakBefore w:val="0"/>
        <w:widowControl w:val="0"/>
        <w:wordWrap/>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投标人之间先进行内部竞价，内定中标人，然后再参加投标；</w:t>
      </w:r>
    </w:p>
    <w:p w14:paraId="0CF7FB79">
      <w:pPr>
        <w:keepNext w:val="0"/>
        <w:keepLines w:val="0"/>
        <w:pageBreakBefore w:val="0"/>
        <w:widowControl w:val="0"/>
        <w:wordWrap/>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投标人之间其它串通投标报价的行为。</w:t>
      </w:r>
    </w:p>
    <w:p w14:paraId="4FD5088A">
      <w:pPr>
        <w:keepNext w:val="0"/>
        <w:keepLines w:val="0"/>
        <w:pageBreakBefore w:val="0"/>
        <w:widowControl w:val="0"/>
        <w:wordWrap/>
        <w:topLinePunct w:val="0"/>
        <w:autoSpaceDE/>
        <w:autoSpaceDN/>
        <w:bidi w:val="0"/>
        <w:adjustRightInd/>
        <w:snapToGrid/>
        <w:spacing w:line="380" w:lineRule="exact"/>
        <w:textAlignment w:val="auto"/>
        <w:outlineLvl w:val="1"/>
        <w:rPr>
          <w:rFonts w:hint="eastAsia" w:ascii="宋体" w:hAnsi="宋体" w:eastAsia="宋体" w:cs="宋体"/>
          <w:b/>
          <w:color w:val="auto"/>
          <w:highlight w:val="none"/>
        </w:rPr>
      </w:pPr>
      <w:bookmarkStart w:id="165" w:name="第02章投标人须知10"/>
      <w:bookmarkEnd w:id="165"/>
      <w:bookmarkStart w:id="166" w:name="_Toc14300"/>
      <w:r>
        <w:rPr>
          <w:rFonts w:hint="eastAsia" w:ascii="宋体" w:hAnsi="宋体" w:eastAsia="宋体" w:cs="宋体"/>
          <w:b/>
          <w:color w:val="auto"/>
          <w:highlight w:val="none"/>
        </w:rPr>
        <w:t>10　需要补充的其它内容</w:t>
      </w:r>
      <w:bookmarkEnd w:id="166"/>
    </w:p>
    <w:p w14:paraId="327EFF61">
      <w:pPr>
        <w:keepNext w:val="0"/>
        <w:keepLines w:val="0"/>
        <w:pageBreakBefore w:val="0"/>
        <w:widowControl w:val="0"/>
        <w:wordWrap/>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本节全文引用《标准施工招标文件》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2007年版</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相应条款，并补充以下内容：</w:t>
      </w:r>
    </w:p>
    <w:p w14:paraId="35590540">
      <w:pPr>
        <w:keepNext w:val="0"/>
        <w:keepLines w:val="0"/>
        <w:pageBreakBefore w:val="0"/>
        <w:widowControl w:val="0"/>
        <w:wordWrap/>
        <w:topLinePunct w:val="0"/>
        <w:autoSpaceDE/>
        <w:autoSpaceDN/>
        <w:bidi w:val="0"/>
        <w:adjustRightInd/>
        <w:snapToGrid/>
        <w:spacing w:line="380" w:lineRule="exact"/>
        <w:textAlignment w:val="auto"/>
        <w:outlineLvl w:val="2"/>
        <w:rPr>
          <w:rFonts w:hint="eastAsia" w:ascii="宋体" w:hAnsi="宋体" w:eastAsia="宋体" w:cs="宋体"/>
          <w:color w:val="auto"/>
          <w:highlight w:val="none"/>
        </w:rPr>
      </w:pPr>
      <w:r>
        <w:rPr>
          <w:rFonts w:hint="eastAsia" w:ascii="宋体" w:hAnsi="宋体" w:eastAsia="宋体" w:cs="宋体"/>
          <w:color w:val="auto"/>
          <w:highlight w:val="none"/>
        </w:rPr>
        <w:t>　</w:t>
      </w:r>
      <w:bookmarkStart w:id="167" w:name="_Toc29106"/>
      <w:bookmarkStart w:id="168" w:name="_Toc17779"/>
      <w:bookmarkStart w:id="169" w:name="_Toc7840"/>
      <w:bookmarkStart w:id="170" w:name="_Toc4033"/>
      <w:bookmarkStart w:id="171" w:name="_Toc30971"/>
      <w:bookmarkStart w:id="172" w:name="_Toc26700"/>
      <w:r>
        <w:rPr>
          <w:rFonts w:hint="eastAsia" w:ascii="宋体" w:hAnsi="宋体" w:eastAsia="宋体" w:cs="宋体"/>
          <w:color w:val="auto"/>
          <w:highlight w:val="none"/>
        </w:rPr>
        <w:t>10.1　类似项目</w:t>
      </w:r>
      <w:bookmarkEnd w:id="167"/>
      <w:bookmarkEnd w:id="168"/>
      <w:bookmarkEnd w:id="169"/>
      <w:bookmarkEnd w:id="170"/>
      <w:bookmarkEnd w:id="171"/>
      <w:bookmarkEnd w:id="172"/>
    </w:p>
    <w:p w14:paraId="0EB19126">
      <w:pPr>
        <w:keepNext w:val="0"/>
        <w:keepLines w:val="0"/>
        <w:pageBreakBefore w:val="0"/>
        <w:widowControl w:val="0"/>
        <w:wordWrap/>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类似项目的要求见投标人须知前附表。</w:t>
      </w:r>
    </w:p>
    <w:p w14:paraId="05178390">
      <w:pPr>
        <w:keepNext w:val="0"/>
        <w:keepLines w:val="0"/>
        <w:pageBreakBefore w:val="0"/>
        <w:widowControl w:val="0"/>
        <w:wordWrap/>
        <w:topLinePunct w:val="0"/>
        <w:autoSpaceDE/>
        <w:autoSpaceDN/>
        <w:bidi w:val="0"/>
        <w:adjustRightInd/>
        <w:snapToGrid/>
        <w:spacing w:line="380" w:lineRule="exact"/>
        <w:textAlignment w:val="auto"/>
        <w:outlineLvl w:val="2"/>
        <w:rPr>
          <w:rFonts w:hint="eastAsia" w:ascii="宋体" w:hAnsi="宋体" w:eastAsia="宋体" w:cs="宋体"/>
          <w:color w:val="auto"/>
          <w:highlight w:val="none"/>
        </w:rPr>
      </w:pPr>
      <w:r>
        <w:rPr>
          <w:rFonts w:hint="eastAsia" w:ascii="宋体" w:hAnsi="宋体" w:eastAsia="宋体" w:cs="宋体"/>
          <w:color w:val="auto"/>
          <w:highlight w:val="none"/>
        </w:rPr>
        <w:t>　</w:t>
      </w:r>
      <w:bookmarkStart w:id="173" w:name="_Toc28591"/>
      <w:bookmarkStart w:id="174" w:name="_Toc13332"/>
      <w:bookmarkStart w:id="175" w:name="_Toc29215"/>
      <w:bookmarkStart w:id="176" w:name="_Toc27759"/>
      <w:bookmarkStart w:id="177" w:name="_Toc24543"/>
      <w:bookmarkStart w:id="178" w:name="_Toc18343"/>
      <w:r>
        <w:rPr>
          <w:rFonts w:hint="eastAsia" w:ascii="宋体" w:hAnsi="宋体" w:eastAsia="宋体" w:cs="宋体"/>
          <w:color w:val="auto"/>
          <w:highlight w:val="none"/>
        </w:rPr>
        <w:t>10.2　已标价工程量清单电子版</w:t>
      </w:r>
      <w:bookmarkEnd w:id="173"/>
      <w:bookmarkEnd w:id="174"/>
      <w:bookmarkEnd w:id="175"/>
      <w:bookmarkEnd w:id="176"/>
      <w:bookmarkEnd w:id="177"/>
      <w:bookmarkEnd w:id="178"/>
    </w:p>
    <w:p w14:paraId="10DA6A5C">
      <w:pPr>
        <w:keepNext w:val="0"/>
        <w:keepLines w:val="0"/>
        <w:pageBreakBefore w:val="0"/>
        <w:widowControl w:val="0"/>
        <w:wordWrap/>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投标人递交投标文件时，应同时提交已标价工程量清单电子版，</w:t>
      </w:r>
      <w:r>
        <w:rPr>
          <w:rFonts w:hint="eastAsia" w:ascii="宋体" w:hAnsi="宋体" w:eastAsia="宋体" w:cs="宋体"/>
          <w:color w:val="auto"/>
          <w:highlight w:val="none"/>
          <w:lang w:val="en-US" w:eastAsia="zh-CN"/>
        </w:rPr>
        <w:t>要求</w:t>
      </w:r>
      <w:r>
        <w:rPr>
          <w:rFonts w:hint="eastAsia" w:ascii="宋体" w:hAnsi="宋体" w:eastAsia="宋体" w:cs="宋体"/>
          <w:color w:val="auto"/>
          <w:highlight w:val="none"/>
        </w:rPr>
        <w:t>见投标人须知前附表。</w:t>
      </w:r>
    </w:p>
    <w:p w14:paraId="632850F1">
      <w:pPr>
        <w:rPr>
          <w:color w:val="auto"/>
          <w:highlight w:val="none"/>
        </w:rPr>
      </w:pPr>
      <w:bookmarkStart w:id="179" w:name="_Hlt269101499"/>
      <w:bookmarkEnd w:id="179"/>
    </w:p>
    <w:p w14:paraId="5C178343">
      <w:pPr>
        <w:rPr>
          <w:color w:val="auto"/>
          <w:highlight w:val="none"/>
        </w:rPr>
      </w:pPr>
      <w:r>
        <w:rPr>
          <w:color w:val="auto"/>
          <w:highlight w:val="none"/>
        </w:rPr>
        <w:br w:type="page"/>
      </w:r>
    </w:p>
    <w:p w14:paraId="461027CD">
      <w:pPr>
        <w:rPr>
          <w:color w:val="auto"/>
          <w:highlight w:val="none"/>
        </w:rPr>
      </w:pPr>
      <w:r>
        <w:rPr>
          <w:rFonts w:hint="eastAsia"/>
          <w:color w:val="auto"/>
          <w:highlight w:val="none"/>
        </w:rPr>
        <w:t>附件一：</w:t>
      </w:r>
    </w:p>
    <w:p w14:paraId="60216DAA">
      <w:pPr>
        <w:jc w:val="center"/>
        <w:rPr>
          <w:rFonts w:hint="eastAsia"/>
          <w:b/>
          <w:color w:val="auto"/>
          <w:sz w:val="32"/>
          <w:szCs w:val="32"/>
          <w:highlight w:val="none"/>
        </w:rPr>
      </w:pPr>
      <w:bookmarkStart w:id="180" w:name="第02章投标人须知11附件01"/>
      <w:bookmarkEnd w:id="180"/>
      <w:bookmarkStart w:id="181" w:name="_Toc2329"/>
      <w:r>
        <w:rPr>
          <w:rFonts w:hint="eastAsia"/>
          <w:b/>
          <w:color w:val="auto"/>
          <w:sz w:val="32"/>
          <w:szCs w:val="32"/>
          <w:highlight w:val="none"/>
        </w:rPr>
        <w:t>招标文件澄清申请函</w:t>
      </w:r>
      <w:bookmarkEnd w:id="181"/>
    </w:p>
    <w:p w14:paraId="00424A37">
      <w:pPr>
        <w:jc w:val="center"/>
        <w:rPr>
          <w:color w:val="auto"/>
          <w:highlight w:val="none"/>
        </w:rPr>
      </w:pPr>
      <w:r>
        <w:rPr>
          <w:rFonts w:hint="eastAsia"/>
          <w:color w:val="auto"/>
          <w:highlight w:val="none"/>
        </w:rPr>
        <w:t>编号：</w:t>
      </w:r>
      <w:r>
        <w:rPr>
          <w:rFonts w:hint="eastAsia"/>
          <w:color w:val="auto"/>
          <w:highlight w:val="none"/>
          <w:u w:val="single"/>
        </w:rPr>
        <w:t>　　</w:t>
      </w:r>
    </w:p>
    <w:p w14:paraId="404C5307">
      <w:pPr>
        <w:rPr>
          <w:color w:val="auto"/>
          <w:highlight w:val="none"/>
        </w:rPr>
      </w:pPr>
      <w:r>
        <w:rPr>
          <w:rFonts w:hint="eastAsia"/>
          <w:color w:val="auto"/>
          <w:highlight w:val="none"/>
          <w:u w:val="single"/>
        </w:rPr>
        <w:t>　　　　　　　　</w:t>
      </w:r>
      <w:r>
        <w:rPr>
          <w:rFonts w:hint="eastAsia"/>
          <w:color w:val="auto"/>
          <w:highlight w:val="none"/>
        </w:rPr>
        <w:t>　</w:t>
      </w:r>
      <w:r>
        <w:rPr>
          <w:rFonts w:hint="eastAsia"/>
          <w:color w:val="auto"/>
          <w:highlight w:val="none"/>
          <w:lang w:eastAsia="zh-CN"/>
        </w:rPr>
        <w:t>（</w:t>
      </w:r>
      <w:r>
        <w:rPr>
          <w:rFonts w:hint="eastAsia"/>
          <w:color w:val="auto"/>
          <w:highlight w:val="none"/>
        </w:rPr>
        <w:t>招标人名称</w:t>
      </w:r>
      <w:r>
        <w:rPr>
          <w:rFonts w:hint="eastAsia"/>
          <w:color w:val="auto"/>
          <w:highlight w:val="none"/>
          <w:lang w:eastAsia="zh-CN"/>
        </w:rPr>
        <w:t>）</w:t>
      </w:r>
      <w:r>
        <w:rPr>
          <w:rFonts w:hint="eastAsia"/>
          <w:color w:val="auto"/>
          <w:highlight w:val="none"/>
        </w:rPr>
        <w:t>：</w:t>
      </w:r>
    </w:p>
    <w:p w14:paraId="3014CE22">
      <w:pPr>
        <w:rPr>
          <w:color w:val="auto"/>
          <w:highlight w:val="none"/>
        </w:rPr>
      </w:pPr>
      <w:r>
        <w:rPr>
          <w:rFonts w:hint="eastAsia"/>
          <w:color w:val="auto"/>
          <w:highlight w:val="none"/>
        </w:rPr>
        <w:t>　　经过仔细阅读</w:t>
      </w:r>
      <w:r>
        <w:rPr>
          <w:rFonts w:hint="eastAsia"/>
          <w:color w:val="auto"/>
          <w:highlight w:val="none"/>
          <w:u w:val="single"/>
        </w:rPr>
        <w:t>　　　　</w:t>
      </w:r>
      <w:r>
        <w:rPr>
          <w:rFonts w:hint="eastAsia"/>
          <w:color w:val="auto"/>
          <w:highlight w:val="none"/>
          <w:lang w:eastAsia="zh-CN"/>
        </w:rPr>
        <w:t>（</w:t>
      </w:r>
      <w:r>
        <w:rPr>
          <w:rFonts w:hint="eastAsia"/>
          <w:color w:val="auto"/>
          <w:highlight w:val="none"/>
        </w:rPr>
        <w:t>项目名称</w:t>
      </w:r>
      <w:r>
        <w:rPr>
          <w:rFonts w:hint="eastAsia"/>
          <w:color w:val="auto"/>
          <w:highlight w:val="none"/>
          <w:lang w:eastAsia="zh-CN"/>
        </w:rPr>
        <w:t>）</w:t>
      </w:r>
      <w:r>
        <w:rPr>
          <w:rFonts w:hint="eastAsia"/>
          <w:color w:val="auto"/>
          <w:highlight w:val="none"/>
          <w:u w:val="single"/>
        </w:rPr>
        <w:t>　　　　</w:t>
      </w:r>
      <w:r>
        <w:rPr>
          <w:rFonts w:hint="eastAsia"/>
          <w:color w:val="auto"/>
          <w:highlight w:val="none"/>
          <w:lang w:eastAsia="zh-CN"/>
        </w:rPr>
        <w:t>（</w:t>
      </w:r>
      <w:r>
        <w:rPr>
          <w:rFonts w:hint="eastAsia"/>
          <w:color w:val="auto"/>
          <w:highlight w:val="none"/>
        </w:rPr>
        <w:t>标段名称</w:t>
      </w:r>
      <w:r>
        <w:rPr>
          <w:rFonts w:hint="eastAsia"/>
          <w:color w:val="auto"/>
          <w:highlight w:val="none"/>
          <w:lang w:eastAsia="zh-CN"/>
        </w:rPr>
        <w:t>）</w:t>
      </w:r>
      <w:r>
        <w:rPr>
          <w:rFonts w:hint="eastAsia"/>
          <w:color w:val="auto"/>
          <w:highlight w:val="none"/>
        </w:rPr>
        <w:t>招标文件后，我方申请对以下问题予以澄清：</w:t>
      </w:r>
    </w:p>
    <w:p w14:paraId="4E84EA40">
      <w:pPr>
        <w:rPr>
          <w:color w:val="auto"/>
          <w:highlight w:val="none"/>
        </w:rPr>
      </w:pPr>
      <w:r>
        <w:rPr>
          <w:rFonts w:hint="eastAsia"/>
          <w:color w:val="auto"/>
          <w:highlight w:val="none"/>
        </w:rPr>
        <w:t>　　1.……</w:t>
      </w:r>
    </w:p>
    <w:p w14:paraId="33D8CD46">
      <w:pPr>
        <w:rPr>
          <w:color w:val="auto"/>
          <w:highlight w:val="none"/>
        </w:rPr>
      </w:pPr>
      <w:r>
        <w:rPr>
          <w:rFonts w:hint="eastAsia"/>
          <w:color w:val="auto"/>
          <w:highlight w:val="none"/>
        </w:rPr>
        <w:t>　　2.……</w:t>
      </w:r>
    </w:p>
    <w:p w14:paraId="1367BCB9">
      <w:pPr>
        <w:rPr>
          <w:color w:val="auto"/>
          <w:highlight w:val="none"/>
        </w:rPr>
      </w:pPr>
      <w:r>
        <w:rPr>
          <w:rFonts w:hint="eastAsia"/>
          <w:color w:val="auto"/>
          <w:highlight w:val="none"/>
        </w:rPr>
        <w:t>　　……</w:t>
      </w:r>
    </w:p>
    <w:p w14:paraId="4F739A81">
      <w:pPr>
        <w:rPr>
          <w:rFonts w:hint="eastAsia" w:eastAsia="宋体"/>
          <w:color w:val="auto"/>
          <w:highlight w:val="none"/>
          <w:lang w:eastAsia="zh-CN"/>
        </w:rPr>
      </w:pPr>
      <w:r>
        <w:rPr>
          <w:rFonts w:hint="eastAsia"/>
          <w:color w:val="auto"/>
          <w:highlight w:val="none"/>
        </w:rPr>
        <w:t>　　　　　　　　　　　　　　　　　　　　　　　　　　投标人：</w:t>
      </w:r>
      <w:r>
        <w:rPr>
          <w:rFonts w:hint="eastAsia"/>
          <w:color w:val="auto"/>
          <w:highlight w:val="none"/>
          <w:u w:val="single"/>
        </w:rPr>
        <w:t>　　　　　　　</w:t>
      </w:r>
      <w:r>
        <w:rPr>
          <w:rFonts w:hint="eastAsia"/>
          <w:color w:val="auto"/>
          <w:highlight w:val="none"/>
          <w:lang w:eastAsia="zh-CN"/>
        </w:rPr>
        <w:t>（</w:t>
      </w:r>
      <w:r>
        <w:rPr>
          <w:rFonts w:hint="eastAsia"/>
          <w:color w:val="auto"/>
          <w:highlight w:val="none"/>
        </w:rPr>
        <w:t>盖单位章</w:t>
      </w:r>
      <w:r>
        <w:rPr>
          <w:rFonts w:hint="eastAsia"/>
          <w:color w:val="auto"/>
          <w:highlight w:val="none"/>
          <w:lang w:eastAsia="zh-CN"/>
        </w:rPr>
        <w:t>）</w:t>
      </w:r>
    </w:p>
    <w:p w14:paraId="62C9ECCA">
      <w:pPr>
        <w:rPr>
          <w:color w:val="auto"/>
          <w:highlight w:val="none"/>
        </w:rPr>
      </w:pPr>
      <w:r>
        <w:rPr>
          <w:rFonts w:hint="eastAsia"/>
          <w:color w:val="auto"/>
          <w:highlight w:val="none"/>
        </w:rPr>
        <w:t>　　　　　　　　　　　　　　　　　　　　　　　　　　　　　</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5AA8D6AA">
      <w:pPr>
        <w:rPr>
          <w:color w:val="auto"/>
          <w:highlight w:val="none"/>
        </w:rPr>
      </w:pPr>
    </w:p>
    <w:p w14:paraId="64EF5444">
      <w:pPr>
        <w:rPr>
          <w:color w:val="auto"/>
          <w:highlight w:val="none"/>
        </w:rPr>
      </w:pPr>
      <w:r>
        <w:rPr>
          <w:rFonts w:hint="eastAsia"/>
          <w:color w:val="auto"/>
          <w:highlight w:val="none"/>
        </w:rPr>
        <w:t>　　注：投标人要求招标人澄清招标文件有关问题时，适用于本格式。</w:t>
      </w:r>
    </w:p>
    <w:p w14:paraId="4942E25B">
      <w:pPr>
        <w:rPr>
          <w:color w:val="auto"/>
          <w:highlight w:val="none"/>
        </w:rPr>
      </w:pPr>
    </w:p>
    <w:p w14:paraId="0DDF4C7F">
      <w:pPr>
        <w:rPr>
          <w:color w:val="auto"/>
          <w:highlight w:val="none"/>
        </w:rPr>
      </w:pPr>
    </w:p>
    <w:p w14:paraId="255A984E">
      <w:pPr>
        <w:jc w:val="left"/>
        <w:rPr>
          <w:color w:val="auto"/>
          <w:highlight w:val="none"/>
        </w:rPr>
      </w:pPr>
      <w:r>
        <w:rPr>
          <w:rFonts w:hint="eastAsia"/>
          <w:color w:val="auto"/>
          <w:highlight w:val="none"/>
        </w:rPr>
        <w:t>附件二：</w:t>
      </w:r>
    </w:p>
    <w:p w14:paraId="2DE1C340">
      <w:pPr>
        <w:jc w:val="center"/>
        <w:rPr>
          <w:b/>
          <w:color w:val="auto"/>
          <w:sz w:val="32"/>
          <w:szCs w:val="32"/>
          <w:highlight w:val="none"/>
        </w:rPr>
      </w:pPr>
      <w:bookmarkStart w:id="182" w:name="第02章投标人须知11附件02"/>
      <w:bookmarkEnd w:id="182"/>
      <w:r>
        <w:rPr>
          <w:rFonts w:hint="eastAsia"/>
          <w:b/>
          <w:color w:val="auto"/>
          <w:sz w:val="32"/>
          <w:szCs w:val="32"/>
          <w:highlight w:val="none"/>
        </w:rPr>
        <w:t>招标文件澄清通知</w:t>
      </w:r>
    </w:p>
    <w:p w14:paraId="5A815597">
      <w:pPr>
        <w:jc w:val="center"/>
        <w:rPr>
          <w:color w:val="auto"/>
          <w:highlight w:val="none"/>
        </w:rPr>
      </w:pPr>
      <w:r>
        <w:rPr>
          <w:rFonts w:hint="eastAsia"/>
          <w:color w:val="auto"/>
          <w:highlight w:val="none"/>
        </w:rPr>
        <w:t>编号：</w:t>
      </w:r>
      <w:r>
        <w:rPr>
          <w:rFonts w:hint="eastAsia"/>
          <w:color w:val="auto"/>
          <w:highlight w:val="none"/>
          <w:u w:val="single"/>
        </w:rPr>
        <w:t>　　</w:t>
      </w:r>
    </w:p>
    <w:p w14:paraId="70ABF6EF">
      <w:pPr>
        <w:rPr>
          <w:color w:val="auto"/>
          <w:highlight w:val="none"/>
        </w:rPr>
      </w:pPr>
      <w:r>
        <w:rPr>
          <w:rFonts w:hint="eastAsia"/>
          <w:color w:val="auto"/>
          <w:highlight w:val="none"/>
          <w:u w:val="single"/>
        </w:rPr>
        <w:t>　　　　　　　　</w:t>
      </w:r>
      <w:r>
        <w:rPr>
          <w:rFonts w:hint="eastAsia"/>
          <w:color w:val="auto"/>
          <w:highlight w:val="none"/>
          <w:lang w:eastAsia="zh-CN"/>
        </w:rPr>
        <w:t>（</w:t>
      </w:r>
      <w:r>
        <w:rPr>
          <w:rFonts w:hint="eastAsia"/>
          <w:color w:val="auto"/>
          <w:highlight w:val="none"/>
        </w:rPr>
        <w:t>投标人名称</w:t>
      </w:r>
      <w:r>
        <w:rPr>
          <w:rFonts w:hint="eastAsia"/>
          <w:color w:val="auto"/>
          <w:highlight w:val="none"/>
          <w:lang w:eastAsia="zh-CN"/>
        </w:rPr>
        <w:t>）</w:t>
      </w:r>
      <w:r>
        <w:rPr>
          <w:rFonts w:hint="eastAsia"/>
          <w:color w:val="auto"/>
          <w:highlight w:val="none"/>
        </w:rPr>
        <w:t>：</w:t>
      </w:r>
    </w:p>
    <w:p w14:paraId="44BAF6ED">
      <w:pPr>
        <w:rPr>
          <w:color w:val="auto"/>
          <w:highlight w:val="none"/>
        </w:rPr>
      </w:pPr>
      <w:r>
        <w:rPr>
          <w:rFonts w:hint="eastAsia"/>
          <w:color w:val="auto"/>
          <w:highlight w:val="none"/>
        </w:rPr>
        <w:t>　　经研究，对</w:t>
      </w:r>
      <w:r>
        <w:rPr>
          <w:rFonts w:hint="eastAsia"/>
          <w:color w:val="auto"/>
          <w:highlight w:val="none"/>
          <w:u w:val="single"/>
        </w:rPr>
        <w:t>　　　　</w:t>
      </w:r>
      <w:r>
        <w:rPr>
          <w:rFonts w:hint="eastAsia"/>
          <w:color w:val="auto"/>
          <w:highlight w:val="none"/>
          <w:lang w:eastAsia="zh-CN"/>
        </w:rPr>
        <w:t>（</w:t>
      </w:r>
      <w:r>
        <w:rPr>
          <w:rFonts w:hint="eastAsia"/>
          <w:color w:val="auto"/>
          <w:highlight w:val="none"/>
        </w:rPr>
        <w:t>项目名称</w:t>
      </w:r>
      <w:r>
        <w:rPr>
          <w:rFonts w:hint="eastAsia"/>
          <w:color w:val="auto"/>
          <w:highlight w:val="none"/>
          <w:lang w:eastAsia="zh-CN"/>
        </w:rPr>
        <w:t>）</w:t>
      </w:r>
      <w:r>
        <w:rPr>
          <w:rFonts w:hint="eastAsia"/>
          <w:color w:val="auto"/>
          <w:highlight w:val="none"/>
          <w:u w:val="single"/>
        </w:rPr>
        <w:t>　　　　</w:t>
      </w:r>
      <w:r>
        <w:rPr>
          <w:rFonts w:hint="eastAsia"/>
          <w:color w:val="auto"/>
          <w:highlight w:val="none"/>
          <w:lang w:eastAsia="zh-CN"/>
        </w:rPr>
        <w:t>（</w:t>
      </w:r>
      <w:r>
        <w:rPr>
          <w:rFonts w:hint="eastAsia"/>
          <w:color w:val="auto"/>
          <w:highlight w:val="none"/>
        </w:rPr>
        <w:t>标段名称</w:t>
      </w:r>
      <w:r>
        <w:rPr>
          <w:rFonts w:hint="eastAsia"/>
          <w:color w:val="auto"/>
          <w:highlight w:val="none"/>
          <w:lang w:eastAsia="zh-CN"/>
        </w:rPr>
        <w:t>）</w:t>
      </w:r>
      <w:r>
        <w:rPr>
          <w:rFonts w:hint="eastAsia"/>
          <w:color w:val="auto"/>
          <w:highlight w:val="none"/>
        </w:rPr>
        <w:t>招标文件，作如下澄清：</w:t>
      </w:r>
    </w:p>
    <w:p w14:paraId="7351FF95">
      <w:pPr>
        <w:rPr>
          <w:color w:val="auto"/>
          <w:highlight w:val="none"/>
        </w:rPr>
      </w:pPr>
      <w:r>
        <w:rPr>
          <w:rFonts w:hint="eastAsia"/>
          <w:color w:val="auto"/>
          <w:highlight w:val="none"/>
        </w:rPr>
        <w:t>　　1.……</w:t>
      </w:r>
    </w:p>
    <w:p w14:paraId="40CF9364">
      <w:pPr>
        <w:rPr>
          <w:color w:val="auto"/>
          <w:highlight w:val="none"/>
        </w:rPr>
      </w:pPr>
      <w:r>
        <w:rPr>
          <w:rFonts w:hint="eastAsia"/>
          <w:color w:val="auto"/>
          <w:highlight w:val="none"/>
        </w:rPr>
        <w:t>　　2.……</w:t>
      </w:r>
    </w:p>
    <w:p w14:paraId="6BCE9BB1">
      <w:pPr>
        <w:rPr>
          <w:color w:val="auto"/>
          <w:highlight w:val="none"/>
        </w:rPr>
      </w:pPr>
      <w:r>
        <w:rPr>
          <w:rFonts w:hint="eastAsia"/>
          <w:color w:val="auto"/>
          <w:highlight w:val="none"/>
        </w:rPr>
        <w:t>　　……</w:t>
      </w:r>
    </w:p>
    <w:p w14:paraId="487B78E7">
      <w:pPr>
        <w:rPr>
          <w:color w:val="auto"/>
          <w:highlight w:val="none"/>
        </w:rPr>
      </w:pPr>
    </w:p>
    <w:p w14:paraId="70410D50">
      <w:pPr>
        <w:rPr>
          <w:color w:val="auto"/>
          <w:highlight w:val="none"/>
        </w:rPr>
      </w:pPr>
    </w:p>
    <w:p w14:paraId="1C3ADC3D">
      <w:pPr>
        <w:rPr>
          <w:color w:val="auto"/>
          <w:highlight w:val="none"/>
        </w:rPr>
      </w:pPr>
      <w:r>
        <w:rPr>
          <w:rFonts w:hint="eastAsia"/>
          <w:color w:val="auto"/>
          <w:highlight w:val="none"/>
        </w:rPr>
        <w:t>　　请收到本通知后以书面形式按招标文件第2章附件四格式在</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日前回复确认。</w:t>
      </w:r>
    </w:p>
    <w:p w14:paraId="77755C7C">
      <w:pPr>
        <w:rPr>
          <w:rFonts w:hint="eastAsia" w:eastAsia="宋体"/>
          <w:color w:val="auto"/>
          <w:highlight w:val="none"/>
          <w:lang w:eastAsia="zh-CN"/>
        </w:rPr>
      </w:pPr>
      <w:r>
        <w:rPr>
          <w:rFonts w:hint="eastAsia"/>
          <w:color w:val="auto"/>
          <w:highlight w:val="none"/>
        </w:rPr>
        <w:t>　　　　　　　　　　　　　　　　　　　　　　　　　　　招标人：　　　　　　</w:t>
      </w:r>
      <w:r>
        <w:rPr>
          <w:rFonts w:hint="eastAsia"/>
          <w:color w:val="auto"/>
          <w:highlight w:val="none"/>
          <w:lang w:eastAsia="zh-CN"/>
        </w:rPr>
        <w:t>（</w:t>
      </w:r>
      <w:r>
        <w:rPr>
          <w:rFonts w:hint="eastAsia"/>
          <w:color w:val="auto"/>
          <w:highlight w:val="none"/>
        </w:rPr>
        <w:t>盖单位章</w:t>
      </w:r>
      <w:r>
        <w:rPr>
          <w:rFonts w:hint="eastAsia"/>
          <w:color w:val="auto"/>
          <w:highlight w:val="none"/>
          <w:lang w:eastAsia="zh-CN"/>
        </w:rPr>
        <w:t>）</w:t>
      </w:r>
    </w:p>
    <w:p w14:paraId="69C0C685">
      <w:pPr>
        <w:rPr>
          <w:color w:val="auto"/>
          <w:highlight w:val="none"/>
        </w:rPr>
      </w:pPr>
      <w:r>
        <w:rPr>
          <w:rFonts w:hint="eastAsia"/>
          <w:color w:val="auto"/>
          <w:highlight w:val="none"/>
        </w:rPr>
        <w:t>　　　　　　　　　　　　　　　　　　　　　　　　　　　　　　</w:t>
      </w:r>
      <w:r>
        <w:rPr>
          <w:rFonts w:hint="eastAsia"/>
          <w:i/>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418C3533">
      <w:pPr>
        <w:rPr>
          <w:color w:val="auto"/>
          <w:highlight w:val="none"/>
        </w:rPr>
      </w:pPr>
    </w:p>
    <w:p w14:paraId="3AD9B829">
      <w:pPr>
        <w:rPr>
          <w:color w:val="auto"/>
          <w:highlight w:val="none"/>
        </w:rPr>
      </w:pPr>
      <w:r>
        <w:rPr>
          <w:rFonts w:hint="eastAsia"/>
          <w:color w:val="auto"/>
          <w:highlight w:val="none"/>
        </w:rPr>
        <w:t>　　注：招标人对招标文件有关问题澄清时，适用于本格式。招标人可根据需要将附件二与附件三内容合并发出。</w:t>
      </w:r>
    </w:p>
    <w:p w14:paraId="0DDC2590">
      <w:pPr>
        <w:rPr>
          <w:color w:val="auto"/>
          <w:highlight w:val="none"/>
        </w:rPr>
      </w:pPr>
    </w:p>
    <w:p w14:paraId="18FAD1F0">
      <w:pPr>
        <w:rPr>
          <w:color w:val="auto"/>
          <w:highlight w:val="none"/>
        </w:rPr>
      </w:pPr>
    </w:p>
    <w:p w14:paraId="2DF33D40">
      <w:pPr>
        <w:rPr>
          <w:color w:val="auto"/>
          <w:highlight w:val="none"/>
        </w:rPr>
      </w:pPr>
      <w:r>
        <w:rPr>
          <w:rFonts w:hint="eastAsia"/>
          <w:color w:val="auto"/>
          <w:highlight w:val="none"/>
        </w:rPr>
        <w:t>附件三：</w:t>
      </w:r>
    </w:p>
    <w:p w14:paraId="14627385">
      <w:pPr>
        <w:jc w:val="center"/>
        <w:rPr>
          <w:b/>
          <w:color w:val="auto"/>
          <w:sz w:val="32"/>
          <w:szCs w:val="32"/>
          <w:highlight w:val="none"/>
        </w:rPr>
      </w:pPr>
      <w:bookmarkStart w:id="183" w:name="第02章投标人须知11附件03"/>
      <w:bookmarkEnd w:id="183"/>
      <w:r>
        <w:rPr>
          <w:rFonts w:hint="eastAsia"/>
          <w:b/>
          <w:color w:val="auto"/>
          <w:sz w:val="32"/>
          <w:szCs w:val="32"/>
          <w:highlight w:val="none"/>
        </w:rPr>
        <w:t>招标文件修改通知</w:t>
      </w:r>
    </w:p>
    <w:p w14:paraId="64D8D601">
      <w:pPr>
        <w:jc w:val="center"/>
        <w:rPr>
          <w:color w:val="auto"/>
          <w:highlight w:val="none"/>
        </w:rPr>
      </w:pPr>
      <w:r>
        <w:rPr>
          <w:rFonts w:hint="eastAsia"/>
          <w:color w:val="auto"/>
          <w:highlight w:val="none"/>
        </w:rPr>
        <w:t>编号：</w:t>
      </w:r>
      <w:r>
        <w:rPr>
          <w:rFonts w:hint="eastAsia"/>
          <w:color w:val="auto"/>
          <w:highlight w:val="none"/>
          <w:u w:val="single"/>
        </w:rPr>
        <w:t>　　</w:t>
      </w:r>
    </w:p>
    <w:p w14:paraId="58C2C1B7">
      <w:pPr>
        <w:rPr>
          <w:color w:val="auto"/>
          <w:highlight w:val="none"/>
        </w:rPr>
      </w:pPr>
      <w:r>
        <w:rPr>
          <w:rFonts w:hint="eastAsia"/>
          <w:color w:val="auto"/>
          <w:highlight w:val="none"/>
          <w:u w:val="single"/>
        </w:rPr>
        <w:t>　　　　　　　　</w:t>
      </w:r>
      <w:r>
        <w:rPr>
          <w:rFonts w:hint="eastAsia"/>
          <w:color w:val="auto"/>
          <w:highlight w:val="none"/>
          <w:lang w:eastAsia="zh-CN"/>
        </w:rPr>
        <w:t>（</w:t>
      </w:r>
      <w:r>
        <w:rPr>
          <w:rFonts w:hint="eastAsia"/>
          <w:color w:val="auto"/>
          <w:highlight w:val="none"/>
        </w:rPr>
        <w:t>投标人名称</w:t>
      </w:r>
      <w:r>
        <w:rPr>
          <w:rFonts w:hint="eastAsia"/>
          <w:color w:val="auto"/>
          <w:highlight w:val="none"/>
          <w:lang w:eastAsia="zh-CN"/>
        </w:rPr>
        <w:t>）</w:t>
      </w:r>
      <w:r>
        <w:rPr>
          <w:rFonts w:hint="eastAsia"/>
          <w:color w:val="auto"/>
          <w:highlight w:val="none"/>
        </w:rPr>
        <w:t>：</w:t>
      </w:r>
    </w:p>
    <w:p w14:paraId="5D1ED8BB">
      <w:pPr>
        <w:rPr>
          <w:color w:val="auto"/>
          <w:highlight w:val="none"/>
        </w:rPr>
      </w:pPr>
      <w:r>
        <w:rPr>
          <w:rFonts w:hint="eastAsia"/>
          <w:color w:val="auto"/>
          <w:highlight w:val="none"/>
        </w:rPr>
        <w:t>　　经研究，对</w:t>
      </w:r>
      <w:r>
        <w:rPr>
          <w:rFonts w:hint="eastAsia"/>
          <w:color w:val="auto"/>
          <w:highlight w:val="none"/>
          <w:u w:val="single"/>
        </w:rPr>
        <w:t>　　　　</w:t>
      </w:r>
      <w:r>
        <w:rPr>
          <w:rFonts w:hint="eastAsia"/>
          <w:color w:val="auto"/>
          <w:highlight w:val="none"/>
          <w:lang w:eastAsia="zh-CN"/>
        </w:rPr>
        <w:t>（</w:t>
      </w:r>
      <w:r>
        <w:rPr>
          <w:rFonts w:hint="eastAsia"/>
          <w:color w:val="auto"/>
          <w:highlight w:val="none"/>
        </w:rPr>
        <w:t>项目名称</w:t>
      </w:r>
      <w:r>
        <w:rPr>
          <w:rFonts w:hint="eastAsia"/>
          <w:color w:val="auto"/>
          <w:highlight w:val="none"/>
          <w:lang w:eastAsia="zh-CN"/>
        </w:rPr>
        <w:t>）</w:t>
      </w:r>
      <w:r>
        <w:rPr>
          <w:rFonts w:hint="eastAsia"/>
          <w:color w:val="auto"/>
          <w:highlight w:val="none"/>
          <w:u w:val="single"/>
        </w:rPr>
        <w:t>　　　　</w:t>
      </w:r>
      <w:r>
        <w:rPr>
          <w:rFonts w:hint="eastAsia"/>
          <w:color w:val="auto"/>
          <w:highlight w:val="none"/>
          <w:lang w:eastAsia="zh-CN"/>
        </w:rPr>
        <w:t>（</w:t>
      </w:r>
      <w:r>
        <w:rPr>
          <w:rFonts w:hint="eastAsia"/>
          <w:color w:val="auto"/>
          <w:highlight w:val="none"/>
        </w:rPr>
        <w:t>标段名称</w:t>
      </w:r>
      <w:r>
        <w:rPr>
          <w:rFonts w:hint="eastAsia"/>
          <w:color w:val="auto"/>
          <w:highlight w:val="none"/>
          <w:lang w:eastAsia="zh-CN"/>
        </w:rPr>
        <w:t>）</w:t>
      </w:r>
      <w:r>
        <w:rPr>
          <w:rFonts w:hint="eastAsia"/>
          <w:color w:val="auto"/>
          <w:highlight w:val="none"/>
        </w:rPr>
        <w:t>招标文件，作如下修改：</w:t>
      </w:r>
    </w:p>
    <w:p w14:paraId="5A1AB837">
      <w:pPr>
        <w:rPr>
          <w:color w:val="auto"/>
          <w:highlight w:val="none"/>
        </w:rPr>
      </w:pPr>
      <w:r>
        <w:rPr>
          <w:rFonts w:hint="eastAsia"/>
          <w:color w:val="auto"/>
          <w:highlight w:val="none"/>
        </w:rPr>
        <w:t>　　1.……</w:t>
      </w:r>
    </w:p>
    <w:p w14:paraId="6DF16D73">
      <w:pPr>
        <w:rPr>
          <w:color w:val="auto"/>
          <w:highlight w:val="none"/>
        </w:rPr>
      </w:pPr>
      <w:r>
        <w:rPr>
          <w:rFonts w:hint="eastAsia"/>
          <w:color w:val="auto"/>
          <w:highlight w:val="none"/>
        </w:rPr>
        <w:t>　　2.……</w:t>
      </w:r>
    </w:p>
    <w:p w14:paraId="49EF7605">
      <w:pPr>
        <w:rPr>
          <w:color w:val="auto"/>
          <w:highlight w:val="none"/>
        </w:rPr>
      </w:pPr>
      <w:r>
        <w:rPr>
          <w:rFonts w:hint="eastAsia"/>
          <w:color w:val="auto"/>
          <w:highlight w:val="none"/>
        </w:rPr>
        <w:t>　　……</w:t>
      </w:r>
    </w:p>
    <w:p w14:paraId="58FC5FA1">
      <w:pPr>
        <w:rPr>
          <w:color w:val="auto"/>
          <w:highlight w:val="none"/>
        </w:rPr>
      </w:pPr>
      <w:r>
        <w:rPr>
          <w:rFonts w:hint="eastAsia"/>
          <w:color w:val="auto"/>
          <w:highlight w:val="none"/>
        </w:rPr>
        <w:t>　　请收到本通知后以书面形式按招标文件第2章附件四格式在</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日前回复确认。</w:t>
      </w:r>
    </w:p>
    <w:p w14:paraId="48DE6506">
      <w:pPr>
        <w:rPr>
          <w:rFonts w:hint="eastAsia" w:eastAsia="宋体"/>
          <w:color w:val="auto"/>
          <w:highlight w:val="none"/>
          <w:lang w:eastAsia="zh-CN"/>
        </w:rPr>
      </w:pPr>
      <w:r>
        <w:rPr>
          <w:rFonts w:hint="eastAsia"/>
          <w:color w:val="auto"/>
          <w:highlight w:val="none"/>
        </w:rPr>
        <w:t>　　　　　　　　　　　　　　　　　　　　　　　　　　招标人：</w:t>
      </w:r>
      <w:r>
        <w:rPr>
          <w:rFonts w:hint="eastAsia"/>
          <w:color w:val="auto"/>
          <w:highlight w:val="none"/>
          <w:u w:val="single"/>
        </w:rPr>
        <w:t>　　　　　　　　</w:t>
      </w:r>
      <w:r>
        <w:rPr>
          <w:rFonts w:hint="eastAsia"/>
          <w:color w:val="auto"/>
          <w:highlight w:val="none"/>
          <w:lang w:eastAsia="zh-CN"/>
        </w:rPr>
        <w:t>（</w:t>
      </w:r>
      <w:r>
        <w:rPr>
          <w:rFonts w:hint="eastAsia"/>
          <w:color w:val="auto"/>
          <w:highlight w:val="none"/>
        </w:rPr>
        <w:t>盖单位章</w:t>
      </w:r>
      <w:r>
        <w:rPr>
          <w:rFonts w:hint="eastAsia"/>
          <w:color w:val="auto"/>
          <w:highlight w:val="none"/>
          <w:lang w:eastAsia="zh-CN"/>
        </w:rPr>
        <w:t>）</w:t>
      </w:r>
    </w:p>
    <w:p w14:paraId="34C2AB0B">
      <w:pPr>
        <w:rPr>
          <w:color w:val="auto"/>
          <w:highlight w:val="none"/>
        </w:rPr>
      </w:pPr>
      <w:r>
        <w:rPr>
          <w:rFonts w:hint="eastAsia"/>
          <w:color w:val="auto"/>
          <w:highlight w:val="none"/>
        </w:rPr>
        <w:t>　　　　　　　　　　　　　　　　　　　　　　　　　　　　　　</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3E78C8B3">
      <w:pPr>
        <w:rPr>
          <w:color w:val="auto"/>
          <w:highlight w:val="none"/>
        </w:rPr>
      </w:pPr>
    </w:p>
    <w:p w14:paraId="4C851894">
      <w:pPr>
        <w:rPr>
          <w:color w:val="auto"/>
          <w:highlight w:val="none"/>
        </w:rPr>
      </w:pPr>
      <w:r>
        <w:rPr>
          <w:rFonts w:hint="eastAsia"/>
          <w:color w:val="auto"/>
          <w:highlight w:val="none"/>
        </w:rPr>
        <w:t>　　注：招标人对招标文件修改时，适用于本格式。</w:t>
      </w:r>
    </w:p>
    <w:p w14:paraId="319FF328">
      <w:pPr>
        <w:rPr>
          <w:color w:val="auto"/>
          <w:highlight w:val="none"/>
        </w:rPr>
      </w:pPr>
    </w:p>
    <w:p w14:paraId="18B135A9">
      <w:pPr>
        <w:rPr>
          <w:color w:val="auto"/>
          <w:highlight w:val="none"/>
        </w:rPr>
      </w:pPr>
    </w:p>
    <w:p w14:paraId="35E2E2B9">
      <w:pPr>
        <w:rPr>
          <w:color w:val="auto"/>
          <w:highlight w:val="none"/>
        </w:rPr>
      </w:pPr>
      <w:r>
        <w:rPr>
          <w:rFonts w:hint="eastAsia"/>
          <w:color w:val="auto"/>
          <w:highlight w:val="none"/>
        </w:rPr>
        <w:t>附件四：</w:t>
      </w:r>
    </w:p>
    <w:p w14:paraId="2E7A37F6">
      <w:pPr>
        <w:jc w:val="center"/>
        <w:rPr>
          <w:b/>
          <w:color w:val="auto"/>
          <w:sz w:val="32"/>
          <w:szCs w:val="32"/>
          <w:highlight w:val="none"/>
        </w:rPr>
      </w:pPr>
      <w:bookmarkStart w:id="184" w:name="第02章投标人须知11附件04"/>
      <w:bookmarkEnd w:id="184"/>
      <w:r>
        <w:rPr>
          <w:rFonts w:hint="eastAsia"/>
          <w:b/>
          <w:color w:val="auto"/>
          <w:sz w:val="32"/>
          <w:szCs w:val="32"/>
          <w:highlight w:val="none"/>
        </w:rPr>
        <w:t>招标文件澄清通知、修改通知确认函</w:t>
      </w:r>
    </w:p>
    <w:p w14:paraId="5192BF1A">
      <w:pPr>
        <w:jc w:val="center"/>
        <w:rPr>
          <w:color w:val="auto"/>
          <w:highlight w:val="none"/>
        </w:rPr>
      </w:pPr>
      <w:r>
        <w:rPr>
          <w:rFonts w:hint="eastAsia"/>
          <w:color w:val="auto"/>
          <w:highlight w:val="none"/>
        </w:rPr>
        <w:t>编号：</w:t>
      </w:r>
      <w:r>
        <w:rPr>
          <w:rFonts w:hint="eastAsia"/>
          <w:color w:val="auto"/>
          <w:highlight w:val="none"/>
          <w:u w:val="single"/>
        </w:rPr>
        <w:t>　　</w:t>
      </w:r>
    </w:p>
    <w:p w14:paraId="4A09ABC5">
      <w:pPr>
        <w:rPr>
          <w:color w:val="auto"/>
          <w:highlight w:val="none"/>
        </w:rPr>
      </w:pPr>
      <w:r>
        <w:rPr>
          <w:rFonts w:hint="eastAsia"/>
          <w:color w:val="auto"/>
          <w:highlight w:val="none"/>
          <w:u w:val="single"/>
        </w:rPr>
        <w:t>　　　　</w:t>
      </w:r>
      <w:r>
        <w:rPr>
          <w:rFonts w:hint="eastAsia"/>
          <w:color w:val="auto"/>
          <w:highlight w:val="none"/>
          <w:lang w:eastAsia="zh-CN"/>
        </w:rPr>
        <w:t>（</w:t>
      </w:r>
      <w:r>
        <w:rPr>
          <w:rFonts w:hint="eastAsia"/>
          <w:color w:val="auto"/>
          <w:highlight w:val="none"/>
        </w:rPr>
        <w:t>招标人名称</w:t>
      </w:r>
      <w:r>
        <w:rPr>
          <w:rFonts w:hint="eastAsia"/>
          <w:color w:val="auto"/>
          <w:highlight w:val="none"/>
          <w:lang w:eastAsia="zh-CN"/>
        </w:rPr>
        <w:t>）</w:t>
      </w:r>
      <w:r>
        <w:rPr>
          <w:rFonts w:hint="eastAsia"/>
          <w:color w:val="auto"/>
          <w:highlight w:val="none"/>
        </w:rPr>
        <w:t>：</w:t>
      </w:r>
    </w:p>
    <w:p w14:paraId="3269F424">
      <w:pPr>
        <w:rPr>
          <w:color w:val="auto"/>
          <w:highlight w:val="none"/>
        </w:rPr>
      </w:pPr>
      <w:r>
        <w:rPr>
          <w:rFonts w:hint="eastAsia"/>
          <w:color w:val="auto"/>
          <w:highlight w:val="none"/>
        </w:rPr>
        <w:t>　　你方　　　　年　　月　　日发送的　　　　　　</w:t>
      </w:r>
      <w:r>
        <w:rPr>
          <w:rFonts w:hint="eastAsia"/>
          <w:color w:val="auto"/>
          <w:highlight w:val="none"/>
          <w:lang w:eastAsia="zh-CN"/>
        </w:rPr>
        <w:t>（</w:t>
      </w:r>
      <w:r>
        <w:rPr>
          <w:rFonts w:hint="eastAsia"/>
          <w:color w:val="auto"/>
          <w:highlight w:val="none"/>
        </w:rPr>
        <w:t>项目名称</w:t>
      </w:r>
      <w:r>
        <w:rPr>
          <w:rFonts w:hint="eastAsia"/>
          <w:color w:val="auto"/>
          <w:highlight w:val="none"/>
          <w:lang w:eastAsia="zh-CN"/>
        </w:rPr>
        <w:t>）</w:t>
      </w:r>
      <w:r>
        <w:rPr>
          <w:rFonts w:hint="eastAsia"/>
          <w:color w:val="auto"/>
          <w:highlight w:val="none"/>
        </w:rPr>
        <w:t>　　　　　</w:t>
      </w:r>
      <w:r>
        <w:rPr>
          <w:rFonts w:hint="eastAsia"/>
          <w:color w:val="auto"/>
          <w:highlight w:val="none"/>
          <w:lang w:eastAsia="zh-CN"/>
        </w:rPr>
        <w:t>（</w:t>
      </w:r>
      <w:r>
        <w:rPr>
          <w:rFonts w:hint="eastAsia"/>
          <w:color w:val="auto"/>
          <w:highlight w:val="none"/>
        </w:rPr>
        <w:t>标段名称</w:t>
      </w:r>
      <w:r>
        <w:rPr>
          <w:rFonts w:hint="eastAsia"/>
          <w:color w:val="auto"/>
          <w:highlight w:val="none"/>
          <w:lang w:eastAsia="zh-CN"/>
        </w:rPr>
        <w:t>）</w:t>
      </w:r>
      <w:r>
        <w:rPr>
          <w:rFonts w:hint="eastAsia"/>
          <w:color w:val="auto"/>
          <w:highlight w:val="none"/>
        </w:rPr>
        <w:t>招标文件问题　　　　　　</w:t>
      </w:r>
      <w:r>
        <w:rPr>
          <w:rFonts w:hint="eastAsia"/>
          <w:color w:val="auto"/>
          <w:highlight w:val="none"/>
          <w:lang w:eastAsia="zh-CN"/>
        </w:rPr>
        <w:t>（</w:t>
      </w:r>
      <w:r>
        <w:rPr>
          <w:rFonts w:hint="eastAsia"/>
          <w:color w:val="auto"/>
          <w:highlight w:val="none"/>
        </w:rPr>
        <w:t>澄清通知／修改通知</w:t>
      </w:r>
      <w:r>
        <w:rPr>
          <w:rFonts w:hint="eastAsia"/>
          <w:color w:val="auto"/>
          <w:highlight w:val="none"/>
          <w:lang w:eastAsia="zh-CN"/>
        </w:rPr>
        <w:t>）</w:t>
      </w:r>
      <w:r>
        <w:rPr>
          <w:rFonts w:hint="eastAsia"/>
          <w:color w:val="auto"/>
          <w:highlight w:val="none"/>
        </w:rPr>
        <w:t>，我方已于　　　　年　　月　　日收到，通知的主要内容如下：</w:t>
      </w:r>
    </w:p>
    <w:p w14:paraId="4603581A">
      <w:pPr>
        <w:rPr>
          <w:color w:val="auto"/>
          <w:highlight w:val="none"/>
        </w:rPr>
      </w:pPr>
      <w:r>
        <w:rPr>
          <w:rFonts w:hint="eastAsia"/>
          <w:color w:val="auto"/>
          <w:highlight w:val="none"/>
        </w:rPr>
        <w:t>　　</w:t>
      </w:r>
      <w:r>
        <w:rPr>
          <w:rFonts w:hint="eastAsia"/>
          <w:color w:val="auto"/>
          <w:highlight w:val="none"/>
          <w:u w:val="single"/>
        </w:rPr>
        <w:t>　　　　</w:t>
      </w:r>
      <w:r>
        <w:rPr>
          <w:rFonts w:hint="eastAsia"/>
          <w:color w:val="auto"/>
          <w:highlight w:val="none"/>
        </w:rPr>
        <w:t>年　　月　　日，　　　　</w:t>
      </w:r>
      <w:r>
        <w:rPr>
          <w:rFonts w:hint="eastAsia"/>
          <w:color w:val="auto"/>
          <w:highlight w:val="none"/>
          <w:lang w:eastAsia="zh-CN"/>
        </w:rPr>
        <w:t>（</w:t>
      </w:r>
      <w:r>
        <w:rPr>
          <w:rFonts w:hint="eastAsia"/>
          <w:color w:val="auto"/>
          <w:highlight w:val="none"/>
        </w:rPr>
        <w:t>文件名称及编号</w:t>
      </w:r>
      <w:r>
        <w:rPr>
          <w:rFonts w:hint="eastAsia"/>
          <w:color w:val="auto"/>
          <w:highlight w:val="none"/>
          <w:lang w:eastAsia="zh-CN"/>
        </w:rPr>
        <w:t>）</w:t>
      </w:r>
      <w:r>
        <w:rPr>
          <w:rFonts w:hint="eastAsia"/>
          <w:color w:val="auto"/>
          <w:highlight w:val="none"/>
        </w:rPr>
        <w:t>，共　　　　</w:t>
      </w:r>
      <w:r>
        <w:rPr>
          <w:rFonts w:hint="eastAsia"/>
          <w:color w:val="auto"/>
          <w:highlight w:val="none"/>
          <w:lang w:eastAsia="zh-CN"/>
        </w:rPr>
        <w:t>（</w:t>
      </w:r>
      <w:r>
        <w:rPr>
          <w:rFonts w:hint="eastAsia"/>
          <w:color w:val="auto"/>
          <w:highlight w:val="none"/>
        </w:rPr>
        <w:t>页码总数</w:t>
      </w:r>
      <w:r>
        <w:rPr>
          <w:rFonts w:hint="eastAsia"/>
          <w:color w:val="auto"/>
          <w:highlight w:val="none"/>
          <w:lang w:eastAsia="zh-CN"/>
        </w:rPr>
        <w:t>）</w:t>
      </w:r>
      <w:r>
        <w:rPr>
          <w:rFonts w:hint="eastAsia"/>
          <w:color w:val="auto"/>
          <w:highlight w:val="none"/>
        </w:rPr>
        <w:t>　　</w:t>
      </w:r>
      <w:r>
        <w:rPr>
          <w:rFonts w:hint="eastAsia"/>
          <w:color w:val="auto"/>
          <w:highlight w:val="none"/>
          <w:lang w:eastAsia="zh-CN"/>
        </w:rPr>
        <w:t>（</w:t>
      </w:r>
      <w:r>
        <w:rPr>
          <w:rFonts w:hint="eastAsia"/>
          <w:color w:val="auto"/>
          <w:highlight w:val="none"/>
        </w:rPr>
        <w:t>条款总数</w:t>
      </w:r>
      <w:r>
        <w:rPr>
          <w:rFonts w:hint="eastAsia"/>
          <w:color w:val="auto"/>
          <w:highlight w:val="none"/>
          <w:lang w:eastAsia="zh-CN"/>
        </w:rPr>
        <w:t>）</w:t>
      </w:r>
      <w:r>
        <w:rPr>
          <w:rFonts w:hint="eastAsia"/>
          <w:color w:val="auto"/>
          <w:highlight w:val="none"/>
        </w:rPr>
        <w:t>；</w:t>
      </w:r>
    </w:p>
    <w:p w14:paraId="3DAD2BDE">
      <w:pPr>
        <w:rPr>
          <w:color w:val="auto"/>
          <w:highlight w:val="none"/>
        </w:rPr>
      </w:pPr>
      <w:r>
        <w:rPr>
          <w:rFonts w:hint="eastAsia"/>
          <w:color w:val="auto"/>
          <w:highlight w:val="none"/>
        </w:rPr>
        <w:t>　　……</w:t>
      </w:r>
    </w:p>
    <w:p w14:paraId="030468B2">
      <w:pPr>
        <w:rPr>
          <w:color w:val="auto"/>
          <w:highlight w:val="none"/>
        </w:rPr>
      </w:pPr>
      <w:r>
        <w:rPr>
          <w:rFonts w:hint="eastAsia"/>
          <w:color w:val="auto"/>
          <w:highlight w:val="none"/>
        </w:rPr>
        <w:t>　　特此确认。</w:t>
      </w:r>
    </w:p>
    <w:p w14:paraId="4EB839F0">
      <w:pPr>
        <w:rPr>
          <w:rFonts w:hint="eastAsia" w:eastAsia="宋体"/>
          <w:color w:val="auto"/>
          <w:highlight w:val="none"/>
          <w:lang w:eastAsia="zh-CN"/>
        </w:rPr>
      </w:pPr>
      <w:r>
        <w:rPr>
          <w:rFonts w:hint="eastAsia"/>
          <w:color w:val="auto"/>
          <w:highlight w:val="none"/>
        </w:rPr>
        <w:t>　　　　　　　　　　　　　　　　　　　　　　　　　　投标人：</w:t>
      </w:r>
      <w:r>
        <w:rPr>
          <w:rFonts w:hint="eastAsia"/>
          <w:color w:val="auto"/>
          <w:highlight w:val="none"/>
          <w:u w:val="single"/>
        </w:rPr>
        <w:t>　　　　　　　　</w:t>
      </w:r>
      <w:r>
        <w:rPr>
          <w:rFonts w:hint="eastAsia"/>
          <w:color w:val="auto"/>
          <w:highlight w:val="none"/>
          <w:lang w:eastAsia="zh-CN"/>
        </w:rPr>
        <w:t>（</w:t>
      </w:r>
      <w:r>
        <w:rPr>
          <w:rFonts w:hint="eastAsia"/>
          <w:color w:val="auto"/>
          <w:highlight w:val="none"/>
        </w:rPr>
        <w:t>盖单位章</w:t>
      </w:r>
      <w:r>
        <w:rPr>
          <w:rFonts w:hint="eastAsia"/>
          <w:color w:val="auto"/>
          <w:highlight w:val="none"/>
          <w:lang w:eastAsia="zh-CN"/>
        </w:rPr>
        <w:t>）</w:t>
      </w:r>
    </w:p>
    <w:p w14:paraId="057E84D6">
      <w:pPr>
        <w:rPr>
          <w:color w:val="auto"/>
          <w:highlight w:val="none"/>
        </w:rPr>
      </w:pPr>
      <w:r>
        <w:rPr>
          <w:rFonts w:hint="eastAsia"/>
          <w:color w:val="auto"/>
          <w:highlight w:val="none"/>
        </w:rPr>
        <w:t>　　　　　　　　　　　　　　　　　　　　　　　　　　　　　　</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2FEC2D7C">
      <w:pPr>
        <w:rPr>
          <w:color w:val="auto"/>
          <w:highlight w:val="none"/>
        </w:rPr>
      </w:pPr>
      <w:r>
        <w:rPr>
          <w:rFonts w:hint="eastAsia"/>
          <w:color w:val="auto"/>
          <w:highlight w:val="none"/>
        </w:rPr>
        <w:t>　　注：收到招标文件澄清通知或修改通知后，投标人向招标人发出确认函时，适用于本格式。</w:t>
      </w:r>
    </w:p>
    <w:p w14:paraId="28E19288">
      <w:pPr>
        <w:rPr>
          <w:color w:val="auto"/>
          <w:highlight w:val="none"/>
        </w:rPr>
      </w:pPr>
    </w:p>
    <w:p w14:paraId="72EE3ECD">
      <w:pPr>
        <w:rPr>
          <w:color w:val="auto"/>
          <w:highlight w:val="none"/>
        </w:rPr>
      </w:pPr>
    </w:p>
    <w:p w14:paraId="68279AAA">
      <w:pPr>
        <w:rPr>
          <w:color w:val="auto"/>
          <w:highlight w:val="none"/>
        </w:rPr>
      </w:pPr>
    </w:p>
    <w:p w14:paraId="58F9332F">
      <w:pPr>
        <w:rPr>
          <w:color w:val="auto"/>
          <w:highlight w:val="none"/>
        </w:rPr>
      </w:pPr>
    </w:p>
    <w:p w14:paraId="42DC7713">
      <w:pPr>
        <w:rPr>
          <w:color w:val="auto"/>
          <w:highlight w:val="none"/>
        </w:rPr>
      </w:pPr>
      <w:r>
        <w:rPr>
          <w:rFonts w:hint="eastAsia"/>
          <w:color w:val="auto"/>
          <w:highlight w:val="none"/>
        </w:rPr>
        <w:t>附件五：</w:t>
      </w:r>
    </w:p>
    <w:p w14:paraId="61DD598E">
      <w:pPr>
        <w:jc w:val="center"/>
        <w:rPr>
          <w:b/>
          <w:color w:val="auto"/>
          <w:sz w:val="32"/>
          <w:szCs w:val="32"/>
          <w:highlight w:val="none"/>
        </w:rPr>
      </w:pPr>
      <w:bookmarkStart w:id="185" w:name="第02章投标人须知11附件05"/>
      <w:bookmarkEnd w:id="185"/>
      <w:r>
        <w:rPr>
          <w:rFonts w:hint="eastAsia"/>
          <w:b/>
          <w:color w:val="auto"/>
          <w:sz w:val="32"/>
          <w:szCs w:val="32"/>
          <w:highlight w:val="none"/>
        </w:rPr>
        <w:t>开标记录表</w:t>
      </w:r>
    </w:p>
    <w:p w14:paraId="0557035B">
      <w:pPr>
        <w:jc w:val="center"/>
        <w:rPr>
          <w:rFonts w:hint="eastAsia" w:eastAsia="宋体"/>
          <w:color w:val="auto"/>
          <w:highlight w:val="none"/>
          <w:lang w:eastAsia="zh-CN"/>
        </w:rPr>
      </w:pPr>
      <w:r>
        <w:rPr>
          <w:rFonts w:hint="eastAsia"/>
          <w:color w:val="auto"/>
          <w:highlight w:val="none"/>
          <w:u w:val="single"/>
        </w:rPr>
        <w:t>　　　　　　　</w:t>
      </w:r>
      <w:r>
        <w:rPr>
          <w:rFonts w:hint="eastAsia"/>
          <w:color w:val="auto"/>
          <w:highlight w:val="none"/>
          <w:lang w:eastAsia="zh-CN"/>
        </w:rPr>
        <w:t>（</w:t>
      </w:r>
      <w:r>
        <w:rPr>
          <w:rFonts w:hint="eastAsia"/>
          <w:color w:val="auto"/>
          <w:highlight w:val="none"/>
        </w:rPr>
        <w:t>项目名称</w:t>
      </w:r>
      <w:r>
        <w:rPr>
          <w:rFonts w:hint="eastAsia"/>
          <w:color w:val="auto"/>
          <w:highlight w:val="none"/>
          <w:lang w:eastAsia="zh-CN"/>
        </w:rPr>
        <w:t>）</w:t>
      </w:r>
      <w:r>
        <w:rPr>
          <w:rFonts w:hint="eastAsia"/>
          <w:color w:val="auto"/>
          <w:highlight w:val="none"/>
          <w:u w:val="single"/>
        </w:rPr>
        <w:t>　　　　　</w:t>
      </w:r>
      <w:r>
        <w:rPr>
          <w:rFonts w:hint="eastAsia"/>
          <w:color w:val="auto"/>
          <w:highlight w:val="none"/>
          <w:lang w:eastAsia="zh-CN"/>
        </w:rPr>
        <w:t>（</w:t>
      </w:r>
      <w:r>
        <w:rPr>
          <w:rFonts w:hint="eastAsia"/>
          <w:color w:val="auto"/>
          <w:highlight w:val="none"/>
        </w:rPr>
        <w:t>标段名称</w:t>
      </w:r>
      <w:r>
        <w:rPr>
          <w:rFonts w:hint="eastAsia"/>
          <w:color w:val="auto"/>
          <w:highlight w:val="none"/>
          <w:lang w:eastAsia="zh-CN"/>
        </w:rPr>
        <w:t>）</w:t>
      </w:r>
    </w:p>
    <w:p w14:paraId="06CFBC50">
      <w:pPr>
        <w:jc w:val="center"/>
        <w:rPr>
          <w:color w:val="auto"/>
          <w:highlight w:val="none"/>
        </w:rPr>
      </w:pPr>
      <w:r>
        <w:rPr>
          <w:rFonts w:hint="eastAsia"/>
          <w:color w:val="auto"/>
          <w:highlight w:val="none"/>
        </w:rPr>
        <w:t>开标时间：</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r>
        <w:rPr>
          <w:rFonts w:hint="eastAsia"/>
          <w:color w:val="auto"/>
          <w:highlight w:val="none"/>
          <w:u w:val="single"/>
        </w:rPr>
        <w:t>　　</w:t>
      </w:r>
      <w:r>
        <w:rPr>
          <w:rFonts w:hint="eastAsia"/>
          <w:color w:val="auto"/>
          <w:highlight w:val="none"/>
        </w:rPr>
        <w:t>时</w:t>
      </w:r>
      <w:r>
        <w:rPr>
          <w:rFonts w:hint="eastAsia"/>
          <w:color w:val="auto"/>
          <w:highlight w:val="none"/>
          <w:u w:val="single"/>
        </w:rPr>
        <w:t>　　</w:t>
      </w:r>
      <w:r>
        <w:rPr>
          <w:rFonts w:hint="eastAsia"/>
          <w:color w:val="auto"/>
          <w:highlight w:val="none"/>
        </w:rPr>
        <w:t>分</w:t>
      </w:r>
    </w:p>
    <w:tbl>
      <w:tblPr>
        <w:tblStyle w:val="2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7"/>
        <w:gridCol w:w="851"/>
        <w:gridCol w:w="1134"/>
        <w:gridCol w:w="992"/>
        <w:gridCol w:w="1134"/>
        <w:gridCol w:w="1134"/>
        <w:gridCol w:w="1798"/>
        <w:gridCol w:w="1280"/>
      </w:tblGrid>
      <w:tr w14:paraId="312BF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tcPr>
          <w:p w14:paraId="3EE87884">
            <w:pPr>
              <w:rPr>
                <w:color w:val="auto"/>
                <w:highlight w:val="none"/>
              </w:rPr>
            </w:pPr>
            <w:r>
              <w:rPr>
                <w:rFonts w:hint="eastAsia"/>
                <w:color w:val="auto"/>
                <w:highlight w:val="none"/>
              </w:rPr>
              <w:t>序号</w:t>
            </w:r>
          </w:p>
        </w:tc>
        <w:tc>
          <w:tcPr>
            <w:tcW w:w="851" w:type="dxa"/>
          </w:tcPr>
          <w:p w14:paraId="251B5CCA">
            <w:pPr>
              <w:rPr>
                <w:color w:val="auto"/>
                <w:highlight w:val="none"/>
              </w:rPr>
            </w:pPr>
            <w:r>
              <w:rPr>
                <w:rFonts w:hint="eastAsia"/>
                <w:color w:val="auto"/>
                <w:highlight w:val="none"/>
              </w:rPr>
              <w:t>投标人</w:t>
            </w:r>
          </w:p>
        </w:tc>
        <w:tc>
          <w:tcPr>
            <w:tcW w:w="1134" w:type="dxa"/>
          </w:tcPr>
          <w:p w14:paraId="3B48D0BA">
            <w:pPr>
              <w:rPr>
                <w:color w:val="auto"/>
                <w:highlight w:val="none"/>
              </w:rPr>
            </w:pPr>
            <w:r>
              <w:rPr>
                <w:rFonts w:hint="eastAsia"/>
                <w:color w:val="auto"/>
                <w:highlight w:val="none"/>
              </w:rPr>
              <w:t>密封情况</w:t>
            </w:r>
          </w:p>
        </w:tc>
        <w:tc>
          <w:tcPr>
            <w:tcW w:w="992" w:type="dxa"/>
          </w:tcPr>
          <w:p w14:paraId="67852B3F">
            <w:pPr>
              <w:rPr>
                <w:color w:val="auto"/>
                <w:highlight w:val="none"/>
              </w:rPr>
            </w:pPr>
            <w:r>
              <w:rPr>
                <w:rFonts w:hint="eastAsia"/>
                <w:color w:val="auto"/>
                <w:highlight w:val="none"/>
              </w:rPr>
              <w:t>投标保证金</w:t>
            </w:r>
          </w:p>
        </w:tc>
        <w:tc>
          <w:tcPr>
            <w:tcW w:w="1134" w:type="dxa"/>
          </w:tcPr>
          <w:p w14:paraId="40EFC7F9">
            <w:pPr>
              <w:rPr>
                <w:rFonts w:hint="eastAsia" w:eastAsia="宋体"/>
                <w:color w:val="auto"/>
                <w:highlight w:val="none"/>
                <w:lang w:eastAsia="zh-CN"/>
              </w:rPr>
            </w:pPr>
            <w:r>
              <w:rPr>
                <w:rFonts w:hint="eastAsia"/>
                <w:color w:val="auto"/>
                <w:highlight w:val="none"/>
              </w:rPr>
              <w:t>投标报价</w:t>
            </w:r>
            <w:r>
              <w:rPr>
                <w:rFonts w:hint="eastAsia"/>
                <w:color w:val="auto"/>
                <w:highlight w:val="none"/>
                <w:lang w:eastAsia="zh-CN"/>
              </w:rPr>
              <w:t>（</w:t>
            </w:r>
            <w:r>
              <w:rPr>
                <w:rFonts w:hint="eastAsia"/>
                <w:color w:val="auto"/>
                <w:highlight w:val="none"/>
              </w:rPr>
              <w:t>元</w:t>
            </w:r>
            <w:r>
              <w:rPr>
                <w:rFonts w:hint="eastAsia"/>
                <w:color w:val="auto"/>
                <w:highlight w:val="none"/>
                <w:lang w:eastAsia="zh-CN"/>
              </w:rPr>
              <w:t>）</w:t>
            </w:r>
          </w:p>
        </w:tc>
        <w:tc>
          <w:tcPr>
            <w:tcW w:w="1134" w:type="dxa"/>
          </w:tcPr>
          <w:p w14:paraId="5C7FCAD1">
            <w:pPr>
              <w:rPr>
                <w:color w:val="auto"/>
                <w:highlight w:val="none"/>
              </w:rPr>
            </w:pPr>
            <w:r>
              <w:rPr>
                <w:rFonts w:hint="eastAsia"/>
                <w:color w:val="auto"/>
                <w:highlight w:val="none"/>
              </w:rPr>
              <w:t>质量目标</w:t>
            </w:r>
          </w:p>
        </w:tc>
        <w:tc>
          <w:tcPr>
            <w:tcW w:w="1798" w:type="dxa"/>
          </w:tcPr>
          <w:p w14:paraId="02AA3C02">
            <w:pPr>
              <w:rPr>
                <w:color w:val="auto"/>
                <w:highlight w:val="none"/>
              </w:rPr>
            </w:pPr>
            <w:r>
              <w:rPr>
                <w:rFonts w:hint="eastAsia"/>
                <w:color w:val="auto"/>
                <w:highlight w:val="none"/>
              </w:rPr>
              <w:t>工期</w:t>
            </w:r>
          </w:p>
        </w:tc>
        <w:tc>
          <w:tcPr>
            <w:tcW w:w="1280" w:type="dxa"/>
          </w:tcPr>
          <w:p w14:paraId="49931FF9">
            <w:pPr>
              <w:rPr>
                <w:color w:val="auto"/>
                <w:highlight w:val="none"/>
              </w:rPr>
            </w:pPr>
            <w:r>
              <w:rPr>
                <w:rFonts w:hint="eastAsia"/>
                <w:color w:val="auto"/>
                <w:highlight w:val="none"/>
              </w:rPr>
              <w:t>备注</w:t>
            </w:r>
          </w:p>
        </w:tc>
      </w:tr>
      <w:tr w14:paraId="13C54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tcPr>
          <w:p w14:paraId="7126195F">
            <w:pPr>
              <w:rPr>
                <w:color w:val="auto"/>
                <w:highlight w:val="none"/>
              </w:rPr>
            </w:pPr>
          </w:p>
        </w:tc>
        <w:tc>
          <w:tcPr>
            <w:tcW w:w="851" w:type="dxa"/>
          </w:tcPr>
          <w:p w14:paraId="64A28723">
            <w:pPr>
              <w:rPr>
                <w:color w:val="auto"/>
                <w:highlight w:val="none"/>
              </w:rPr>
            </w:pPr>
          </w:p>
        </w:tc>
        <w:tc>
          <w:tcPr>
            <w:tcW w:w="1134" w:type="dxa"/>
          </w:tcPr>
          <w:p w14:paraId="7DF16B23">
            <w:pPr>
              <w:rPr>
                <w:color w:val="auto"/>
                <w:highlight w:val="none"/>
              </w:rPr>
            </w:pPr>
          </w:p>
        </w:tc>
        <w:tc>
          <w:tcPr>
            <w:tcW w:w="992" w:type="dxa"/>
          </w:tcPr>
          <w:p w14:paraId="3033C9AC">
            <w:pPr>
              <w:rPr>
                <w:color w:val="auto"/>
                <w:highlight w:val="none"/>
              </w:rPr>
            </w:pPr>
          </w:p>
        </w:tc>
        <w:tc>
          <w:tcPr>
            <w:tcW w:w="1134" w:type="dxa"/>
          </w:tcPr>
          <w:p w14:paraId="42C3CA10">
            <w:pPr>
              <w:rPr>
                <w:color w:val="auto"/>
                <w:highlight w:val="none"/>
              </w:rPr>
            </w:pPr>
          </w:p>
        </w:tc>
        <w:tc>
          <w:tcPr>
            <w:tcW w:w="1134" w:type="dxa"/>
          </w:tcPr>
          <w:p w14:paraId="215B7F39">
            <w:pPr>
              <w:rPr>
                <w:color w:val="auto"/>
                <w:highlight w:val="none"/>
              </w:rPr>
            </w:pPr>
          </w:p>
        </w:tc>
        <w:tc>
          <w:tcPr>
            <w:tcW w:w="1798" w:type="dxa"/>
          </w:tcPr>
          <w:p w14:paraId="34B8A68A">
            <w:pPr>
              <w:rPr>
                <w:color w:val="auto"/>
                <w:highlight w:val="none"/>
              </w:rPr>
            </w:pPr>
          </w:p>
        </w:tc>
        <w:tc>
          <w:tcPr>
            <w:tcW w:w="1280" w:type="dxa"/>
          </w:tcPr>
          <w:p w14:paraId="2CFC6DF1">
            <w:pPr>
              <w:rPr>
                <w:color w:val="auto"/>
                <w:highlight w:val="none"/>
              </w:rPr>
            </w:pPr>
          </w:p>
        </w:tc>
      </w:tr>
      <w:tr w14:paraId="77963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tcPr>
          <w:p w14:paraId="41256FD1">
            <w:pPr>
              <w:rPr>
                <w:color w:val="auto"/>
                <w:highlight w:val="none"/>
              </w:rPr>
            </w:pPr>
          </w:p>
        </w:tc>
        <w:tc>
          <w:tcPr>
            <w:tcW w:w="851" w:type="dxa"/>
          </w:tcPr>
          <w:p w14:paraId="54CC9DB4">
            <w:pPr>
              <w:rPr>
                <w:color w:val="auto"/>
                <w:highlight w:val="none"/>
              </w:rPr>
            </w:pPr>
          </w:p>
        </w:tc>
        <w:tc>
          <w:tcPr>
            <w:tcW w:w="1134" w:type="dxa"/>
          </w:tcPr>
          <w:p w14:paraId="42C4E125">
            <w:pPr>
              <w:rPr>
                <w:color w:val="auto"/>
                <w:highlight w:val="none"/>
              </w:rPr>
            </w:pPr>
          </w:p>
        </w:tc>
        <w:tc>
          <w:tcPr>
            <w:tcW w:w="992" w:type="dxa"/>
          </w:tcPr>
          <w:p w14:paraId="60296385">
            <w:pPr>
              <w:rPr>
                <w:color w:val="auto"/>
                <w:highlight w:val="none"/>
              </w:rPr>
            </w:pPr>
          </w:p>
        </w:tc>
        <w:tc>
          <w:tcPr>
            <w:tcW w:w="1134" w:type="dxa"/>
          </w:tcPr>
          <w:p w14:paraId="71ACAA54">
            <w:pPr>
              <w:rPr>
                <w:color w:val="auto"/>
                <w:highlight w:val="none"/>
              </w:rPr>
            </w:pPr>
          </w:p>
        </w:tc>
        <w:tc>
          <w:tcPr>
            <w:tcW w:w="1134" w:type="dxa"/>
          </w:tcPr>
          <w:p w14:paraId="5DBCD627">
            <w:pPr>
              <w:rPr>
                <w:color w:val="auto"/>
                <w:highlight w:val="none"/>
              </w:rPr>
            </w:pPr>
          </w:p>
        </w:tc>
        <w:tc>
          <w:tcPr>
            <w:tcW w:w="1798" w:type="dxa"/>
          </w:tcPr>
          <w:p w14:paraId="535F0521">
            <w:pPr>
              <w:rPr>
                <w:color w:val="auto"/>
                <w:highlight w:val="none"/>
              </w:rPr>
            </w:pPr>
          </w:p>
        </w:tc>
        <w:tc>
          <w:tcPr>
            <w:tcW w:w="1280" w:type="dxa"/>
          </w:tcPr>
          <w:p w14:paraId="1E9E73C1">
            <w:pPr>
              <w:rPr>
                <w:color w:val="auto"/>
                <w:highlight w:val="none"/>
              </w:rPr>
            </w:pPr>
          </w:p>
        </w:tc>
      </w:tr>
      <w:tr w14:paraId="2E15A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tcPr>
          <w:p w14:paraId="6091997F">
            <w:pPr>
              <w:rPr>
                <w:color w:val="auto"/>
                <w:highlight w:val="none"/>
              </w:rPr>
            </w:pPr>
          </w:p>
        </w:tc>
        <w:tc>
          <w:tcPr>
            <w:tcW w:w="851" w:type="dxa"/>
          </w:tcPr>
          <w:p w14:paraId="28E5F5E4">
            <w:pPr>
              <w:rPr>
                <w:color w:val="auto"/>
                <w:highlight w:val="none"/>
              </w:rPr>
            </w:pPr>
          </w:p>
        </w:tc>
        <w:tc>
          <w:tcPr>
            <w:tcW w:w="1134" w:type="dxa"/>
          </w:tcPr>
          <w:p w14:paraId="31ED055D">
            <w:pPr>
              <w:rPr>
                <w:color w:val="auto"/>
                <w:highlight w:val="none"/>
              </w:rPr>
            </w:pPr>
          </w:p>
        </w:tc>
        <w:tc>
          <w:tcPr>
            <w:tcW w:w="992" w:type="dxa"/>
          </w:tcPr>
          <w:p w14:paraId="372EAAA3">
            <w:pPr>
              <w:rPr>
                <w:color w:val="auto"/>
                <w:highlight w:val="none"/>
              </w:rPr>
            </w:pPr>
          </w:p>
        </w:tc>
        <w:tc>
          <w:tcPr>
            <w:tcW w:w="1134" w:type="dxa"/>
          </w:tcPr>
          <w:p w14:paraId="230B149A">
            <w:pPr>
              <w:rPr>
                <w:color w:val="auto"/>
                <w:highlight w:val="none"/>
              </w:rPr>
            </w:pPr>
          </w:p>
        </w:tc>
        <w:tc>
          <w:tcPr>
            <w:tcW w:w="1134" w:type="dxa"/>
          </w:tcPr>
          <w:p w14:paraId="263A1EF1">
            <w:pPr>
              <w:rPr>
                <w:color w:val="auto"/>
                <w:highlight w:val="none"/>
              </w:rPr>
            </w:pPr>
          </w:p>
        </w:tc>
        <w:tc>
          <w:tcPr>
            <w:tcW w:w="1798" w:type="dxa"/>
          </w:tcPr>
          <w:p w14:paraId="7F5D3FAC">
            <w:pPr>
              <w:rPr>
                <w:color w:val="auto"/>
                <w:highlight w:val="none"/>
              </w:rPr>
            </w:pPr>
          </w:p>
        </w:tc>
        <w:tc>
          <w:tcPr>
            <w:tcW w:w="1280" w:type="dxa"/>
          </w:tcPr>
          <w:p w14:paraId="6A4521D4">
            <w:pPr>
              <w:rPr>
                <w:color w:val="auto"/>
                <w:highlight w:val="none"/>
              </w:rPr>
            </w:pPr>
          </w:p>
        </w:tc>
      </w:tr>
      <w:tr w14:paraId="59515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tcPr>
          <w:p w14:paraId="7EAB18F6">
            <w:pPr>
              <w:rPr>
                <w:color w:val="auto"/>
                <w:highlight w:val="none"/>
              </w:rPr>
            </w:pPr>
          </w:p>
        </w:tc>
        <w:tc>
          <w:tcPr>
            <w:tcW w:w="851" w:type="dxa"/>
          </w:tcPr>
          <w:p w14:paraId="6CF0E987">
            <w:pPr>
              <w:rPr>
                <w:color w:val="auto"/>
                <w:highlight w:val="none"/>
              </w:rPr>
            </w:pPr>
          </w:p>
        </w:tc>
        <w:tc>
          <w:tcPr>
            <w:tcW w:w="1134" w:type="dxa"/>
          </w:tcPr>
          <w:p w14:paraId="79F611B0">
            <w:pPr>
              <w:rPr>
                <w:color w:val="auto"/>
                <w:highlight w:val="none"/>
              </w:rPr>
            </w:pPr>
          </w:p>
        </w:tc>
        <w:tc>
          <w:tcPr>
            <w:tcW w:w="992" w:type="dxa"/>
          </w:tcPr>
          <w:p w14:paraId="3C2D1562">
            <w:pPr>
              <w:rPr>
                <w:color w:val="auto"/>
                <w:highlight w:val="none"/>
              </w:rPr>
            </w:pPr>
          </w:p>
        </w:tc>
        <w:tc>
          <w:tcPr>
            <w:tcW w:w="1134" w:type="dxa"/>
          </w:tcPr>
          <w:p w14:paraId="398E79FD">
            <w:pPr>
              <w:rPr>
                <w:color w:val="auto"/>
                <w:highlight w:val="none"/>
              </w:rPr>
            </w:pPr>
          </w:p>
        </w:tc>
        <w:tc>
          <w:tcPr>
            <w:tcW w:w="1134" w:type="dxa"/>
          </w:tcPr>
          <w:p w14:paraId="1A9D13D8">
            <w:pPr>
              <w:rPr>
                <w:color w:val="auto"/>
                <w:highlight w:val="none"/>
              </w:rPr>
            </w:pPr>
          </w:p>
        </w:tc>
        <w:tc>
          <w:tcPr>
            <w:tcW w:w="1798" w:type="dxa"/>
          </w:tcPr>
          <w:p w14:paraId="79341F37">
            <w:pPr>
              <w:rPr>
                <w:color w:val="auto"/>
                <w:highlight w:val="none"/>
              </w:rPr>
            </w:pPr>
          </w:p>
        </w:tc>
        <w:tc>
          <w:tcPr>
            <w:tcW w:w="1280" w:type="dxa"/>
          </w:tcPr>
          <w:p w14:paraId="72B1A68F">
            <w:pPr>
              <w:rPr>
                <w:color w:val="auto"/>
                <w:highlight w:val="none"/>
              </w:rPr>
            </w:pPr>
          </w:p>
        </w:tc>
      </w:tr>
    </w:tbl>
    <w:p w14:paraId="72B0BB51">
      <w:pPr>
        <w:rPr>
          <w:color w:val="auto"/>
          <w:highlight w:val="none"/>
        </w:rPr>
      </w:pPr>
      <w:r>
        <w:rPr>
          <w:rFonts w:hint="eastAsia"/>
          <w:color w:val="auto"/>
          <w:highlight w:val="none"/>
        </w:rPr>
        <w:t>　　　　　　　　　　　　　　　　　开标结束时间：　　　　年　　月　　日　　时　　分</w:t>
      </w:r>
    </w:p>
    <w:p w14:paraId="4C7AE844">
      <w:pPr>
        <w:rPr>
          <w:color w:val="auto"/>
          <w:highlight w:val="none"/>
        </w:rPr>
      </w:pPr>
      <w:r>
        <w:rPr>
          <w:rFonts w:hint="eastAsia"/>
          <w:color w:val="auto"/>
          <w:highlight w:val="none"/>
        </w:rPr>
        <w:t>主持人：　　　开标人：　　　唱标人：　　　记录人：　　　监标人：　　　</w:t>
      </w:r>
    </w:p>
    <w:p w14:paraId="29204E16">
      <w:pPr>
        <w:rPr>
          <w:color w:val="auto"/>
          <w:highlight w:val="none"/>
        </w:rPr>
      </w:pPr>
      <w:r>
        <w:rPr>
          <w:rFonts w:hint="eastAsia"/>
          <w:color w:val="auto"/>
          <w:highlight w:val="none"/>
        </w:rPr>
        <w:t>　　　　　　　　　　　　　　　　　　　　　　　　　　　　　　　　　　年　　月　　日</w:t>
      </w:r>
    </w:p>
    <w:p w14:paraId="5AA5C895">
      <w:pPr>
        <w:rPr>
          <w:color w:val="auto"/>
          <w:highlight w:val="none"/>
        </w:rPr>
      </w:pPr>
    </w:p>
    <w:p w14:paraId="288E8C54">
      <w:pPr>
        <w:rPr>
          <w:color w:val="auto"/>
          <w:highlight w:val="none"/>
        </w:rPr>
      </w:pPr>
    </w:p>
    <w:p w14:paraId="30F6C33C">
      <w:pPr>
        <w:rPr>
          <w:color w:val="auto"/>
          <w:highlight w:val="none"/>
        </w:rPr>
      </w:pPr>
      <w:r>
        <w:rPr>
          <w:rFonts w:hint="eastAsia"/>
          <w:color w:val="auto"/>
          <w:highlight w:val="none"/>
        </w:rPr>
        <w:t>　　注：可以根据招标项目的实际需要对本开标记录表进行适当修改。</w:t>
      </w:r>
    </w:p>
    <w:p w14:paraId="11FC7783">
      <w:pPr>
        <w:rPr>
          <w:color w:val="auto"/>
          <w:highlight w:val="none"/>
        </w:rPr>
      </w:pPr>
    </w:p>
    <w:p w14:paraId="29B82EDD">
      <w:pPr>
        <w:rPr>
          <w:color w:val="auto"/>
          <w:highlight w:val="none"/>
        </w:rPr>
      </w:pPr>
      <w:r>
        <w:rPr>
          <w:rFonts w:hint="eastAsia"/>
          <w:color w:val="auto"/>
          <w:highlight w:val="none"/>
        </w:rPr>
        <w:t>附件六：</w:t>
      </w:r>
    </w:p>
    <w:p w14:paraId="36702FFB">
      <w:pPr>
        <w:rPr>
          <w:color w:val="auto"/>
          <w:highlight w:val="none"/>
        </w:rPr>
      </w:pPr>
    </w:p>
    <w:p w14:paraId="6DFFC61B">
      <w:pPr>
        <w:jc w:val="center"/>
        <w:rPr>
          <w:b/>
          <w:color w:val="auto"/>
          <w:sz w:val="32"/>
          <w:szCs w:val="32"/>
          <w:highlight w:val="none"/>
        </w:rPr>
      </w:pPr>
      <w:bookmarkStart w:id="186" w:name="第02章投标人须知11附件06"/>
      <w:bookmarkEnd w:id="186"/>
      <w:r>
        <w:rPr>
          <w:rFonts w:hint="eastAsia"/>
          <w:b/>
          <w:color w:val="auto"/>
          <w:sz w:val="32"/>
          <w:szCs w:val="32"/>
          <w:highlight w:val="none"/>
        </w:rPr>
        <w:t>中标通知书</w:t>
      </w:r>
    </w:p>
    <w:p w14:paraId="2950CF5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编号：</w:t>
      </w:r>
      <w:r>
        <w:rPr>
          <w:rFonts w:hint="eastAsia"/>
          <w:color w:val="auto"/>
          <w:highlight w:val="none"/>
          <w:u w:val="single"/>
        </w:rPr>
        <w:t>　　</w:t>
      </w:r>
    </w:p>
    <w:p w14:paraId="32649F3E">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p>
    <w:p w14:paraId="50BC71AD">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u w:val="single"/>
        </w:rPr>
        <w:t>　　　　　　　　　　　　</w:t>
      </w:r>
      <w:r>
        <w:rPr>
          <w:rFonts w:hint="eastAsia"/>
          <w:color w:val="auto"/>
          <w:highlight w:val="none"/>
          <w:lang w:eastAsia="zh-CN"/>
        </w:rPr>
        <w:t>（</w:t>
      </w:r>
      <w:r>
        <w:rPr>
          <w:rFonts w:hint="eastAsia"/>
          <w:color w:val="auto"/>
          <w:highlight w:val="none"/>
        </w:rPr>
        <w:t>中标人名称</w:t>
      </w:r>
      <w:r>
        <w:rPr>
          <w:rFonts w:hint="eastAsia"/>
          <w:color w:val="auto"/>
          <w:highlight w:val="none"/>
          <w:lang w:eastAsia="zh-CN"/>
        </w:rPr>
        <w:t>）</w:t>
      </w:r>
      <w:r>
        <w:rPr>
          <w:rFonts w:hint="eastAsia"/>
          <w:color w:val="auto"/>
          <w:highlight w:val="none"/>
        </w:rPr>
        <w:t>：</w:t>
      </w:r>
    </w:p>
    <w:p w14:paraId="1D9EAEBF">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你方于　　　　　　　　</w:t>
      </w:r>
      <w:r>
        <w:rPr>
          <w:rFonts w:hint="eastAsia"/>
          <w:color w:val="auto"/>
          <w:highlight w:val="none"/>
          <w:lang w:eastAsia="zh-CN"/>
        </w:rPr>
        <w:t>（</w:t>
      </w:r>
      <w:r>
        <w:rPr>
          <w:rFonts w:hint="eastAsia"/>
          <w:color w:val="auto"/>
          <w:highlight w:val="none"/>
        </w:rPr>
        <w:t>投标日期</w:t>
      </w:r>
      <w:r>
        <w:rPr>
          <w:rFonts w:hint="eastAsia"/>
          <w:color w:val="auto"/>
          <w:highlight w:val="none"/>
          <w:lang w:eastAsia="zh-CN"/>
        </w:rPr>
        <w:t>）</w:t>
      </w:r>
      <w:r>
        <w:rPr>
          <w:rFonts w:hint="eastAsia"/>
          <w:color w:val="auto"/>
          <w:highlight w:val="none"/>
        </w:rPr>
        <w:t>所递交的　　　　</w:t>
      </w:r>
      <w:r>
        <w:rPr>
          <w:rFonts w:hint="eastAsia"/>
          <w:color w:val="auto"/>
          <w:highlight w:val="none"/>
          <w:lang w:eastAsia="zh-CN"/>
        </w:rPr>
        <w:t>（</w:t>
      </w:r>
      <w:r>
        <w:rPr>
          <w:rFonts w:hint="eastAsia"/>
          <w:color w:val="auto"/>
          <w:highlight w:val="none"/>
        </w:rPr>
        <w:t>项目名称</w:t>
      </w:r>
      <w:r>
        <w:rPr>
          <w:rFonts w:hint="eastAsia"/>
          <w:color w:val="auto"/>
          <w:highlight w:val="none"/>
          <w:lang w:eastAsia="zh-CN"/>
        </w:rPr>
        <w:t>）</w:t>
      </w:r>
      <w:r>
        <w:rPr>
          <w:rFonts w:hint="eastAsia"/>
          <w:color w:val="auto"/>
          <w:highlight w:val="none"/>
        </w:rPr>
        <w:t>　　　　</w:t>
      </w:r>
      <w:r>
        <w:rPr>
          <w:rFonts w:hint="eastAsia"/>
          <w:color w:val="auto"/>
          <w:highlight w:val="none"/>
          <w:lang w:eastAsia="zh-CN"/>
        </w:rPr>
        <w:t>（</w:t>
      </w:r>
      <w:r>
        <w:rPr>
          <w:rFonts w:hint="eastAsia"/>
          <w:color w:val="auto"/>
          <w:highlight w:val="none"/>
        </w:rPr>
        <w:t>标段名称</w:t>
      </w:r>
      <w:r>
        <w:rPr>
          <w:rFonts w:hint="eastAsia"/>
          <w:color w:val="auto"/>
          <w:highlight w:val="none"/>
          <w:lang w:eastAsia="zh-CN"/>
        </w:rPr>
        <w:t>）</w:t>
      </w:r>
      <w:r>
        <w:rPr>
          <w:rFonts w:hint="eastAsia"/>
          <w:color w:val="auto"/>
          <w:highlight w:val="none"/>
        </w:rPr>
        <w:t>投标文件已被我方接受，并被确定为中标人。</w:t>
      </w:r>
    </w:p>
    <w:p w14:paraId="53073E98">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中标价：　　　　元。</w:t>
      </w:r>
    </w:p>
    <w:p w14:paraId="61283328">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工期：　　　　　日历天。</w:t>
      </w:r>
    </w:p>
    <w:p w14:paraId="49D7B87E">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工程质量：符合　　　　标准。</w:t>
      </w:r>
    </w:p>
    <w:p w14:paraId="647B74BF">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项目经理：　　　　</w:t>
      </w:r>
      <w:r>
        <w:rPr>
          <w:rFonts w:hint="eastAsia"/>
          <w:color w:val="auto"/>
          <w:highlight w:val="none"/>
          <w:lang w:eastAsia="zh-CN"/>
        </w:rPr>
        <w:t>（</w:t>
      </w:r>
      <w:r>
        <w:rPr>
          <w:rFonts w:hint="eastAsia"/>
          <w:color w:val="auto"/>
          <w:highlight w:val="none"/>
        </w:rPr>
        <w:t>姓名</w:t>
      </w:r>
      <w:r>
        <w:rPr>
          <w:rFonts w:hint="eastAsia"/>
          <w:color w:val="auto"/>
          <w:highlight w:val="none"/>
          <w:lang w:eastAsia="zh-CN"/>
        </w:rPr>
        <w:t>）</w:t>
      </w:r>
      <w:r>
        <w:rPr>
          <w:rFonts w:hint="eastAsia"/>
          <w:color w:val="auto"/>
          <w:highlight w:val="none"/>
        </w:rPr>
        <w:t>。</w:t>
      </w:r>
    </w:p>
    <w:p w14:paraId="5BD66FCE">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请你方在接到本通知书后的　　日内到　　　　</w:t>
      </w:r>
      <w:r>
        <w:rPr>
          <w:rFonts w:hint="eastAsia"/>
          <w:color w:val="auto"/>
          <w:highlight w:val="none"/>
          <w:lang w:eastAsia="zh-CN"/>
        </w:rPr>
        <w:t>（</w:t>
      </w:r>
      <w:r>
        <w:rPr>
          <w:rFonts w:hint="eastAsia"/>
          <w:color w:val="auto"/>
          <w:highlight w:val="none"/>
        </w:rPr>
        <w:t>详细地点</w:t>
      </w:r>
      <w:r>
        <w:rPr>
          <w:rFonts w:hint="eastAsia"/>
          <w:color w:val="auto"/>
          <w:highlight w:val="none"/>
          <w:lang w:eastAsia="zh-CN"/>
        </w:rPr>
        <w:t>）</w:t>
      </w:r>
      <w:r>
        <w:rPr>
          <w:rFonts w:hint="eastAsia"/>
          <w:color w:val="auto"/>
          <w:highlight w:val="none"/>
        </w:rPr>
        <w:t>与我方签订施工合同协议书，在此之前按招标文件第2章投标人须知第7.3条规定向我方提交履约担保。</w:t>
      </w:r>
    </w:p>
    <w:p w14:paraId="3FA6C87E">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特此通知。</w:t>
      </w:r>
    </w:p>
    <w:p w14:paraId="5E8F6F7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color w:val="auto"/>
          <w:highlight w:val="none"/>
          <w:lang w:eastAsia="zh-CN"/>
        </w:rPr>
      </w:pPr>
      <w:r>
        <w:rPr>
          <w:rFonts w:hint="eastAsia"/>
          <w:color w:val="auto"/>
          <w:highlight w:val="none"/>
        </w:rPr>
        <w:t>　　　　　　　　　　　　　　　　　　　　　　　　　　　　招标人：　　　　　　</w:t>
      </w:r>
      <w:r>
        <w:rPr>
          <w:rFonts w:hint="eastAsia"/>
          <w:color w:val="auto"/>
          <w:highlight w:val="none"/>
          <w:lang w:eastAsia="zh-CN"/>
        </w:rPr>
        <w:t>（</w:t>
      </w:r>
      <w:r>
        <w:rPr>
          <w:rFonts w:hint="eastAsia"/>
          <w:color w:val="auto"/>
          <w:highlight w:val="none"/>
        </w:rPr>
        <w:t>盖单位章</w:t>
      </w:r>
      <w:r>
        <w:rPr>
          <w:rFonts w:hint="eastAsia"/>
          <w:color w:val="auto"/>
          <w:highlight w:val="none"/>
          <w:lang w:eastAsia="zh-CN"/>
        </w:rPr>
        <w:t>）</w:t>
      </w:r>
    </w:p>
    <w:p w14:paraId="672AC27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color w:val="auto"/>
          <w:highlight w:val="none"/>
          <w:lang w:eastAsia="zh-CN"/>
        </w:rPr>
      </w:pPr>
      <w:r>
        <w:rPr>
          <w:rFonts w:hint="eastAsia"/>
          <w:color w:val="auto"/>
          <w:highlight w:val="none"/>
        </w:rPr>
        <w:t>　　　　　　　　　　　　　　　　　　　　　　　　　　　　法定代表人：　　　　</w:t>
      </w:r>
      <w:r>
        <w:rPr>
          <w:rFonts w:hint="eastAsia"/>
          <w:color w:val="auto"/>
          <w:highlight w:val="none"/>
          <w:lang w:eastAsia="zh-CN"/>
        </w:rPr>
        <w:t>（</w:t>
      </w:r>
      <w:r>
        <w:rPr>
          <w:rFonts w:hint="eastAsia"/>
          <w:color w:val="auto"/>
          <w:highlight w:val="none"/>
        </w:rPr>
        <w:t>签字</w:t>
      </w:r>
      <w:r>
        <w:rPr>
          <w:rFonts w:hint="eastAsia"/>
          <w:color w:val="auto"/>
          <w:highlight w:val="none"/>
          <w:lang w:eastAsia="zh-CN"/>
        </w:rPr>
        <w:t>）</w:t>
      </w:r>
    </w:p>
    <w:p w14:paraId="782DE3FF">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年　　月　　日</w:t>
      </w:r>
    </w:p>
    <w:p w14:paraId="1F4602D0">
      <w:pPr>
        <w:rPr>
          <w:color w:val="auto"/>
          <w:highlight w:val="none"/>
        </w:rPr>
      </w:pPr>
    </w:p>
    <w:p w14:paraId="356CEAC1">
      <w:pPr>
        <w:rPr>
          <w:color w:val="auto"/>
          <w:highlight w:val="none"/>
        </w:rPr>
      </w:pPr>
    </w:p>
    <w:p w14:paraId="24BBE9B2">
      <w:pPr>
        <w:rPr>
          <w:color w:val="auto"/>
          <w:highlight w:val="none"/>
        </w:rPr>
      </w:pPr>
      <w:r>
        <w:rPr>
          <w:rFonts w:hint="eastAsia"/>
          <w:color w:val="auto"/>
          <w:highlight w:val="none"/>
        </w:rPr>
        <w:t>附件七：</w:t>
      </w:r>
    </w:p>
    <w:p w14:paraId="0D92BEEC">
      <w:pPr>
        <w:rPr>
          <w:color w:val="auto"/>
          <w:highlight w:val="none"/>
        </w:rPr>
      </w:pPr>
    </w:p>
    <w:p w14:paraId="530725F1">
      <w:pPr>
        <w:jc w:val="center"/>
        <w:rPr>
          <w:b/>
          <w:color w:val="auto"/>
          <w:sz w:val="32"/>
          <w:szCs w:val="32"/>
          <w:highlight w:val="none"/>
        </w:rPr>
      </w:pPr>
      <w:bookmarkStart w:id="187" w:name="第02章投标人须知11附件07"/>
      <w:bookmarkEnd w:id="187"/>
      <w:r>
        <w:rPr>
          <w:rFonts w:hint="eastAsia"/>
          <w:b/>
          <w:color w:val="auto"/>
          <w:sz w:val="32"/>
          <w:szCs w:val="32"/>
          <w:highlight w:val="none"/>
        </w:rPr>
        <w:t>中标结果通知书</w:t>
      </w:r>
    </w:p>
    <w:p w14:paraId="647C3E2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编号：　　</w:t>
      </w:r>
    </w:p>
    <w:p w14:paraId="291AF63B">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w:t>
      </w:r>
      <w:r>
        <w:rPr>
          <w:rFonts w:hint="eastAsia"/>
          <w:color w:val="auto"/>
          <w:highlight w:val="none"/>
          <w:lang w:eastAsia="zh-CN"/>
        </w:rPr>
        <w:t>（</w:t>
      </w:r>
      <w:r>
        <w:rPr>
          <w:rFonts w:hint="eastAsia"/>
          <w:color w:val="auto"/>
          <w:highlight w:val="none"/>
        </w:rPr>
        <w:t>未中标人名称</w:t>
      </w:r>
      <w:r>
        <w:rPr>
          <w:rFonts w:hint="eastAsia"/>
          <w:color w:val="auto"/>
          <w:highlight w:val="none"/>
          <w:lang w:eastAsia="zh-CN"/>
        </w:rPr>
        <w:t>）</w:t>
      </w:r>
      <w:r>
        <w:rPr>
          <w:rFonts w:hint="eastAsia"/>
          <w:color w:val="auto"/>
          <w:highlight w:val="none"/>
        </w:rPr>
        <w:t>：</w:t>
      </w:r>
    </w:p>
    <w:p w14:paraId="0EA21EC8">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我方已接受　　　　　　　　　　</w:t>
      </w:r>
      <w:r>
        <w:rPr>
          <w:rFonts w:hint="eastAsia"/>
          <w:color w:val="auto"/>
          <w:highlight w:val="none"/>
          <w:lang w:eastAsia="zh-CN"/>
        </w:rPr>
        <w:t>（</w:t>
      </w:r>
      <w:r>
        <w:rPr>
          <w:rFonts w:hint="eastAsia"/>
          <w:color w:val="auto"/>
          <w:highlight w:val="none"/>
        </w:rPr>
        <w:t>中标人名称</w:t>
      </w:r>
      <w:r>
        <w:rPr>
          <w:rFonts w:hint="eastAsia"/>
          <w:color w:val="auto"/>
          <w:highlight w:val="none"/>
          <w:lang w:eastAsia="zh-CN"/>
        </w:rPr>
        <w:t>）</w:t>
      </w:r>
      <w:r>
        <w:rPr>
          <w:rFonts w:hint="eastAsia"/>
          <w:color w:val="auto"/>
          <w:highlight w:val="none"/>
        </w:rPr>
        <w:t>于　　　　</w:t>
      </w:r>
      <w:r>
        <w:rPr>
          <w:rFonts w:hint="eastAsia"/>
          <w:color w:val="auto"/>
          <w:highlight w:val="none"/>
          <w:lang w:eastAsia="zh-CN"/>
        </w:rPr>
        <w:t>（</w:t>
      </w:r>
      <w:r>
        <w:rPr>
          <w:rFonts w:hint="eastAsia"/>
          <w:color w:val="auto"/>
          <w:highlight w:val="none"/>
        </w:rPr>
        <w:t>投标日期</w:t>
      </w:r>
      <w:r>
        <w:rPr>
          <w:rFonts w:hint="eastAsia"/>
          <w:color w:val="auto"/>
          <w:highlight w:val="none"/>
          <w:lang w:eastAsia="zh-CN"/>
        </w:rPr>
        <w:t>）</w:t>
      </w:r>
      <w:r>
        <w:rPr>
          <w:rFonts w:hint="eastAsia"/>
          <w:color w:val="auto"/>
          <w:highlight w:val="none"/>
        </w:rPr>
        <w:t>所递交的　　　　</w:t>
      </w:r>
      <w:r>
        <w:rPr>
          <w:rFonts w:hint="eastAsia"/>
          <w:color w:val="auto"/>
          <w:highlight w:val="none"/>
          <w:lang w:eastAsia="zh-CN"/>
        </w:rPr>
        <w:t>（</w:t>
      </w:r>
      <w:r>
        <w:rPr>
          <w:rFonts w:hint="eastAsia"/>
          <w:color w:val="auto"/>
          <w:highlight w:val="none"/>
        </w:rPr>
        <w:t>项目名称</w:t>
      </w:r>
      <w:r>
        <w:rPr>
          <w:rFonts w:hint="eastAsia"/>
          <w:color w:val="auto"/>
          <w:highlight w:val="none"/>
          <w:lang w:eastAsia="zh-CN"/>
        </w:rPr>
        <w:t>）</w:t>
      </w:r>
      <w:r>
        <w:rPr>
          <w:rFonts w:hint="eastAsia"/>
          <w:color w:val="auto"/>
          <w:highlight w:val="none"/>
        </w:rPr>
        <w:t>　　　　</w:t>
      </w:r>
      <w:r>
        <w:rPr>
          <w:rFonts w:hint="eastAsia"/>
          <w:color w:val="auto"/>
          <w:highlight w:val="none"/>
          <w:lang w:eastAsia="zh-CN"/>
        </w:rPr>
        <w:t>（</w:t>
      </w:r>
      <w:r>
        <w:rPr>
          <w:rFonts w:hint="eastAsia"/>
          <w:color w:val="auto"/>
          <w:highlight w:val="none"/>
        </w:rPr>
        <w:t>标段名称</w:t>
      </w:r>
      <w:r>
        <w:rPr>
          <w:rFonts w:hint="eastAsia"/>
          <w:color w:val="auto"/>
          <w:highlight w:val="none"/>
          <w:lang w:eastAsia="zh-CN"/>
        </w:rPr>
        <w:t>）</w:t>
      </w:r>
      <w:r>
        <w:rPr>
          <w:rFonts w:hint="eastAsia"/>
          <w:color w:val="auto"/>
          <w:highlight w:val="none"/>
        </w:rPr>
        <w:t>投标文件，确定　　　　</w:t>
      </w:r>
      <w:r>
        <w:rPr>
          <w:rFonts w:hint="eastAsia"/>
          <w:color w:val="auto"/>
          <w:highlight w:val="none"/>
          <w:lang w:eastAsia="zh-CN"/>
        </w:rPr>
        <w:t>（</w:t>
      </w:r>
      <w:r>
        <w:rPr>
          <w:rFonts w:hint="eastAsia"/>
          <w:color w:val="auto"/>
          <w:highlight w:val="none"/>
        </w:rPr>
        <w:t>中标人名称</w:t>
      </w:r>
      <w:r>
        <w:rPr>
          <w:rFonts w:hint="eastAsia"/>
          <w:color w:val="auto"/>
          <w:highlight w:val="none"/>
          <w:lang w:eastAsia="zh-CN"/>
        </w:rPr>
        <w:t>）</w:t>
      </w:r>
      <w:r>
        <w:rPr>
          <w:rFonts w:hint="eastAsia"/>
          <w:color w:val="auto"/>
          <w:highlight w:val="none"/>
        </w:rPr>
        <w:t>为中标人。</w:t>
      </w:r>
    </w:p>
    <w:p w14:paraId="1C177C46">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感谢你单位对我方工作的大力支持！</w:t>
      </w:r>
    </w:p>
    <w:p w14:paraId="405D292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color w:val="auto"/>
          <w:highlight w:val="none"/>
          <w:lang w:eastAsia="zh-CN"/>
        </w:rPr>
      </w:pPr>
      <w:r>
        <w:rPr>
          <w:rFonts w:hint="eastAsia"/>
          <w:color w:val="auto"/>
          <w:highlight w:val="none"/>
        </w:rPr>
        <w:t>　　　　　　　　　　　　　　　　　　　　　　　　　招标人：　　　　　　　　</w:t>
      </w:r>
      <w:r>
        <w:rPr>
          <w:rFonts w:hint="eastAsia"/>
          <w:color w:val="auto"/>
          <w:highlight w:val="none"/>
          <w:lang w:eastAsia="zh-CN"/>
        </w:rPr>
        <w:t>（</w:t>
      </w:r>
      <w:r>
        <w:rPr>
          <w:rFonts w:hint="eastAsia"/>
          <w:color w:val="auto"/>
          <w:highlight w:val="none"/>
        </w:rPr>
        <w:t>盖单位章</w:t>
      </w:r>
      <w:r>
        <w:rPr>
          <w:rFonts w:hint="eastAsia"/>
          <w:color w:val="auto"/>
          <w:highlight w:val="none"/>
          <w:lang w:eastAsia="zh-CN"/>
        </w:rPr>
        <w:t>）</w:t>
      </w:r>
    </w:p>
    <w:p w14:paraId="28E8B9B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color w:val="auto"/>
          <w:highlight w:val="none"/>
          <w:lang w:eastAsia="zh-CN"/>
        </w:rPr>
      </w:pPr>
      <w:r>
        <w:rPr>
          <w:rFonts w:hint="eastAsia"/>
          <w:color w:val="auto"/>
          <w:highlight w:val="none"/>
        </w:rPr>
        <w:t>　　　　　　　　　　　　　　　　　　　　　　　　　法定代表人：　　　　　</w:t>
      </w:r>
      <w:r>
        <w:rPr>
          <w:rFonts w:hint="eastAsia"/>
          <w:color w:val="auto"/>
          <w:highlight w:val="none"/>
          <w:lang w:eastAsia="zh-CN"/>
        </w:rPr>
        <w:t>（</w:t>
      </w:r>
      <w:r>
        <w:rPr>
          <w:rFonts w:hint="eastAsia"/>
          <w:color w:val="auto"/>
          <w:highlight w:val="none"/>
        </w:rPr>
        <w:t>签字</w:t>
      </w:r>
      <w:r>
        <w:rPr>
          <w:rFonts w:hint="eastAsia"/>
          <w:color w:val="auto"/>
          <w:highlight w:val="none"/>
          <w:lang w:eastAsia="zh-CN"/>
        </w:rPr>
        <w:t>）</w:t>
      </w:r>
    </w:p>
    <w:p w14:paraId="267D02D8">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年　　月　　日</w:t>
      </w:r>
    </w:p>
    <w:p w14:paraId="06E0E65A">
      <w:pPr>
        <w:rPr>
          <w:color w:val="auto"/>
          <w:highlight w:val="none"/>
        </w:rPr>
      </w:pPr>
    </w:p>
    <w:p w14:paraId="3A659D7D">
      <w:pPr>
        <w:rPr>
          <w:color w:val="auto"/>
          <w:highlight w:val="none"/>
        </w:rPr>
      </w:pPr>
      <w:r>
        <w:rPr>
          <w:color w:val="auto"/>
          <w:highlight w:val="none"/>
        </w:rPr>
        <w:br w:type="page"/>
      </w:r>
      <w:bookmarkStart w:id="188" w:name="第03章评标办法经评审的最低投标价法"/>
      <w:bookmarkEnd w:id="188"/>
    </w:p>
    <w:p w14:paraId="7BE1AE07">
      <w:pPr>
        <w:jc w:val="center"/>
        <w:outlineLvl w:val="0"/>
        <w:rPr>
          <w:rFonts w:hint="eastAsia" w:eastAsia="黑体"/>
          <w:b/>
          <w:color w:val="auto"/>
          <w:sz w:val="32"/>
          <w:szCs w:val="32"/>
          <w:highlight w:val="none"/>
          <w:lang w:eastAsia="zh-CN"/>
        </w:rPr>
      </w:pPr>
      <w:bookmarkStart w:id="189" w:name="第03章评标办法综合评估法"/>
      <w:bookmarkEnd w:id="189"/>
      <w:bookmarkStart w:id="190" w:name="_Toc21727"/>
      <w:r>
        <w:rPr>
          <w:rFonts w:hAnsi="黑体" w:eastAsia="黑体"/>
          <w:b/>
          <w:color w:val="auto"/>
          <w:sz w:val="32"/>
          <w:szCs w:val="32"/>
          <w:highlight w:val="none"/>
        </w:rPr>
        <w:t>第</w:t>
      </w:r>
      <w:r>
        <w:rPr>
          <w:rFonts w:eastAsia="黑体"/>
          <w:b/>
          <w:color w:val="auto"/>
          <w:sz w:val="32"/>
          <w:szCs w:val="32"/>
          <w:highlight w:val="none"/>
        </w:rPr>
        <w:t>3</w:t>
      </w:r>
      <w:r>
        <w:rPr>
          <w:rFonts w:hAnsi="黑体" w:eastAsia="黑体"/>
          <w:b/>
          <w:color w:val="auto"/>
          <w:sz w:val="32"/>
          <w:szCs w:val="32"/>
          <w:highlight w:val="none"/>
        </w:rPr>
        <w:t>章　评标办法</w:t>
      </w:r>
      <w:r>
        <w:rPr>
          <w:rFonts w:hint="eastAsia" w:eastAsia="黑体"/>
          <w:b/>
          <w:color w:val="auto"/>
          <w:sz w:val="32"/>
          <w:szCs w:val="32"/>
          <w:highlight w:val="none"/>
          <w:lang w:eastAsia="zh-CN"/>
        </w:rPr>
        <w:t>（</w:t>
      </w:r>
      <w:r>
        <w:rPr>
          <w:rFonts w:hAnsi="黑体" w:eastAsia="黑体"/>
          <w:b/>
          <w:color w:val="auto"/>
          <w:sz w:val="32"/>
          <w:szCs w:val="32"/>
          <w:highlight w:val="none"/>
        </w:rPr>
        <w:t>综合评估法</w:t>
      </w:r>
      <w:r>
        <w:rPr>
          <w:rFonts w:hint="eastAsia" w:eastAsia="黑体"/>
          <w:b/>
          <w:color w:val="auto"/>
          <w:sz w:val="32"/>
          <w:szCs w:val="32"/>
          <w:highlight w:val="none"/>
          <w:lang w:eastAsia="zh-CN"/>
        </w:rPr>
        <w:t>）</w:t>
      </w:r>
      <w:bookmarkEnd w:id="190"/>
    </w:p>
    <w:p w14:paraId="6F0867C5">
      <w:pPr>
        <w:rPr>
          <w:color w:val="auto"/>
          <w:highlight w:val="none"/>
        </w:rPr>
      </w:pPr>
    </w:p>
    <w:p w14:paraId="574A23BD">
      <w:pPr>
        <w:jc w:val="center"/>
        <w:rPr>
          <w:rFonts w:ascii="黑体" w:hAnsi="黑体" w:eastAsia="黑体"/>
          <w:b/>
          <w:color w:val="auto"/>
          <w:highlight w:val="none"/>
        </w:rPr>
      </w:pPr>
      <w:bookmarkStart w:id="191" w:name="第03章评标办法综合评估法00"/>
      <w:bookmarkEnd w:id="191"/>
      <w:r>
        <w:rPr>
          <w:rFonts w:hint="eastAsia" w:ascii="黑体" w:hAnsi="黑体" w:eastAsia="黑体"/>
          <w:b/>
          <w:color w:val="auto"/>
          <w:highlight w:val="none"/>
        </w:rPr>
        <w:t>评标办法前附表</w:t>
      </w:r>
    </w:p>
    <w:tbl>
      <w:tblPr>
        <w:tblStyle w:val="22"/>
        <w:tblW w:w="92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3"/>
        <w:gridCol w:w="283"/>
        <w:gridCol w:w="1418"/>
        <w:gridCol w:w="2409"/>
        <w:gridCol w:w="851"/>
        <w:gridCol w:w="3304"/>
      </w:tblGrid>
      <w:tr w14:paraId="0165B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694" w:type="dxa"/>
            <w:gridSpan w:val="3"/>
            <w:vAlign w:val="center"/>
          </w:tcPr>
          <w:p w14:paraId="79EA54CF">
            <w:pPr>
              <w:keepNext w:val="0"/>
              <w:keepLines w:val="0"/>
              <w:pageBreakBefore w:val="0"/>
              <w:kinsoku/>
              <w:wordWrap/>
              <w:overflowPunct/>
              <w:topLinePunct w:val="0"/>
              <w:autoSpaceDE/>
              <w:autoSpaceDN/>
              <w:bidi w:val="0"/>
              <w:adjustRightInd/>
              <w:snapToGrid/>
              <w:spacing w:line="340" w:lineRule="exact"/>
              <w:jc w:val="center"/>
              <w:textAlignment w:val="auto"/>
              <w:rPr>
                <w:color w:val="auto"/>
                <w:highlight w:val="none"/>
              </w:rPr>
            </w:pPr>
            <w:r>
              <w:rPr>
                <w:rFonts w:hint="eastAsia"/>
                <w:color w:val="auto"/>
                <w:highlight w:val="none"/>
              </w:rPr>
              <w:t>条款号</w:t>
            </w:r>
          </w:p>
        </w:tc>
        <w:tc>
          <w:tcPr>
            <w:tcW w:w="2409" w:type="dxa"/>
            <w:vAlign w:val="center"/>
          </w:tcPr>
          <w:p w14:paraId="152737FF">
            <w:pPr>
              <w:keepNext w:val="0"/>
              <w:keepLines w:val="0"/>
              <w:pageBreakBefore w:val="0"/>
              <w:kinsoku/>
              <w:wordWrap/>
              <w:overflowPunct/>
              <w:topLinePunct w:val="0"/>
              <w:autoSpaceDE/>
              <w:autoSpaceDN/>
              <w:bidi w:val="0"/>
              <w:adjustRightInd/>
              <w:snapToGrid/>
              <w:spacing w:line="340" w:lineRule="exact"/>
              <w:jc w:val="center"/>
              <w:textAlignment w:val="auto"/>
              <w:rPr>
                <w:color w:val="auto"/>
                <w:highlight w:val="none"/>
              </w:rPr>
            </w:pPr>
            <w:r>
              <w:rPr>
                <w:rFonts w:hint="eastAsia"/>
                <w:color w:val="auto"/>
                <w:highlight w:val="none"/>
              </w:rPr>
              <w:t>评审因素</w:t>
            </w:r>
          </w:p>
        </w:tc>
        <w:tc>
          <w:tcPr>
            <w:tcW w:w="4155" w:type="dxa"/>
            <w:gridSpan w:val="2"/>
            <w:vAlign w:val="center"/>
          </w:tcPr>
          <w:p w14:paraId="04764D5B">
            <w:pPr>
              <w:keepNext w:val="0"/>
              <w:keepLines w:val="0"/>
              <w:pageBreakBefore w:val="0"/>
              <w:kinsoku/>
              <w:wordWrap/>
              <w:overflowPunct/>
              <w:topLinePunct w:val="0"/>
              <w:autoSpaceDE/>
              <w:autoSpaceDN/>
              <w:bidi w:val="0"/>
              <w:adjustRightInd/>
              <w:snapToGrid/>
              <w:spacing w:line="340" w:lineRule="exact"/>
              <w:jc w:val="center"/>
              <w:textAlignment w:val="auto"/>
              <w:rPr>
                <w:color w:val="auto"/>
                <w:highlight w:val="none"/>
              </w:rPr>
            </w:pPr>
            <w:r>
              <w:rPr>
                <w:rFonts w:hint="eastAsia"/>
                <w:color w:val="auto"/>
                <w:highlight w:val="none"/>
              </w:rPr>
              <w:t>评审标准</w:t>
            </w:r>
          </w:p>
        </w:tc>
      </w:tr>
      <w:tr w14:paraId="7C657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restart"/>
            <w:vAlign w:val="center"/>
          </w:tcPr>
          <w:p w14:paraId="4DFABCDB">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eastAsia="宋体"/>
                <w:color w:val="auto"/>
                <w:highlight w:val="none"/>
                <w:lang w:eastAsia="zh-CN"/>
              </w:rPr>
            </w:pPr>
            <w:r>
              <w:rPr>
                <w:rFonts w:hint="eastAsia"/>
                <w:color w:val="auto"/>
                <w:highlight w:val="none"/>
              </w:rPr>
              <w:t>2.1.1</w:t>
            </w:r>
            <w:r>
              <w:rPr>
                <w:rFonts w:hint="eastAsia"/>
                <w:color w:val="auto"/>
                <w:highlight w:val="none"/>
                <w:lang w:eastAsia="zh-CN"/>
              </w:rPr>
              <w:t>（</w:t>
            </w:r>
            <w:r>
              <w:rPr>
                <w:rFonts w:hint="eastAsia"/>
                <w:color w:val="auto"/>
                <w:highlight w:val="none"/>
              </w:rPr>
              <w:t>8</w:t>
            </w:r>
            <w:r>
              <w:rPr>
                <w:rFonts w:hint="eastAsia"/>
                <w:color w:val="auto"/>
                <w:highlight w:val="none"/>
                <w:lang w:eastAsia="zh-CN"/>
              </w:rPr>
              <w:t>）</w:t>
            </w:r>
          </w:p>
        </w:tc>
        <w:tc>
          <w:tcPr>
            <w:tcW w:w="1701" w:type="dxa"/>
            <w:gridSpan w:val="2"/>
            <w:vMerge w:val="restart"/>
            <w:vAlign w:val="center"/>
          </w:tcPr>
          <w:p w14:paraId="1B28CB58">
            <w:pPr>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r>
              <w:rPr>
                <w:rFonts w:hint="eastAsia"/>
                <w:color w:val="auto"/>
                <w:highlight w:val="none"/>
              </w:rPr>
              <w:t>形式评审</w:t>
            </w:r>
          </w:p>
        </w:tc>
        <w:tc>
          <w:tcPr>
            <w:tcW w:w="2409" w:type="dxa"/>
            <w:vAlign w:val="center"/>
          </w:tcPr>
          <w:p w14:paraId="3E2811E5">
            <w:pPr>
              <w:keepNext w:val="0"/>
              <w:keepLines w:val="0"/>
              <w:pageBreakBefore w:val="0"/>
              <w:kinsoku/>
              <w:wordWrap/>
              <w:overflowPunct/>
              <w:topLinePunct w:val="0"/>
              <w:autoSpaceDE/>
              <w:autoSpaceDN/>
              <w:bidi w:val="0"/>
              <w:adjustRightInd/>
              <w:snapToGrid/>
              <w:spacing w:line="340" w:lineRule="exact"/>
              <w:jc w:val="left"/>
              <w:textAlignment w:val="auto"/>
              <w:rPr>
                <w:color w:val="auto"/>
                <w:szCs w:val="21"/>
                <w:highlight w:val="none"/>
              </w:rPr>
            </w:pPr>
            <w:r>
              <w:rPr>
                <w:rFonts w:hint="eastAsia"/>
                <w:color w:val="auto"/>
                <w:szCs w:val="21"/>
                <w:highlight w:val="none"/>
              </w:rPr>
              <w:t>投标人名称</w:t>
            </w:r>
          </w:p>
        </w:tc>
        <w:tc>
          <w:tcPr>
            <w:tcW w:w="4155" w:type="dxa"/>
            <w:gridSpan w:val="2"/>
            <w:vAlign w:val="center"/>
          </w:tcPr>
          <w:p w14:paraId="17F78510">
            <w:pPr>
              <w:keepNext w:val="0"/>
              <w:keepLines w:val="0"/>
              <w:pageBreakBefore w:val="0"/>
              <w:kinsoku/>
              <w:wordWrap/>
              <w:overflowPunct/>
              <w:topLinePunct w:val="0"/>
              <w:autoSpaceDE/>
              <w:autoSpaceDN/>
              <w:bidi w:val="0"/>
              <w:adjustRightInd/>
              <w:snapToGrid/>
              <w:spacing w:line="340" w:lineRule="exact"/>
              <w:jc w:val="left"/>
              <w:textAlignment w:val="auto"/>
              <w:rPr>
                <w:color w:val="auto"/>
                <w:szCs w:val="21"/>
                <w:highlight w:val="none"/>
              </w:rPr>
            </w:pPr>
            <w:r>
              <w:rPr>
                <w:rFonts w:hint="eastAsia"/>
                <w:color w:val="auto"/>
                <w:szCs w:val="21"/>
                <w:highlight w:val="none"/>
              </w:rPr>
              <w:t>与营业执照、资质证书、安全生产许可证一致</w:t>
            </w:r>
          </w:p>
        </w:tc>
      </w:tr>
      <w:tr w14:paraId="673E9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vAlign w:val="center"/>
          </w:tcPr>
          <w:p w14:paraId="2FC63986">
            <w:pPr>
              <w:keepNext w:val="0"/>
              <w:keepLines w:val="0"/>
              <w:pageBreakBefore w:val="0"/>
              <w:kinsoku/>
              <w:wordWrap/>
              <w:overflowPunct/>
              <w:topLinePunct w:val="0"/>
              <w:autoSpaceDE/>
              <w:autoSpaceDN/>
              <w:bidi w:val="0"/>
              <w:adjustRightInd/>
              <w:snapToGrid/>
              <w:spacing w:line="340" w:lineRule="exact"/>
              <w:jc w:val="center"/>
              <w:textAlignment w:val="auto"/>
              <w:rPr>
                <w:color w:val="auto"/>
                <w:highlight w:val="none"/>
              </w:rPr>
            </w:pPr>
          </w:p>
        </w:tc>
        <w:tc>
          <w:tcPr>
            <w:tcW w:w="1701" w:type="dxa"/>
            <w:gridSpan w:val="2"/>
            <w:vMerge w:val="continue"/>
            <w:vAlign w:val="center"/>
          </w:tcPr>
          <w:p w14:paraId="4A8C4F09">
            <w:pPr>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p>
        </w:tc>
        <w:tc>
          <w:tcPr>
            <w:tcW w:w="2409" w:type="dxa"/>
            <w:vAlign w:val="center"/>
          </w:tcPr>
          <w:p w14:paraId="528F6985">
            <w:pPr>
              <w:keepNext w:val="0"/>
              <w:keepLines w:val="0"/>
              <w:pageBreakBefore w:val="0"/>
              <w:kinsoku/>
              <w:wordWrap/>
              <w:overflowPunct/>
              <w:topLinePunct w:val="0"/>
              <w:autoSpaceDE/>
              <w:autoSpaceDN/>
              <w:bidi w:val="0"/>
              <w:adjustRightInd/>
              <w:snapToGrid/>
              <w:spacing w:line="340" w:lineRule="exact"/>
              <w:jc w:val="left"/>
              <w:textAlignment w:val="auto"/>
              <w:rPr>
                <w:color w:val="auto"/>
                <w:szCs w:val="21"/>
                <w:highlight w:val="none"/>
              </w:rPr>
            </w:pPr>
            <w:r>
              <w:rPr>
                <w:rFonts w:hint="eastAsia"/>
                <w:color w:val="auto"/>
                <w:szCs w:val="21"/>
                <w:highlight w:val="none"/>
              </w:rPr>
              <w:t>投标函签字盖章</w:t>
            </w:r>
          </w:p>
        </w:tc>
        <w:tc>
          <w:tcPr>
            <w:tcW w:w="4155" w:type="dxa"/>
            <w:gridSpan w:val="2"/>
            <w:vAlign w:val="center"/>
          </w:tcPr>
          <w:p w14:paraId="30FD1541">
            <w:pPr>
              <w:keepNext w:val="0"/>
              <w:keepLines w:val="0"/>
              <w:pageBreakBefore w:val="0"/>
              <w:kinsoku/>
              <w:wordWrap/>
              <w:overflowPunct/>
              <w:topLinePunct w:val="0"/>
              <w:autoSpaceDE/>
              <w:autoSpaceDN/>
              <w:bidi w:val="0"/>
              <w:adjustRightInd/>
              <w:snapToGrid/>
              <w:spacing w:line="340" w:lineRule="exact"/>
              <w:jc w:val="left"/>
              <w:textAlignment w:val="auto"/>
              <w:rPr>
                <w:color w:val="auto"/>
                <w:szCs w:val="21"/>
                <w:highlight w:val="none"/>
              </w:rPr>
            </w:pPr>
            <w:r>
              <w:rPr>
                <w:rFonts w:hint="eastAsia" w:ascii="宋体" w:hAnsi="宋体"/>
                <w:color w:val="auto"/>
                <w:sz w:val="21"/>
                <w:szCs w:val="21"/>
                <w:highlight w:val="none"/>
                <w:shd w:val="clear" w:color="auto" w:fill="auto"/>
              </w:rPr>
              <w:t>有法定代表人或其委托代理人电子签章并加盖单位电子签章</w:t>
            </w:r>
          </w:p>
        </w:tc>
      </w:tr>
      <w:tr w14:paraId="3FD11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vAlign w:val="center"/>
          </w:tcPr>
          <w:p w14:paraId="596F169B">
            <w:pPr>
              <w:keepNext w:val="0"/>
              <w:keepLines w:val="0"/>
              <w:pageBreakBefore w:val="0"/>
              <w:kinsoku/>
              <w:wordWrap/>
              <w:overflowPunct/>
              <w:topLinePunct w:val="0"/>
              <w:autoSpaceDE/>
              <w:autoSpaceDN/>
              <w:bidi w:val="0"/>
              <w:adjustRightInd/>
              <w:snapToGrid/>
              <w:spacing w:line="340" w:lineRule="exact"/>
              <w:jc w:val="center"/>
              <w:textAlignment w:val="auto"/>
              <w:rPr>
                <w:color w:val="auto"/>
                <w:highlight w:val="none"/>
              </w:rPr>
            </w:pPr>
          </w:p>
        </w:tc>
        <w:tc>
          <w:tcPr>
            <w:tcW w:w="1701" w:type="dxa"/>
            <w:gridSpan w:val="2"/>
            <w:vMerge w:val="continue"/>
            <w:vAlign w:val="center"/>
          </w:tcPr>
          <w:p w14:paraId="14DAA3A2">
            <w:pPr>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p>
        </w:tc>
        <w:tc>
          <w:tcPr>
            <w:tcW w:w="2409" w:type="dxa"/>
            <w:vAlign w:val="center"/>
          </w:tcPr>
          <w:p w14:paraId="7A728C77">
            <w:pPr>
              <w:keepNext w:val="0"/>
              <w:keepLines w:val="0"/>
              <w:pageBreakBefore w:val="0"/>
              <w:kinsoku/>
              <w:wordWrap/>
              <w:overflowPunct/>
              <w:topLinePunct w:val="0"/>
              <w:autoSpaceDE/>
              <w:autoSpaceDN/>
              <w:bidi w:val="0"/>
              <w:adjustRightInd/>
              <w:snapToGrid/>
              <w:spacing w:line="340" w:lineRule="exact"/>
              <w:jc w:val="left"/>
              <w:textAlignment w:val="auto"/>
              <w:rPr>
                <w:color w:val="auto"/>
                <w:szCs w:val="21"/>
                <w:highlight w:val="none"/>
              </w:rPr>
            </w:pPr>
            <w:r>
              <w:rPr>
                <w:rFonts w:hint="eastAsia"/>
                <w:color w:val="auto"/>
                <w:szCs w:val="21"/>
                <w:highlight w:val="none"/>
              </w:rPr>
              <w:t>投标文件格式</w:t>
            </w:r>
          </w:p>
        </w:tc>
        <w:tc>
          <w:tcPr>
            <w:tcW w:w="4155" w:type="dxa"/>
            <w:gridSpan w:val="2"/>
            <w:vAlign w:val="center"/>
          </w:tcPr>
          <w:p w14:paraId="01A62956">
            <w:pPr>
              <w:keepNext w:val="0"/>
              <w:keepLines w:val="0"/>
              <w:pageBreakBefore w:val="0"/>
              <w:kinsoku/>
              <w:wordWrap/>
              <w:overflowPunct/>
              <w:topLinePunct w:val="0"/>
              <w:autoSpaceDE/>
              <w:autoSpaceDN/>
              <w:bidi w:val="0"/>
              <w:adjustRightInd/>
              <w:snapToGrid/>
              <w:spacing w:line="340" w:lineRule="exact"/>
              <w:jc w:val="left"/>
              <w:textAlignment w:val="auto"/>
              <w:rPr>
                <w:color w:val="auto"/>
                <w:szCs w:val="21"/>
                <w:highlight w:val="none"/>
              </w:rPr>
            </w:pPr>
            <w:r>
              <w:rPr>
                <w:rFonts w:hint="eastAsia"/>
                <w:color w:val="auto"/>
                <w:szCs w:val="21"/>
                <w:highlight w:val="none"/>
              </w:rPr>
              <w:t>符合第8章投标文件格式的要求</w:t>
            </w:r>
          </w:p>
        </w:tc>
      </w:tr>
      <w:tr w14:paraId="6BE0C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vAlign w:val="center"/>
          </w:tcPr>
          <w:p w14:paraId="661A1CE7">
            <w:pPr>
              <w:keepNext w:val="0"/>
              <w:keepLines w:val="0"/>
              <w:pageBreakBefore w:val="0"/>
              <w:kinsoku/>
              <w:wordWrap/>
              <w:overflowPunct/>
              <w:topLinePunct w:val="0"/>
              <w:autoSpaceDE/>
              <w:autoSpaceDN/>
              <w:bidi w:val="0"/>
              <w:adjustRightInd/>
              <w:snapToGrid/>
              <w:spacing w:line="340" w:lineRule="exact"/>
              <w:jc w:val="center"/>
              <w:textAlignment w:val="auto"/>
              <w:rPr>
                <w:color w:val="auto"/>
                <w:highlight w:val="none"/>
              </w:rPr>
            </w:pPr>
          </w:p>
        </w:tc>
        <w:tc>
          <w:tcPr>
            <w:tcW w:w="1701" w:type="dxa"/>
            <w:gridSpan w:val="2"/>
            <w:vMerge w:val="continue"/>
            <w:vAlign w:val="center"/>
          </w:tcPr>
          <w:p w14:paraId="6D081CF7">
            <w:pPr>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p>
        </w:tc>
        <w:tc>
          <w:tcPr>
            <w:tcW w:w="2409" w:type="dxa"/>
            <w:shd w:val="clear" w:color="auto" w:fill="auto"/>
            <w:vAlign w:val="top"/>
          </w:tcPr>
          <w:p w14:paraId="13B491E0">
            <w:pPr>
              <w:keepNext w:val="0"/>
              <w:keepLines w:val="0"/>
              <w:suppressLineNumbers w:val="0"/>
              <w:spacing w:before="0" w:beforeAutospacing="0" w:after="0" w:afterAutospacing="0" w:line="240" w:lineRule="auto"/>
              <w:ind w:left="0" w:leftChars="0" w:right="0" w:rightChars="0"/>
              <w:rPr>
                <w:rFonts w:hint="eastAsia" w:ascii="宋体" w:hAnsi="宋体" w:eastAsia="宋体" w:cs="Times New Roman"/>
                <w:color w:val="auto"/>
                <w:kern w:val="2"/>
                <w:sz w:val="21"/>
                <w:szCs w:val="21"/>
                <w:highlight w:val="none"/>
                <w:shd w:val="clear" w:color="auto" w:fill="auto"/>
                <w:lang w:val="en-US" w:eastAsia="zh-CN" w:bidi="ar-SA"/>
              </w:rPr>
            </w:pPr>
            <w:r>
              <w:rPr>
                <w:rFonts w:hint="eastAsia" w:ascii="宋体" w:hAnsi="宋体"/>
                <w:color w:val="auto"/>
                <w:sz w:val="21"/>
                <w:szCs w:val="21"/>
                <w:highlight w:val="none"/>
                <w:shd w:val="clear" w:color="auto" w:fill="auto"/>
              </w:rPr>
              <w:t>联合体投标人（如有）</w:t>
            </w:r>
          </w:p>
        </w:tc>
        <w:tc>
          <w:tcPr>
            <w:tcW w:w="4155" w:type="dxa"/>
            <w:gridSpan w:val="2"/>
            <w:shd w:val="clear" w:color="auto" w:fill="auto"/>
            <w:vAlign w:val="top"/>
          </w:tcPr>
          <w:p w14:paraId="2F04BCBD">
            <w:pPr>
              <w:keepNext w:val="0"/>
              <w:keepLines w:val="0"/>
              <w:suppressLineNumbers w:val="0"/>
              <w:spacing w:before="0" w:beforeAutospacing="0" w:after="0" w:afterAutospacing="0" w:line="240" w:lineRule="auto"/>
              <w:ind w:left="0" w:leftChars="0" w:right="0" w:rightChars="0"/>
              <w:rPr>
                <w:rFonts w:hint="eastAsia" w:ascii="宋体" w:hAnsi="宋体" w:eastAsia="宋体" w:cs="Times New Roman"/>
                <w:color w:val="auto"/>
                <w:kern w:val="2"/>
                <w:sz w:val="21"/>
                <w:szCs w:val="21"/>
                <w:highlight w:val="none"/>
                <w:shd w:val="clear" w:color="auto" w:fill="auto"/>
                <w:lang w:val="en-US" w:eastAsia="zh-CN" w:bidi="ar-SA"/>
              </w:rPr>
            </w:pPr>
            <w:r>
              <w:rPr>
                <w:rFonts w:hint="eastAsia" w:ascii="宋体" w:hAnsi="宋体"/>
                <w:color w:val="auto"/>
                <w:sz w:val="21"/>
                <w:szCs w:val="21"/>
                <w:highlight w:val="none"/>
                <w:shd w:val="clear" w:color="auto" w:fill="auto"/>
              </w:rPr>
              <w:t>提交联合体协议书，并明确联合体牵头人</w:t>
            </w:r>
          </w:p>
        </w:tc>
      </w:tr>
      <w:tr w14:paraId="14E48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vAlign w:val="center"/>
          </w:tcPr>
          <w:p w14:paraId="4A472BB3">
            <w:pPr>
              <w:keepNext w:val="0"/>
              <w:keepLines w:val="0"/>
              <w:pageBreakBefore w:val="0"/>
              <w:kinsoku/>
              <w:wordWrap/>
              <w:overflowPunct/>
              <w:topLinePunct w:val="0"/>
              <w:autoSpaceDE/>
              <w:autoSpaceDN/>
              <w:bidi w:val="0"/>
              <w:adjustRightInd/>
              <w:snapToGrid/>
              <w:spacing w:line="340" w:lineRule="exact"/>
              <w:jc w:val="center"/>
              <w:textAlignment w:val="auto"/>
              <w:rPr>
                <w:color w:val="auto"/>
                <w:highlight w:val="none"/>
              </w:rPr>
            </w:pPr>
          </w:p>
        </w:tc>
        <w:tc>
          <w:tcPr>
            <w:tcW w:w="1701" w:type="dxa"/>
            <w:gridSpan w:val="2"/>
            <w:vMerge w:val="continue"/>
            <w:vAlign w:val="center"/>
          </w:tcPr>
          <w:p w14:paraId="7F96419B">
            <w:pPr>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p>
        </w:tc>
        <w:tc>
          <w:tcPr>
            <w:tcW w:w="2409" w:type="dxa"/>
            <w:vAlign w:val="center"/>
          </w:tcPr>
          <w:p w14:paraId="0F7B2FB6">
            <w:pPr>
              <w:keepNext w:val="0"/>
              <w:keepLines w:val="0"/>
              <w:pageBreakBefore w:val="0"/>
              <w:kinsoku/>
              <w:wordWrap/>
              <w:overflowPunct/>
              <w:topLinePunct w:val="0"/>
              <w:autoSpaceDE/>
              <w:autoSpaceDN/>
              <w:bidi w:val="0"/>
              <w:adjustRightInd/>
              <w:snapToGrid/>
              <w:spacing w:line="340" w:lineRule="exact"/>
              <w:jc w:val="left"/>
              <w:textAlignment w:val="auto"/>
              <w:rPr>
                <w:color w:val="auto"/>
                <w:szCs w:val="21"/>
                <w:highlight w:val="none"/>
              </w:rPr>
            </w:pPr>
            <w:r>
              <w:rPr>
                <w:rFonts w:hint="eastAsia"/>
                <w:color w:val="auto"/>
                <w:szCs w:val="21"/>
                <w:highlight w:val="none"/>
              </w:rPr>
              <w:t>报价唯一</w:t>
            </w:r>
          </w:p>
        </w:tc>
        <w:tc>
          <w:tcPr>
            <w:tcW w:w="4155" w:type="dxa"/>
            <w:gridSpan w:val="2"/>
            <w:vAlign w:val="center"/>
          </w:tcPr>
          <w:p w14:paraId="17FA6AAF">
            <w:pPr>
              <w:keepNext w:val="0"/>
              <w:keepLines w:val="0"/>
              <w:pageBreakBefore w:val="0"/>
              <w:kinsoku/>
              <w:wordWrap/>
              <w:overflowPunct/>
              <w:topLinePunct w:val="0"/>
              <w:autoSpaceDE/>
              <w:autoSpaceDN/>
              <w:bidi w:val="0"/>
              <w:adjustRightInd/>
              <w:snapToGrid/>
              <w:spacing w:line="340" w:lineRule="exact"/>
              <w:jc w:val="left"/>
              <w:textAlignment w:val="auto"/>
              <w:rPr>
                <w:color w:val="auto"/>
                <w:szCs w:val="21"/>
                <w:highlight w:val="none"/>
              </w:rPr>
            </w:pPr>
            <w:r>
              <w:rPr>
                <w:rFonts w:hint="eastAsia"/>
                <w:color w:val="auto"/>
                <w:szCs w:val="21"/>
                <w:highlight w:val="none"/>
              </w:rPr>
              <w:t>只能有一个有效报价</w:t>
            </w:r>
          </w:p>
        </w:tc>
      </w:tr>
      <w:tr w14:paraId="46FD3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vAlign w:val="center"/>
          </w:tcPr>
          <w:p w14:paraId="646A3BDC">
            <w:pPr>
              <w:keepNext w:val="0"/>
              <w:keepLines w:val="0"/>
              <w:pageBreakBefore w:val="0"/>
              <w:kinsoku/>
              <w:wordWrap/>
              <w:overflowPunct/>
              <w:topLinePunct w:val="0"/>
              <w:autoSpaceDE/>
              <w:autoSpaceDN/>
              <w:bidi w:val="0"/>
              <w:adjustRightInd/>
              <w:snapToGrid/>
              <w:spacing w:line="340" w:lineRule="exact"/>
              <w:jc w:val="center"/>
              <w:textAlignment w:val="auto"/>
              <w:rPr>
                <w:color w:val="auto"/>
                <w:highlight w:val="none"/>
              </w:rPr>
            </w:pPr>
          </w:p>
        </w:tc>
        <w:tc>
          <w:tcPr>
            <w:tcW w:w="1701" w:type="dxa"/>
            <w:gridSpan w:val="2"/>
            <w:vMerge w:val="continue"/>
            <w:vAlign w:val="center"/>
          </w:tcPr>
          <w:p w14:paraId="59250392">
            <w:pPr>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p>
        </w:tc>
        <w:tc>
          <w:tcPr>
            <w:tcW w:w="2409" w:type="dxa"/>
            <w:shd w:val="clear" w:color="auto" w:fill="auto"/>
            <w:vAlign w:val="center"/>
          </w:tcPr>
          <w:p w14:paraId="28B929B5">
            <w:pPr>
              <w:keepNext w:val="0"/>
              <w:keepLines w:val="0"/>
              <w:suppressLineNumbers w:val="0"/>
              <w:spacing w:before="0" w:beforeAutospacing="0" w:after="0" w:afterAutospacing="0"/>
              <w:ind w:left="0" w:leftChars="0" w:right="0" w:rightChars="0"/>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其他</w:t>
            </w:r>
          </w:p>
        </w:tc>
        <w:tc>
          <w:tcPr>
            <w:tcW w:w="4155" w:type="dxa"/>
            <w:gridSpan w:val="2"/>
            <w:shd w:val="clear" w:color="auto" w:fill="auto"/>
            <w:vAlign w:val="center"/>
          </w:tcPr>
          <w:p w14:paraId="544E693B">
            <w:pPr>
              <w:keepNext w:val="0"/>
              <w:keepLines w:val="0"/>
              <w:suppressLineNumbers w:val="0"/>
              <w:spacing w:before="0" w:beforeAutospacing="0" w:after="0" w:afterAutospacing="0"/>
              <w:ind w:left="0" w:leftChars="0" w:right="0" w:rightChars="0"/>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其他</w:t>
            </w:r>
          </w:p>
        </w:tc>
      </w:tr>
      <w:tr w14:paraId="54DB3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restart"/>
            <w:vAlign w:val="center"/>
          </w:tcPr>
          <w:p w14:paraId="43500169">
            <w:pPr>
              <w:keepNext w:val="0"/>
              <w:keepLines w:val="0"/>
              <w:pageBreakBefore w:val="0"/>
              <w:kinsoku/>
              <w:wordWrap/>
              <w:overflowPunct/>
              <w:topLinePunct w:val="0"/>
              <w:autoSpaceDE/>
              <w:autoSpaceDN/>
              <w:bidi w:val="0"/>
              <w:adjustRightInd/>
              <w:snapToGrid/>
              <w:spacing w:line="340" w:lineRule="exact"/>
              <w:textAlignment w:val="auto"/>
              <w:rPr>
                <w:rFonts w:hint="eastAsia" w:eastAsia="宋体"/>
                <w:color w:val="auto"/>
                <w:highlight w:val="none"/>
                <w:lang w:eastAsia="zh-CN"/>
              </w:rPr>
            </w:pPr>
            <w:r>
              <w:rPr>
                <w:rFonts w:hint="eastAsia"/>
                <w:color w:val="auto"/>
                <w:highlight w:val="none"/>
              </w:rPr>
              <w:t>2.1.2</w:t>
            </w:r>
            <w:r>
              <w:rPr>
                <w:rFonts w:hint="eastAsia"/>
                <w:color w:val="auto"/>
                <w:highlight w:val="none"/>
                <w:lang w:eastAsia="zh-CN"/>
              </w:rPr>
              <w:t>（</w:t>
            </w:r>
            <w:r>
              <w:rPr>
                <w:rFonts w:hint="eastAsia"/>
                <w:color w:val="auto"/>
                <w:highlight w:val="none"/>
              </w:rPr>
              <w:t>12</w:t>
            </w:r>
            <w:r>
              <w:rPr>
                <w:rFonts w:hint="eastAsia"/>
                <w:color w:val="auto"/>
                <w:highlight w:val="none"/>
                <w:lang w:eastAsia="zh-CN"/>
              </w:rPr>
              <w:t>）</w:t>
            </w:r>
          </w:p>
        </w:tc>
        <w:tc>
          <w:tcPr>
            <w:tcW w:w="1701" w:type="dxa"/>
            <w:gridSpan w:val="2"/>
            <w:vMerge w:val="restart"/>
            <w:vAlign w:val="center"/>
          </w:tcPr>
          <w:p w14:paraId="22057006">
            <w:pPr>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r>
              <w:rPr>
                <w:rFonts w:hint="eastAsia"/>
                <w:color w:val="auto"/>
                <w:highlight w:val="none"/>
              </w:rPr>
              <w:t>资格评审</w:t>
            </w:r>
          </w:p>
        </w:tc>
        <w:tc>
          <w:tcPr>
            <w:tcW w:w="2409" w:type="dxa"/>
            <w:vAlign w:val="center"/>
          </w:tcPr>
          <w:p w14:paraId="25C9BAD4">
            <w:pPr>
              <w:keepNext w:val="0"/>
              <w:keepLines w:val="0"/>
              <w:pageBreakBefore w:val="0"/>
              <w:kinsoku/>
              <w:wordWrap/>
              <w:overflowPunct/>
              <w:topLinePunct w:val="0"/>
              <w:autoSpaceDE/>
              <w:autoSpaceDN/>
              <w:bidi w:val="0"/>
              <w:adjustRightInd/>
              <w:snapToGrid/>
              <w:spacing w:line="340" w:lineRule="exact"/>
              <w:jc w:val="left"/>
              <w:textAlignment w:val="auto"/>
              <w:rPr>
                <w:color w:val="auto"/>
                <w:highlight w:val="none"/>
              </w:rPr>
            </w:pPr>
            <w:r>
              <w:rPr>
                <w:rFonts w:hint="eastAsia"/>
                <w:color w:val="auto"/>
                <w:highlight w:val="none"/>
              </w:rPr>
              <w:t>资质要求</w:t>
            </w:r>
          </w:p>
        </w:tc>
        <w:tc>
          <w:tcPr>
            <w:tcW w:w="4155" w:type="dxa"/>
            <w:gridSpan w:val="2"/>
            <w:vAlign w:val="center"/>
          </w:tcPr>
          <w:p w14:paraId="64380691">
            <w:pPr>
              <w:keepNext w:val="0"/>
              <w:keepLines w:val="0"/>
              <w:pageBreakBefore w:val="0"/>
              <w:kinsoku/>
              <w:wordWrap/>
              <w:overflowPunct/>
              <w:topLinePunct w:val="0"/>
              <w:autoSpaceDE/>
              <w:autoSpaceDN/>
              <w:bidi w:val="0"/>
              <w:adjustRightInd/>
              <w:snapToGrid/>
              <w:spacing w:line="340" w:lineRule="exact"/>
              <w:jc w:val="left"/>
              <w:textAlignment w:val="auto"/>
              <w:rPr>
                <w:color w:val="auto"/>
                <w:highlight w:val="none"/>
              </w:rPr>
            </w:pPr>
            <w:r>
              <w:rPr>
                <w:rFonts w:hint="eastAsia"/>
                <w:color w:val="auto"/>
                <w:highlight w:val="none"/>
              </w:rPr>
              <w:t>1、具备有效的营业执照</w:t>
            </w:r>
          </w:p>
          <w:p w14:paraId="47407FBA">
            <w:pPr>
              <w:keepNext w:val="0"/>
              <w:keepLines w:val="0"/>
              <w:pageBreakBefore w:val="0"/>
              <w:kinsoku/>
              <w:wordWrap/>
              <w:overflowPunct/>
              <w:topLinePunct w:val="0"/>
              <w:autoSpaceDE/>
              <w:autoSpaceDN/>
              <w:bidi w:val="0"/>
              <w:adjustRightInd/>
              <w:snapToGrid/>
              <w:spacing w:line="340" w:lineRule="exact"/>
              <w:jc w:val="left"/>
              <w:textAlignment w:val="auto"/>
              <w:rPr>
                <w:color w:val="auto"/>
                <w:highlight w:val="none"/>
              </w:rPr>
            </w:pPr>
            <w:r>
              <w:rPr>
                <w:rFonts w:hint="eastAsia"/>
                <w:color w:val="auto"/>
                <w:highlight w:val="none"/>
              </w:rPr>
              <w:t>2、具备有效的安全生产许可证</w:t>
            </w:r>
          </w:p>
          <w:p w14:paraId="3B8739E6">
            <w:pPr>
              <w:keepNext w:val="0"/>
              <w:keepLines w:val="0"/>
              <w:pageBreakBefore w:val="0"/>
              <w:kinsoku/>
              <w:wordWrap/>
              <w:overflowPunct/>
              <w:topLinePunct w:val="0"/>
              <w:autoSpaceDE/>
              <w:autoSpaceDN/>
              <w:bidi w:val="0"/>
              <w:adjustRightInd/>
              <w:snapToGrid/>
              <w:spacing w:line="340" w:lineRule="exact"/>
              <w:jc w:val="left"/>
              <w:textAlignment w:val="auto"/>
              <w:rPr>
                <w:color w:val="auto"/>
                <w:highlight w:val="none"/>
              </w:rPr>
            </w:pPr>
            <w:r>
              <w:rPr>
                <w:rFonts w:hint="eastAsia"/>
                <w:color w:val="auto"/>
                <w:highlight w:val="none"/>
              </w:rPr>
              <w:t>3、具备有效的资质证书且资质等级符合第2章投标人须知第1.4.1款规定</w:t>
            </w:r>
          </w:p>
        </w:tc>
      </w:tr>
      <w:tr w14:paraId="38720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vAlign w:val="center"/>
          </w:tcPr>
          <w:p w14:paraId="02CCE6D7">
            <w:pPr>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p>
        </w:tc>
        <w:tc>
          <w:tcPr>
            <w:tcW w:w="1701" w:type="dxa"/>
            <w:gridSpan w:val="2"/>
            <w:vMerge w:val="continue"/>
            <w:vAlign w:val="center"/>
          </w:tcPr>
          <w:p w14:paraId="27CC6CD1">
            <w:pPr>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p>
        </w:tc>
        <w:tc>
          <w:tcPr>
            <w:tcW w:w="2409" w:type="dxa"/>
            <w:vAlign w:val="center"/>
          </w:tcPr>
          <w:p w14:paraId="43E8EDAF">
            <w:pPr>
              <w:keepNext w:val="0"/>
              <w:keepLines w:val="0"/>
              <w:pageBreakBefore w:val="0"/>
              <w:kinsoku/>
              <w:wordWrap/>
              <w:overflowPunct/>
              <w:topLinePunct w:val="0"/>
              <w:autoSpaceDE/>
              <w:autoSpaceDN/>
              <w:bidi w:val="0"/>
              <w:adjustRightInd/>
              <w:snapToGrid/>
              <w:spacing w:line="340" w:lineRule="exact"/>
              <w:jc w:val="left"/>
              <w:textAlignment w:val="auto"/>
              <w:rPr>
                <w:color w:val="auto"/>
                <w:highlight w:val="none"/>
              </w:rPr>
            </w:pPr>
            <w:r>
              <w:rPr>
                <w:rFonts w:hint="eastAsia"/>
                <w:color w:val="auto"/>
                <w:highlight w:val="none"/>
              </w:rPr>
              <w:t>财务状况</w:t>
            </w:r>
          </w:p>
        </w:tc>
        <w:tc>
          <w:tcPr>
            <w:tcW w:w="4155" w:type="dxa"/>
            <w:gridSpan w:val="2"/>
            <w:vAlign w:val="center"/>
          </w:tcPr>
          <w:p w14:paraId="4EF72B87">
            <w:pPr>
              <w:keepNext w:val="0"/>
              <w:keepLines w:val="0"/>
              <w:pageBreakBefore w:val="0"/>
              <w:kinsoku/>
              <w:wordWrap/>
              <w:overflowPunct/>
              <w:topLinePunct w:val="0"/>
              <w:autoSpaceDE/>
              <w:autoSpaceDN/>
              <w:bidi w:val="0"/>
              <w:adjustRightInd/>
              <w:snapToGrid/>
              <w:spacing w:line="340" w:lineRule="exact"/>
              <w:jc w:val="left"/>
              <w:textAlignment w:val="auto"/>
              <w:rPr>
                <w:color w:val="auto"/>
                <w:highlight w:val="none"/>
              </w:rPr>
            </w:pPr>
            <w:r>
              <w:rPr>
                <w:rFonts w:hint="eastAsia"/>
                <w:color w:val="auto"/>
                <w:highlight w:val="none"/>
              </w:rPr>
              <w:t>财务状况符合第2章投标人须知第1.4.1款规定</w:t>
            </w:r>
          </w:p>
        </w:tc>
      </w:tr>
      <w:tr w14:paraId="7A2D8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vAlign w:val="center"/>
          </w:tcPr>
          <w:p w14:paraId="3A3458EC">
            <w:pPr>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p>
        </w:tc>
        <w:tc>
          <w:tcPr>
            <w:tcW w:w="1701" w:type="dxa"/>
            <w:gridSpan w:val="2"/>
            <w:vMerge w:val="continue"/>
            <w:vAlign w:val="center"/>
          </w:tcPr>
          <w:p w14:paraId="02F231EE">
            <w:pPr>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p>
        </w:tc>
        <w:tc>
          <w:tcPr>
            <w:tcW w:w="2409" w:type="dxa"/>
            <w:vAlign w:val="center"/>
          </w:tcPr>
          <w:p w14:paraId="0109775A">
            <w:pPr>
              <w:keepNext w:val="0"/>
              <w:keepLines w:val="0"/>
              <w:pageBreakBefore w:val="0"/>
              <w:kinsoku/>
              <w:wordWrap/>
              <w:overflowPunct/>
              <w:topLinePunct w:val="0"/>
              <w:autoSpaceDE/>
              <w:autoSpaceDN/>
              <w:bidi w:val="0"/>
              <w:adjustRightInd/>
              <w:snapToGrid/>
              <w:spacing w:line="340" w:lineRule="exact"/>
              <w:jc w:val="left"/>
              <w:textAlignment w:val="auto"/>
              <w:rPr>
                <w:color w:val="auto"/>
                <w:highlight w:val="none"/>
              </w:rPr>
            </w:pPr>
            <w:r>
              <w:rPr>
                <w:rFonts w:hint="eastAsia"/>
                <w:color w:val="auto"/>
                <w:highlight w:val="none"/>
              </w:rPr>
              <w:t>项目经理</w:t>
            </w:r>
          </w:p>
        </w:tc>
        <w:tc>
          <w:tcPr>
            <w:tcW w:w="4155" w:type="dxa"/>
            <w:gridSpan w:val="2"/>
            <w:vAlign w:val="center"/>
          </w:tcPr>
          <w:p w14:paraId="408F7246">
            <w:pPr>
              <w:keepNext w:val="0"/>
              <w:keepLines w:val="0"/>
              <w:pageBreakBefore w:val="0"/>
              <w:kinsoku/>
              <w:wordWrap/>
              <w:overflowPunct/>
              <w:topLinePunct w:val="0"/>
              <w:autoSpaceDE/>
              <w:autoSpaceDN/>
              <w:bidi w:val="0"/>
              <w:adjustRightInd/>
              <w:snapToGrid/>
              <w:spacing w:line="340" w:lineRule="exact"/>
              <w:jc w:val="left"/>
              <w:textAlignment w:val="auto"/>
              <w:rPr>
                <w:color w:val="auto"/>
                <w:highlight w:val="none"/>
              </w:rPr>
            </w:pPr>
            <w:r>
              <w:rPr>
                <w:rFonts w:hint="eastAsia"/>
                <w:color w:val="auto"/>
                <w:highlight w:val="none"/>
              </w:rPr>
              <w:t>符合第2章投标人须知第1.4.1款规定</w:t>
            </w:r>
          </w:p>
        </w:tc>
      </w:tr>
      <w:tr w14:paraId="0D51B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vAlign w:val="center"/>
          </w:tcPr>
          <w:p w14:paraId="3EB21DB9">
            <w:pPr>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p>
        </w:tc>
        <w:tc>
          <w:tcPr>
            <w:tcW w:w="1701" w:type="dxa"/>
            <w:gridSpan w:val="2"/>
            <w:vMerge w:val="continue"/>
            <w:vAlign w:val="center"/>
          </w:tcPr>
          <w:p w14:paraId="59347902">
            <w:pPr>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p>
        </w:tc>
        <w:tc>
          <w:tcPr>
            <w:tcW w:w="2409" w:type="dxa"/>
            <w:vAlign w:val="center"/>
          </w:tcPr>
          <w:p w14:paraId="408E619B">
            <w:pPr>
              <w:keepNext w:val="0"/>
              <w:keepLines w:val="0"/>
              <w:pageBreakBefore w:val="0"/>
              <w:kinsoku/>
              <w:wordWrap/>
              <w:overflowPunct/>
              <w:topLinePunct w:val="0"/>
              <w:autoSpaceDE/>
              <w:autoSpaceDN/>
              <w:bidi w:val="0"/>
              <w:adjustRightInd/>
              <w:snapToGrid/>
              <w:spacing w:line="340" w:lineRule="exact"/>
              <w:jc w:val="left"/>
              <w:textAlignment w:val="auto"/>
              <w:rPr>
                <w:color w:val="auto"/>
                <w:highlight w:val="none"/>
              </w:rPr>
            </w:pPr>
            <w:r>
              <w:rPr>
                <w:rFonts w:hint="eastAsia"/>
                <w:color w:val="auto"/>
                <w:highlight w:val="none"/>
              </w:rPr>
              <w:t>技术负责人资格</w:t>
            </w:r>
          </w:p>
        </w:tc>
        <w:tc>
          <w:tcPr>
            <w:tcW w:w="4155" w:type="dxa"/>
            <w:gridSpan w:val="2"/>
            <w:vAlign w:val="center"/>
          </w:tcPr>
          <w:p w14:paraId="0525354F">
            <w:pPr>
              <w:keepNext w:val="0"/>
              <w:keepLines w:val="0"/>
              <w:pageBreakBefore w:val="0"/>
              <w:kinsoku/>
              <w:wordWrap/>
              <w:overflowPunct/>
              <w:topLinePunct w:val="0"/>
              <w:autoSpaceDE/>
              <w:autoSpaceDN/>
              <w:bidi w:val="0"/>
              <w:adjustRightInd/>
              <w:snapToGrid/>
              <w:spacing w:line="340" w:lineRule="exact"/>
              <w:jc w:val="left"/>
              <w:textAlignment w:val="auto"/>
              <w:rPr>
                <w:color w:val="auto"/>
                <w:highlight w:val="none"/>
              </w:rPr>
            </w:pPr>
            <w:r>
              <w:rPr>
                <w:rFonts w:hint="eastAsia"/>
                <w:color w:val="auto"/>
                <w:highlight w:val="none"/>
              </w:rPr>
              <w:t>符合第2章投标人须知第1.4.1款规定</w:t>
            </w:r>
          </w:p>
        </w:tc>
      </w:tr>
      <w:tr w14:paraId="36174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93" w:type="dxa"/>
            <w:vMerge w:val="continue"/>
            <w:vAlign w:val="center"/>
          </w:tcPr>
          <w:p w14:paraId="13AD4150">
            <w:pPr>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p>
        </w:tc>
        <w:tc>
          <w:tcPr>
            <w:tcW w:w="1701" w:type="dxa"/>
            <w:gridSpan w:val="2"/>
            <w:vMerge w:val="continue"/>
            <w:vAlign w:val="center"/>
          </w:tcPr>
          <w:p w14:paraId="666AB9FA">
            <w:pPr>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p>
        </w:tc>
        <w:tc>
          <w:tcPr>
            <w:tcW w:w="2409" w:type="dxa"/>
            <w:shd w:val="clear" w:color="auto" w:fill="auto"/>
            <w:vAlign w:val="center"/>
          </w:tcPr>
          <w:p w14:paraId="6E27654C">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安全负责人</w:t>
            </w:r>
          </w:p>
        </w:tc>
        <w:tc>
          <w:tcPr>
            <w:tcW w:w="4155" w:type="dxa"/>
            <w:gridSpan w:val="2"/>
            <w:shd w:val="clear" w:color="auto" w:fill="auto"/>
            <w:vAlign w:val="center"/>
          </w:tcPr>
          <w:p w14:paraId="2B4EA6BD">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符合第2章投标人须知第1.4.1款规定；</w:t>
            </w:r>
          </w:p>
        </w:tc>
      </w:tr>
      <w:tr w14:paraId="3B5C7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vAlign w:val="center"/>
          </w:tcPr>
          <w:p w14:paraId="5AF4FE74">
            <w:pPr>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p>
        </w:tc>
        <w:tc>
          <w:tcPr>
            <w:tcW w:w="1701" w:type="dxa"/>
            <w:gridSpan w:val="2"/>
            <w:vMerge w:val="continue"/>
            <w:vAlign w:val="center"/>
          </w:tcPr>
          <w:p w14:paraId="58B5ED45">
            <w:pPr>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p>
        </w:tc>
        <w:tc>
          <w:tcPr>
            <w:tcW w:w="2409" w:type="dxa"/>
            <w:shd w:val="clear" w:color="auto" w:fill="auto"/>
            <w:vAlign w:val="top"/>
          </w:tcPr>
          <w:p w14:paraId="1E75AF02">
            <w:pPr>
              <w:keepNext w:val="0"/>
              <w:keepLines w:val="0"/>
              <w:suppressLineNumbers w:val="0"/>
              <w:spacing w:before="0" w:beforeAutospacing="0" w:after="0" w:afterAutospacing="0" w:line="240" w:lineRule="auto"/>
              <w:ind w:left="0" w:leftChars="0" w:right="0" w:rightChars="0"/>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olor w:val="auto"/>
                <w:sz w:val="21"/>
                <w:szCs w:val="21"/>
                <w:highlight w:val="none"/>
                <w:shd w:val="clear" w:color="auto" w:fill="auto"/>
              </w:rPr>
              <w:t>联合体投标人（如有）</w:t>
            </w:r>
          </w:p>
        </w:tc>
        <w:tc>
          <w:tcPr>
            <w:tcW w:w="4155" w:type="dxa"/>
            <w:gridSpan w:val="2"/>
            <w:shd w:val="clear" w:color="auto" w:fill="auto"/>
            <w:vAlign w:val="center"/>
          </w:tcPr>
          <w:p w14:paraId="71A8E843">
            <w:pPr>
              <w:keepNext w:val="0"/>
              <w:keepLines w:val="0"/>
              <w:suppressLineNumbers w:val="0"/>
              <w:spacing w:before="0" w:beforeAutospacing="0" w:after="0" w:afterAutospacing="0" w:line="240" w:lineRule="auto"/>
              <w:ind w:left="0" w:leftChars="0" w:right="0" w:rightChars="0"/>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olor w:val="auto"/>
                <w:sz w:val="21"/>
                <w:szCs w:val="21"/>
                <w:highlight w:val="none"/>
                <w:shd w:val="clear" w:color="auto" w:fill="auto"/>
              </w:rPr>
              <w:t>符合第二章“投标人须知”第1.4.2项规定</w:t>
            </w:r>
          </w:p>
        </w:tc>
      </w:tr>
      <w:tr w14:paraId="1F9EB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vAlign w:val="center"/>
          </w:tcPr>
          <w:p w14:paraId="30B55A07">
            <w:pPr>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p>
        </w:tc>
        <w:tc>
          <w:tcPr>
            <w:tcW w:w="1701" w:type="dxa"/>
            <w:gridSpan w:val="2"/>
            <w:vMerge w:val="continue"/>
            <w:vAlign w:val="center"/>
          </w:tcPr>
          <w:p w14:paraId="666B478C">
            <w:pPr>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p>
        </w:tc>
        <w:tc>
          <w:tcPr>
            <w:tcW w:w="2409" w:type="dxa"/>
            <w:vAlign w:val="center"/>
          </w:tcPr>
          <w:p w14:paraId="087139E5">
            <w:pPr>
              <w:keepNext w:val="0"/>
              <w:keepLines w:val="0"/>
              <w:pageBreakBefore w:val="0"/>
              <w:kinsoku/>
              <w:wordWrap/>
              <w:overflowPunct/>
              <w:topLinePunct w:val="0"/>
              <w:autoSpaceDE/>
              <w:autoSpaceDN/>
              <w:bidi w:val="0"/>
              <w:adjustRightInd/>
              <w:snapToGrid/>
              <w:spacing w:line="340" w:lineRule="exact"/>
              <w:jc w:val="left"/>
              <w:textAlignment w:val="auto"/>
              <w:rPr>
                <w:color w:val="auto"/>
                <w:highlight w:val="none"/>
              </w:rPr>
            </w:pPr>
            <w:r>
              <w:rPr>
                <w:rFonts w:hint="eastAsia"/>
                <w:color w:val="auto"/>
                <w:highlight w:val="none"/>
              </w:rPr>
              <w:t>其他要求</w:t>
            </w:r>
          </w:p>
        </w:tc>
        <w:tc>
          <w:tcPr>
            <w:tcW w:w="4155" w:type="dxa"/>
            <w:gridSpan w:val="2"/>
            <w:vAlign w:val="center"/>
          </w:tcPr>
          <w:p w14:paraId="1C6CD48E">
            <w:pPr>
              <w:keepNext w:val="0"/>
              <w:keepLines w:val="0"/>
              <w:pageBreakBefore w:val="0"/>
              <w:kinsoku/>
              <w:wordWrap/>
              <w:overflowPunct/>
              <w:topLinePunct w:val="0"/>
              <w:autoSpaceDE/>
              <w:autoSpaceDN/>
              <w:bidi w:val="0"/>
              <w:adjustRightInd/>
              <w:snapToGrid/>
              <w:spacing w:line="340" w:lineRule="exact"/>
              <w:jc w:val="left"/>
              <w:textAlignment w:val="auto"/>
              <w:rPr>
                <w:color w:val="auto"/>
                <w:highlight w:val="none"/>
              </w:rPr>
            </w:pPr>
            <w:r>
              <w:rPr>
                <w:rFonts w:hint="eastAsia"/>
                <w:color w:val="auto"/>
                <w:highlight w:val="none"/>
              </w:rPr>
              <w:t>符合第2章投标人须知第1.4.1款规定</w:t>
            </w:r>
          </w:p>
        </w:tc>
      </w:tr>
      <w:tr w14:paraId="379A0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restart"/>
            <w:vAlign w:val="center"/>
          </w:tcPr>
          <w:p w14:paraId="4664A4EA">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eastAsia="宋体"/>
                <w:color w:val="auto"/>
                <w:highlight w:val="none"/>
                <w:lang w:eastAsia="zh-CN"/>
              </w:rPr>
            </w:pPr>
            <w:r>
              <w:rPr>
                <w:rFonts w:hint="eastAsia"/>
                <w:color w:val="auto"/>
                <w:highlight w:val="none"/>
              </w:rPr>
              <w:t>2.1.3</w:t>
            </w:r>
            <w:r>
              <w:rPr>
                <w:rFonts w:hint="eastAsia"/>
                <w:color w:val="auto"/>
                <w:highlight w:val="none"/>
                <w:lang w:eastAsia="zh-CN"/>
              </w:rPr>
              <w:t>（</w:t>
            </w:r>
            <w:r>
              <w:rPr>
                <w:rFonts w:hint="eastAsia"/>
                <w:color w:val="auto"/>
                <w:highlight w:val="none"/>
              </w:rPr>
              <w:t>9</w:t>
            </w:r>
            <w:r>
              <w:rPr>
                <w:rFonts w:hint="eastAsia"/>
                <w:color w:val="auto"/>
                <w:highlight w:val="none"/>
                <w:lang w:eastAsia="zh-CN"/>
              </w:rPr>
              <w:t>）</w:t>
            </w:r>
          </w:p>
        </w:tc>
        <w:tc>
          <w:tcPr>
            <w:tcW w:w="1701" w:type="dxa"/>
            <w:gridSpan w:val="2"/>
            <w:vMerge w:val="restart"/>
            <w:vAlign w:val="center"/>
          </w:tcPr>
          <w:p w14:paraId="0EEE4CC4">
            <w:pPr>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r>
              <w:rPr>
                <w:rFonts w:hint="eastAsia"/>
                <w:color w:val="auto"/>
                <w:highlight w:val="none"/>
              </w:rPr>
              <w:t>响应性评审</w:t>
            </w:r>
          </w:p>
        </w:tc>
        <w:tc>
          <w:tcPr>
            <w:tcW w:w="2409" w:type="dxa"/>
            <w:vAlign w:val="center"/>
          </w:tcPr>
          <w:p w14:paraId="121A5C0E">
            <w:pPr>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r>
              <w:rPr>
                <w:rFonts w:hint="eastAsia"/>
                <w:color w:val="auto"/>
                <w:highlight w:val="none"/>
              </w:rPr>
              <w:t>投标范围</w:t>
            </w:r>
          </w:p>
        </w:tc>
        <w:tc>
          <w:tcPr>
            <w:tcW w:w="4155" w:type="dxa"/>
            <w:gridSpan w:val="2"/>
            <w:vAlign w:val="center"/>
          </w:tcPr>
          <w:p w14:paraId="31573581">
            <w:pPr>
              <w:keepNext w:val="0"/>
              <w:keepLines w:val="0"/>
              <w:pageBreakBefore w:val="0"/>
              <w:widowControl/>
              <w:kinsoku/>
              <w:wordWrap/>
              <w:overflowPunct/>
              <w:topLinePunct w:val="0"/>
              <w:autoSpaceDE/>
              <w:autoSpaceDN/>
              <w:bidi w:val="0"/>
              <w:adjustRightInd/>
              <w:snapToGrid/>
              <w:spacing w:line="340" w:lineRule="exact"/>
              <w:jc w:val="left"/>
              <w:textAlignment w:val="auto"/>
              <w:rPr>
                <w:color w:val="auto"/>
                <w:kern w:val="0"/>
                <w:szCs w:val="21"/>
                <w:highlight w:val="none"/>
              </w:rPr>
            </w:pPr>
            <w:r>
              <w:rPr>
                <w:rFonts w:hint="eastAsia"/>
                <w:color w:val="auto"/>
                <w:szCs w:val="21"/>
                <w:highlight w:val="none"/>
              </w:rPr>
              <w:t>符合第</w:t>
            </w:r>
            <w:r>
              <w:rPr>
                <w:color w:val="auto"/>
                <w:szCs w:val="21"/>
                <w:highlight w:val="none"/>
              </w:rPr>
              <w:t>2</w:t>
            </w:r>
            <w:r>
              <w:rPr>
                <w:rFonts w:hint="eastAsia"/>
                <w:color w:val="auto"/>
                <w:szCs w:val="21"/>
                <w:highlight w:val="none"/>
              </w:rPr>
              <w:t>章投标人须知第</w:t>
            </w:r>
            <w:r>
              <w:rPr>
                <w:color w:val="auto"/>
                <w:szCs w:val="21"/>
                <w:highlight w:val="none"/>
              </w:rPr>
              <w:t>1.3.1</w:t>
            </w:r>
            <w:r>
              <w:rPr>
                <w:rFonts w:hint="eastAsia"/>
                <w:color w:val="auto"/>
                <w:szCs w:val="21"/>
                <w:highlight w:val="none"/>
              </w:rPr>
              <w:t>款规定</w:t>
            </w:r>
          </w:p>
        </w:tc>
      </w:tr>
      <w:tr w14:paraId="47090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vAlign w:val="center"/>
          </w:tcPr>
          <w:p w14:paraId="688F83AE">
            <w:pPr>
              <w:keepNext w:val="0"/>
              <w:keepLines w:val="0"/>
              <w:pageBreakBefore w:val="0"/>
              <w:kinsoku/>
              <w:wordWrap/>
              <w:overflowPunct/>
              <w:topLinePunct w:val="0"/>
              <w:autoSpaceDE/>
              <w:autoSpaceDN/>
              <w:bidi w:val="0"/>
              <w:adjustRightInd/>
              <w:snapToGrid/>
              <w:spacing w:line="340" w:lineRule="exact"/>
              <w:jc w:val="center"/>
              <w:textAlignment w:val="auto"/>
              <w:rPr>
                <w:color w:val="auto"/>
                <w:highlight w:val="none"/>
              </w:rPr>
            </w:pPr>
          </w:p>
        </w:tc>
        <w:tc>
          <w:tcPr>
            <w:tcW w:w="1701" w:type="dxa"/>
            <w:gridSpan w:val="2"/>
            <w:vMerge w:val="continue"/>
            <w:vAlign w:val="center"/>
          </w:tcPr>
          <w:p w14:paraId="3B045853">
            <w:pPr>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p>
        </w:tc>
        <w:tc>
          <w:tcPr>
            <w:tcW w:w="2409" w:type="dxa"/>
            <w:vAlign w:val="center"/>
          </w:tcPr>
          <w:p w14:paraId="2CB3F583">
            <w:pPr>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r>
              <w:rPr>
                <w:rFonts w:hint="eastAsia"/>
                <w:color w:val="auto"/>
                <w:highlight w:val="none"/>
              </w:rPr>
              <w:t>计划工期</w:t>
            </w:r>
          </w:p>
        </w:tc>
        <w:tc>
          <w:tcPr>
            <w:tcW w:w="4155" w:type="dxa"/>
            <w:gridSpan w:val="2"/>
            <w:vAlign w:val="center"/>
          </w:tcPr>
          <w:p w14:paraId="29CF4E33">
            <w:pPr>
              <w:keepNext w:val="0"/>
              <w:keepLines w:val="0"/>
              <w:pageBreakBefore w:val="0"/>
              <w:kinsoku/>
              <w:wordWrap/>
              <w:overflowPunct/>
              <w:topLinePunct w:val="0"/>
              <w:autoSpaceDE/>
              <w:autoSpaceDN/>
              <w:bidi w:val="0"/>
              <w:adjustRightInd/>
              <w:snapToGrid/>
              <w:spacing w:line="340" w:lineRule="exact"/>
              <w:textAlignment w:val="auto"/>
              <w:rPr>
                <w:color w:val="auto"/>
                <w:szCs w:val="21"/>
                <w:highlight w:val="none"/>
              </w:rPr>
            </w:pPr>
            <w:r>
              <w:rPr>
                <w:rFonts w:hint="eastAsia"/>
                <w:color w:val="auto"/>
                <w:szCs w:val="21"/>
                <w:highlight w:val="none"/>
              </w:rPr>
              <w:t>符合第</w:t>
            </w:r>
            <w:r>
              <w:rPr>
                <w:color w:val="auto"/>
                <w:szCs w:val="21"/>
                <w:highlight w:val="none"/>
              </w:rPr>
              <w:t>2</w:t>
            </w:r>
            <w:r>
              <w:rPr>
                <w:rFonts w:hint="eastAsia"/>
                <w:color w:val="auto"/>
                <w:szCs w:val="21"/>
                <w:highlight w:val="none"/>
              </w:rPr>
              <w:t>章投标人须知第</w:t>
            </w:r>
            <w:r>
              <w:rPr>
                <w:color w:val="auto"/>
                <w:szCs w:val="21"/>
                <w:highlight w:val="none"/>
              </w:rPr>
              <w:t>1.3.2</w:t>
            </w:r>
            <w:r>
              <w:rPr>
                <w:rFonts w:hint="eastAsia"/>
                <w:color w:val="auto"/>
                <w:szCs w:val="21"/>
                <w:highlight w:val="none"/>
              </w:rPr>
              <w:t>款规定</w:t>
            </w:r>
          </w:p>
        </w:tc>
      </w:tr>
      <w:tr w14:paraId="30FBF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vAlign w:val="center"/>
          </w:tcPr>
          <w:p w14:paraId="5790E58F">
            <w:pPr>
              <w:keepNext w:val="0"/>
              <w:keepLines w:val="0"/>
              <w:pageBreakBefore w:val="0"/>
              <w:kinsoku/>
              <w:wordWrap/>
              <w:overflowPunct/>
              <w:topLinePunct w:val="0"/>
              <w:autoSpaceDE/>
              <w:autoSpaceDN/>
              <w:bidi w:val="0"/>
              <w:adjustRightInd/>
              <w:snapToGrid/>
              <w:spacing w:line="340" w:lineRule="exact"/>
              <w:jc w:val="center"/>
              <w:textAlignment w:val="auto"/>
              <w:rPr>
                <w:color w:val="auto"/>
                <w:highlight w:val="none"/>
              </w:rPr>
            </w:pPr>
          </w:p>
        </w:tc>
        <w:tc>
          <w:tcPr>
            <w:tcW w:w="1701" w:type="dxa"/>
            <w:gridSpan w:val="2"/>
            <w:vMerge w:val="continue"/>
            <w:vAlign w:val="center"/>
          </w:tcPr>
          <w:p w14:paraId="5B960373">
            <w:pPr>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p>
        </w:tc>
        <w:tc>
          <w:tcPr>
            <w:tcW w:w="2409" w:type="dxa"/>
            <w:vAlign w:val="center"/>
          </w:tcPr>
          <w:p w14:paraId="603CC335">
            <w:pPr>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r>
              <w:rPr>
                <w:rFonts w:hint="eastAsia"/>
                <w:color w:val="auto"/>
                <w:highlight w:val="none"/>
              </w:rPr>
              <w:t>工程质量</w:t>
            </w:r>
          </w:p>
        </w:tc>
        <w:tc>
          <w:tcPr>
            <w:tcW w:w="4155" w:type="dxa"/>
            <w:gridSpan w:val="2"/>
            <w:vAlign w:val="center"/>
          </w:tcPr>
          <w:p w14:paraId="0B2F8496">
            <w:pPr>
              <w:keepNext w:val="0"/>
              <w:keepLines w:val="0"/>
              <w:pageBreakBefore w:val="0"/>
              <w:kinsoku/>
              <w:wordWrap/>
              <w:overflowPunct/>
              <w:topLinePunct w:val="0"/>
              <w:autoSpaceDE/>
              <w:autoSpaceDN/>
              <w:bidi w:val="0"/>
              <w:adjustRightInd/>
              <w:snapToGrid/>
              <w:spacing w:line="340" w:lineRule="exact"/>
              <w:textAlignment w:val="auto"/>
              <w:rPr>
                <w:color w:val="auto"/>
                <w:szCs w:val="21"/>
                <w:highlight w:val="none"/>
              </w:rPr>
            </w:pPr>
            <w:r>
              <w:rPr>
                <w:rFonts w:hint="eastAsia"/>
                <w:color w:val="auto"/>
                <w:szCs w:val="21"/>
                <w:highlight w:val="none"/>
              </w:rPr>
              <w:t>符合第</w:t>
            </w:r>
            <w:r>
              <w:rPr>
                <w:color w:val="auto"/>
                <w:szCs w:val="21"/>
                <w:highlight w:val="none"/>
              </w:rPr>
              <w:t>2</w:t>
            </w:r>
            <w:r>
              <w:rPr>
                <w:rFonts w:hint="eastAsia"/>
                <w:color w:val="auto"/>
                <w:szCs w:val="21"/>
                <w:highlight w:val="none"/>
              </w:rPr>
              <w:t>章投标人须知第</w:t>
            </w:r>
            <w:r>
              <w:rPr>
                <w:color w:val="auto"/>
                <w:szCs w:val="21"/>
                <w:highlight w:val="none"/>
              </w:rPr>
              <w:t>1.3.3</w:t>
            </w:r>
            <w:r>
              <w:rPr>
                <w:rFonts w:hint="eastAsia"/>
                <w:color w:val="auto"/>
                <w:szCs w:val="21"/>
                <w:highlight w:val="none"/>
              </w:rPr>
              <w:t>款规定</w:t>
            </w:r>
          </w:p>
        </w:tc>
      </w:tr>
      <w:tr w14:paraId="0FBE6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vAlign w:val="center"/>
          </w:tcPr>
          <w:p w14:paraId="00722AFE">
            <w:pPr>
              <w:keepNext w:val="0"/>
              <w:keepLines w:val="0"/>
              <w:pageBreakBefore w:val="0"/>
              <w:kinsoku/>
              <w:wordWrap/>
              <w:overflowPunct/>
              <w:topLinePunct w:val="0"/>
              <w:autoSpaceDE/>
              <w:autoSpaceDN/>
              <w:bidi w:val="0"/>
              <w:adjustRightInd/>
              <w:snapToGrid/>
              <w:spacing w:line="340" w:lineRule="exact"/>
              <w:jc w:val="center"/>
              <w:textAlignment w:val="auto"/>
              <w:rPr>
                <w:color w:val="auto"/>
                <w:highlight w:val="none"/>
              </w:rPr>
            </w:pPr>
          </w:p>
        </w:tc>
        <w:tc>
          <w:tcPr>
            <w:tcW w:w="1701" w:type="dxa"/>
            <w:gridSpan w:val="2"/>
            <w:vMerge w:val="continue"/>
            <w:vAlign w:val="center"/>
          </w:tcPr>
          <w:p w14:paraId="1FD8373F">
            <w:pPr>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p>
        </w:tc>
        <w:tc>
          <w:tcPr>
            <w:tcW w:w="2409" w:type="dxa"/>
            <w:vAlign w:val="center"/>
          </w:tcPr>
          <w:p w14:paraId="0471AFD1">
            <w:pPr>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r>
              <w:rPr>
                <w:rFonts w:hint="eastAsia"/>
                <w:color w:val="auto"/>
                <w:highlight w:val="none"/>
              </w:rPr>
              <w:t>投标有效期</w:t>
            </w:r>
          </w:p>
        </w:tc>
        <w:tc>
          <w:tcPr>
            <w:tcW w:w="4155" w:type="dxa"/>
            <w:gridSpan w:val="2"/>
            <w:vAlign w:val="center"/>
          </w:tcPr>
          <w:p w14:paraId="2CE6694E">
            <w:pPr>
              <w:keepNext w:val="0"/>
              <w:keepLines w:val="0"/>
              <w:pageBreakBefore w:val="0"/>
              <w:kinsoku/>
              <w:wordWrap/>
              <w:overflowPunct/>
              <w:topLinePunct w:val="0"/>
              <w:autoSpaceDE/>
              <w:autoSpaceDN/>
              <w:bidi w:val="0"/>
              <w:adjustRightInd/>
              <w:snapToGrid/>
              <w:spacing w:line="340" w:lineRule="exact"/>
              <w:textAlignment w:val="auto"/>
              <w:rPr>
                <w:color w:val="auto"/>
                <w:szCs w:val="21"/>
                <w:highlight w:val="none"/>
              </w:rPr>
            </w:pPr>
            <w:r>
              <w:rPr>
                <w:rFonts w:hint="eastAsia"/>
                <w:color w:val="auto"/>
                <w:szCs w:val="21"/>
                <w:highlight w:val="none"/>
              </w:rPr>
              <w:t>符合第</w:t>
            </w:r>
            <w:r>
              <w:rPr>
                <w:color w:val="auto"/>
                <w:szCs w:val="21"/>
                <w:highlight w:val="none"/>
              </w:rPr>
              <w:t>2</w:t>
            </w:r>
            <w:r>
              <w:rPr>
                <w:rFonts w:hint="eastAsia"/>
                <w:color w:val="auto"/>
                <w:szCs w:val="21"/>
                <w:highlight w:val="none"/>
              </w:rPr>
              <w:t>章投标人须知第</w:t>
            </w:r>
            <w:r>
              <w:rPr>
                <w:color w:val="auto"/>
                <w:szCs w:val="21"/>
                <w:highlight w:val="none"/>
              </w:rPr>
              <w:t>3.3.1</w:t>
            </w:r>
            <w:r>
              <w:rPr>
                <w:rFonts w:hint="eastAsia"/>
                <w:color w:val="auto"/>
                <w:szCs w:val="21"/>
                <w:highlight w:val="none"/>
              </w:rPr>
              <w:t>款规定</w:t>
            </w:r>
          </w:p>
        </w:tc>
      </w:tr>
      <w:tr w14:paraId="40C63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vAlign w:val="center"/>
          </w:tcPr>
          <w:p w14:paraId="5888927D">
            <w:pPr>
              <w:keepNext w:val="0"/>
              <w:keepLines w:val="0"/>
              <w:pageBreakBefore w:val="0"/>
              <w:kinsoku/>
              <w:wordWrap/>
              <w:overflowPunct/>
              <w:topLinePunct w:val="0"/>
              <w:autoSpaceDE/>
              <w:autoSpaceDN/>
              <w:bidi w:val="0"/>
              <w:adjustRightInd/>
              <w:snapToGrid/>
              <w:spacing w:line="340" w:lineRule="exact"/>
              <w:jc w:val="center"/>
              <w:textAlignment w:val="auto"/>
              <w:rPr>
                <w:color w:val="auto"/>
                <w:highlight w:val="none"/>
              </w:rPr>
            </w:pPr>
          </w:p>
        </w:tc>
        <w:tc>
          <w:tcPr>
            <w:tcW w:w="1701" w:type="dxa"/>
            <w:gridSpan w:val="2"/>
            <w:vMerge w:val="continue"/>
            <w:vAlign w:val="center"/>
          </w:tcPr>
          <w:p w14:paraId="5626DF32">
            <w:pPr>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p>
        </w:tc>
        <w:tc>
          <w:tcPr>
            <w:tcW w:w="2409" w:type="dxa"/>
            <w:vAlign w:val="center"/>
          </w:tcPr>
          <w:p w14:paraId="36041111">
            <w:pPr>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r>
              <w:rPr>
                <w:rFonts w:hint="eastAsia"/>
                <w:color w:val="auto"/>
                <w:highlight w:val="none"/>
              </w:rPr>
              <w:t>投标保证金</w:t>
            </w:r>
          </w:p>
        </w:tc>
        <w:tc>
          <w:tcPr>
            <w:tcW w:w="4155" w:type="dxa"/>
            <w:gridSpan w:val="2"/>
            <w:vAlign w:val="center"/>
          </w:tcPr>
          <w:p w14:paraId="791A7025">
            <w:pPr>
              <w:keepNext w:val="0"/>
              <w:keepLines w:val="0"/>
              <w:pageBreakBefore w:val="0"/>
              <w:kinsoku/>
              <w:wordWrap/>
              <w:overflowPunct/>
              <w:topLinePunct w:val="0"/>
              <w:autoSpaceDE/>
              <w:autoSpaceDN/>
              <w:bidi w:val="0"/>
              <w:adjustRightInd/>
              <w:snapToGrid/>
              <w:spacing w:line="340" w:lineRule="exact"/>
              <w:textAlignment w:val="auto"/>
              <w:rPr>
                <w:color w:val="auto"/>
                <w:szCs w:val="21"/>
                <w:highlight w:val="none"/>
              </w:rPr>
            </w:pPr>
            <w:r>
              <w:rPr>
                <w:rFonts w:hint="eastAsia"/>
                <w:color w:val="auto"/>
                <w:szCs w:val="21"/>
                <w:highlight w:val="none"/>
              </w:rPr>
              <w:t>第</w:t>
            </w:r>
            <w:r>
              <w:rPr>
                <w:color w:val="auto"/>
                <w:szCs w:val="21"/>
                <w:highlight w:val="none"/>
              </w:rPr>
              <w:t>2</w:t>
            </w:r>
            <w:r>
              <w:rPr>
                <w:rFonts w:hint="eastAsia"/>
                <w:color w:val="auto"/>
                <w:szCs w:val="21"/>
                <w:highlight w:val="none"/>
              </w:rPr>
              <w:t>章投标人须知第</w:t>
            </w:r>
            <w:r>
              <w:rPr>
                <w:color w:val="auto"/>
                <w:szCs w:val="21"/>
                <w:highlight w:val="none"/>
              </w:rPr>
              <w:t>3.4</w:t>
            </w:r>
            <w:r>
              <w:rPr>
                <w:rFonts w:hint="eastAsia"/>
                <w:color w:val="auto"/>
                <w:szCs w:val="21"/>
                <w:highlight w:val="none"/>
              </w:rPr>
              <w:t>条规定</w:t>
            </w:r>
          </w:p>
        </w:tc>
      </w:tr>
      <w:tr w14:paraId="42EE4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vAlign w:val="center"/>
          </w:tcPr>
          <w:p w14:paraId="21B9D9BA">
            <w:pPr>
              <w:keepNext w:val="0"/>
              <w:keepLines w:val="0"/>
              <w:pageBreakBefore w:val="0"/>
              <w:kinsoku/>
              <w:wordWrap/>
              <w:overflowPunct/>
              <w:topLinePunct w:val="0"/>
              <w:autoSpaceDE/>
              <w:autoSpaceDN/>
              <w:bidi w:val="0"/>
              <w:adjustRightInd/>
              <w:snapToGrid/>
              <w:spacing w:line="340" w:lineRule="exact"/>
              <w:jc w:val="center"/>
              <w:textAlignment w:val="auto"/>
              <w:rPr>
                <w:color w:val="auto"/>
                <w:highlight w:val="none"/>
              </w:rPr>
            </w:pPr>
          </w:p>
        </w:tc>
        <w:tc>
          <w:tcPr>
            <w:tcW w:w="1701" w:type="dxa"/>
            <w:gridSpan w:val="2"/>
            <w:vMerge w:val="continue"/>
            <w:vAlign w:val="center"/>
          </w:tcPr>
          <w:p w14:paraId="017FFCDE">
            <w:pPr>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p>
        </w:tc>
        <w:tc>
          <w:tcPr>
            <w:tcW w:w="2409" w:type="dxa"/>
            <w:vAlign w:val="center"/>
          </w:tcPr>
          <w:p w14:paraId="7933ED66">
            <w:pPr>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r>
              <w:rPr>
                <w:rFonts w:hint="eastAsia"/>
                <w:color w:val="auto"/>
                <w:highlight w:val="none"/>
              </w:rPr>
              <w:t>权利义务</w:t>
            </w:r>
          </w:p>
        </w:tc>
        <w:tc>
          <w:tcPr>
            <w:tcW w:w="4155" w:type="dxa"/>
            <w:gridSpan w:val="2"/>
            <w:vAlign w:val="center"/>
          </w:tcPr>
          <w:p w14:paraId="3D79F94E">
            <w:pPr>
              <w:keepNext w:val="0"/>
              <w:keepLines w:val="0"/>
              <w:pageBreakBefore w:val="0"/>
              <w:kinsoku/>
              <w:wordWrap/>
              <w:overflowPunct/>
              <w:topLinePunct w:val="0"/>
              <w:autoSpaceDE/>
              <w:autoSpaceDN/>
              <w:bidi w:val="0"/>
              <w:adjustRightInd/>
              <w:snapToGrid/>
              <w:spacing w:line="340" w:lineRule="exact"/>
              <w:textAlignment w:val="auto"/>
              <w:rPr>
                <w:color w:val="auto"/>
                <w:szCs w:val="21"/>
                <w:highlight w:val="none"/>
              </w:rPr>
            </w:pPr>
            <w:r>
              <w:rPr>
                <w:rFonts w:hint="eastAsia"/>
                <w:color w:val="auto"/>
                <w:szCs w:val="21"/>
                <w:highlight w:val="none"/>
              </w:rPr>
              <w:t>第</w:t>
            </w:r>
            <w:r>
              <w:rPr>
                <w:rFonts w:hint="eastAsia"/>
                <w:color w:val="auto"/>
                <w:szCs w:val="21"/>
                <w:highlight w:val="none"/>
                <w:lang w:val="en-US" w:eastAsia="zh-CN"/>
              </w:rPr>
              <w:t>4</w:t>
            </w:r>
            <w:r>
              <w:rPr>
                <w:rFonts w:hint="eastAsia"/>
                <w:color w:val="auto"/>
                <w:szCs w:val="21"/>
                <w:highlight w:val="none"/>
              </w:rPr>
              <w:t>章合同条款及格式规定的权利义务</w:t>
            </w:r>
          </w:p>
        </w:tc>
      </w:tr>
      <w:tr w14:paraId="5D8AC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vAlign w:val="center"/>
          </w:tcPr>
          <w:p w14:paraId="73EA9409">
            <w:pPr>
              <w:keepNext w:val="0"/>
              <w:keepLines w:val="0"/>
              <w:pageBreakBefore w:val="0"/>
              <w:kinsoku/>
              <w:wordWrap/>
              <w:overflowPunct/>
              <w:topLinePunct w:val="0"/>
              <w:autoSpaceDE/>
              <w:autoSpaceDN/>
              <w:bidi w:val="0"/>
              <w:adjustRightInd/>
              <w:snapToGrid/>
              <w:spacing w:line="340" w:lineRule="exact"/>
              <w:jc w:val="center"/>
              <w:textAlignment w:val="auto"/>
              <w:rPr>
                <w:color w:val="auto"/>
                <w:highlight w:val="none"/>
              </w:rPr>
            </w:pPr>
          </w:p>
        </w:tc>
        <w:tc>
          <w:tcPr>
            <w:tcW w:w="1701" w:type="dxa"/>
            <w:gridSpan w:val="2"/>
            <w:vMerge w:val="continue"/>
            <w:vAlign w:val="center"/>
          </w:tcPr>
          <w:p w14:paraId="6A78AA1B">
            <w:pPr>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p>
        </w:tc>
        <w:tc>
          <w:tcPr>
            <w:tcW w:w="2409" w:type="dxa"/>
            <w:vAlign w:val="center"/>
          </w:tcPr>
          <w:p w14:paraId="49529956">
            <w:pPr>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r>
              <w:rPr>
                <w:rFonts w:hint="eastAsia"/>
                <w:color w:val="auto"/>
                <w:highlight w:val="none"/>
              </w:rPr>
              <w:t>已标价工程量清单</w:t>
            </w:r>
          </w:p>
        </w:tc>
        <w:tc>
          <w:tcPr>
            <w:tcW w:w="4155" w:type="dxa"/>
            <w:gridSpan w:val="2"/>
            <w:vAlign w:val="center"/>
          </w:tcPr>
          <w:p w14:paraId="64838365">
            <w:pPr>
              <w:keepNext w:val="0"/>
              <w:keepLines w:val="0"/>
              <w:pageBreakBefore w:val="0"/>
              <w:kinsoku/>
              <w:wordWrap/>
              <w:overflowPunct/>
              <w:topLinePunct w:val="0"/>
              <w:autoSpaceDE/>
              <w:autoSpaceDN/>
              <w:bidi w:val="0"/>
              <w:adjustRightInd/>
              <w:snapToGrid/>
              <w:spacing w:line="340" w:lineRule="exact"/>
              <w:textAlignment w:val="auto"/>
              <w:rPr>
                <w:color w:val="auto"/>
                <w:szCs w:val="21"/>
                <w:highlight w:val="none"/>
              </w:rPr>
            </w:pPr>
            <w:r>
              <w:rPr>
                <w:rFonts w:hint="eastAsia"/>
                <w:color w:val="auto"/>
                <w:szCs w:val="21"/>
                <w:highlight w:val="none"/>
              </w:rPr>
              <w:t>符合第</w:t>
            </w:r>
            <w:r>
              <w:rPr>
                <w:color w:val="auto"/>
                <w:szCs w:val="21"/>
                <w:highlight w:val="none"/>
              </w:rPr>
              <w:t>5</w:t>
            </w:r>
            <w:r>
              <w:rPr>
                <w:rFonts w:hint="eastAsia"/>
                <w:color w:val="auto"/>
                <w:szCs w:val="21"/>
                <w:highlight w:val="none"/>
              </w:rPr>
              <w:t>章工程量清单填写的有关要求</w:t>
            </w:r>
          </w:p>
        </w:tc>
      </w:tr>
      <w:tr w14:paraId="3B935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vAlign w:val="center"/>
          </w:tcPr>
          <w:p w14:paraId="36D580EC">
            <w:pPr>
              <w:keepNext w:val="0"/>
              <w:keepLines w:val="0"/>
              <w:pageBreakBefore w:val="0"/>
              <w:kinsoku/>
              <w:wordWrap/>
              <w:overflowPunct/>
              <w:topLinePunct w:val="0"/>
              <w:autoSpaceDE/>
              <w:autoSpaceDN/>
              <w:bidi w:val="0"/>
              <w:adjustRightInd/>
              <w:snapToGrid/>
              <w:spacing w:line="340" w:lineRule="exact"/>
              <w:jc w:val="center"/>
              <w:textAlignment w:val="auto"/>
              <w:rPr>
                <w:color w:val="auto"/>
                <w:highlight w:val="none"/>
              </w:rPr>
            </w:pPr>
          </w:p>
        </w:tc>
        <w:tc>
          <w:tcPr>
            <w:tcW w:w="1701" w:type="dxa"/>
            <w:gridSpan w:val="2"/>
            <w:vMerge w:val="continue"/>
            <w:vAlign w:val="center"/>
          </w:tcPr>
          <w:p w14:paraId="34882ACF">
            <w:pPr>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p>
        </w:tc>
        <w:tc>
          <w:tcPr>
            <w:tcW w:w="2409" w:type="dxa"/>
            <w:vAlign w:val="center"/>
          </w:tcPr>
          <w:p w14:paraId="5788B251">
            <w:pPr>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r>
              <w:rPr>
                <w:rFonts w:hint="eastAsia"/>
                <w:color w:val="auto"/>
                <w:highlight w:val="none"/>
              </w:rPr>
              <w:t>技术标准</w:t>
            </w:r>
          </w:p>
        </w:tc>
        <w:tc>
          <w:tcPr>
            <w:tcW w:w="4155" w:type="dxa"/>
            <w:gridSpan w:val="2"/>
            <w:vAlign w:val="center"/>
          </w:tcPr>
          <w:p w14:paraId="1CC500FE">
            <w:pPr>
              <w:keepNext w:val="0"/>
              <w:keepLines w:val="0"/>
              <w:pageBreakBefore w:val="0"/>
              <w:kinsoku/>
              <w:wordWrap/>
              <w:overflowPunct/>
              <w:topLinePunct w:val="0"/>
              <w:autoSpaceDE/>
              <w:autoSpaceDN/>
              <w:bidi w:val="0"/>
              <w:adjustRightInd/>
              <w:snapToGrid/>
              <w:spacing w:line="340" w:lineRule="exact"/>
              <w:textAlignment w:val="auto"/>
              <w:rPr>
                <w:color w:val="auto"/>
                <w:szCs w:val="21"/>
                <w:highlight w:val="none"/>
              </w:rPr>
            </w:pPr>
            <w:r>
              <w:rPr>
                <w:rFonts w:hint="eastAsia"/>
                <w:color w:val="auto"/>
                <w:szCs w:val="21"/>
                <w:highlight w:val="none"/>
              </w:rPr>
              <w:t>符合第</w:t>
            </w:r>
            <w:r>
              <w:rPr>
                <w:color w:val="auto"/>
                <w:szCs w:val="21"/>
                <w:highlight w:val="none"/>
              </w:rPr>
              <w:t>7</w:t>
            </w:r>
            <w:r>
              <w:rPr>
                <w:rFonts w:hint="eastAsia"/>
                <w:color w:val="auto"/>
                <w:szCs w:val="21"/>
                <w:highlight w:val="none"/>
              </w:rPr>
              <w:t>章技术标准和要求</w:t>
            </w:r>
            <w:r>
              <w:rPr>
                <w:rFonts w:hint="eastAsia"/>
                <w:color w:val="auto"/>
                <w:szCs w:val="21"/>
                <w:highlight w:val="none"/>
                <w:lang w:eastAsia="zh-CN"/>
              </w:rPr>
              <w:t>（</w:t>
            </w:r>
            <w:r>
              <w:rPr>
                <w:rFonts w:hint="eastAsia"/>
                <w:color w:val="auto"/>
                <w:szCs w:val="21"/>
                <w:highlight w:val="none"/>
              </w:rPr>
              <w:t>合同技术条款</w:t>
            </w:r>
            <w:r>
              <w:rPr>
                <w:rFonts w:hint="eastAsia"/>
                <w:color w:val="auto"/>
                <w:szCs w:val="21"/>
                <w:highlight w:val="none"/>
                <w:lang w:eastAsia="zh-CN"/>
              </w:rPr>
              <w:t>）</w:t>
            </w:r>
            <w:r>
              <w:rPr>
                <w:rFonts w:hint="eastAsia"/>
                <w:color w:val="auto"/>
                <w:szCs w:val="21"/>
                <w:highlight w:val="none"/>
              </w:rPr>
              <w:t>的规定</w:t>
            </w:r>
          </w:p>
        </w:tc>
      </w:tr>
      <w:tr w14:paraId="4CDF4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94" w:type="dxa"/>
            <w:gridSpan w:val="3"/>
            <w:vAlign w:val="center"/>
          </w:tcPr>
          <w:p w14:paraId="4C961988">
            <w:pPr>
              <w:keepNext w:val="0"/>
              <w:keepLines w:val="0"/>
              <w:pageBreakBefore w:val="0"/>
              <w:kinsoku/>
              <w:wordWrap/>
              <w:overflowPunct/>
              <w:topLinePunct w:val="0"/>
              <w:autoSpaceDE/>
              <w:autoSpaceDN/>
              <w:bidi w:val="0"/>
              <w:adjustRightInd/>
              <w:snapToGrid/>
              <w:spacing w:line="340" w:lineRule="exact"/>
              <w:jc w:val="center"/>
              <w:textAlignment w:val="auto"/>
              <w:rPr>
                <w:color w:val="auto"/>
                <w:highlight w:val="none"/>
              </w:rPr>
            </w:pPr>
            <w:r>
              <w:rPr>
                <w:rFonts w:hint="eastAsia"/>
                <w:color w:val="auto"/>
                <w:highlight w:val="none"/>
              </w:rPr>
              <w:t>条款号</w:t>
            </w:r>
          </w:p>
        </w:tc>
        <w:tc>
          <w:tcPr>
            <w:tcW w:w="2409" w:type="dxa"/>
            <w:vAlign w:val="center"/>
          </w:tcPr>
          <w:p w14:paraId="6CEB7766">
            <w:pPr>
              <w:keepNext w:val="0"/>
              <w:keepLines w:val="0"/>
              <w:pageBreakBefore w:val="0"/>
              <w:kinsoku/>
              <w:wordWrap/>
              <w:overflowPunct/>
              <w:topLinePunct w:val="0"/>
              <w:autoSpaceDE/>
              <w:autoSpaceDN/>
              <w:bidi w:val="0"/>
              <w:adjustRightInd/>
              <w:snapToGrid/>
              <w:spacing w:line="340" w:lineRule="exact"/>
              <w:jc w:val="center"/>
              <w:textAlignment w:val="auto"/>
              <w:rPr>
                <w:color w:val="auto"/>
                <w:highlight w:val="none"/>
              </w:rPr>
            </w:pPr>
            <w:r>
              <w:rPr>
                <w:rFonts w:hint="eastAsia"/>
                <w:color w:val="auto"/>
                <w:highlight w:val="none"/>
              </w:rPr>
              <w:t>条款内容</w:t>
            </w:r>
          </w:p>
        </w:tc>
        <w:tc>
          <w:tcPr>
            <w:tcW w:w="4155" w:type="dxa"/>
            <w:gridSpan w:val="2"/>
            <w:vAlign w:val="center"/>
          </w:tcPr>
          <w:p w14:paraId="4C8536A1">
            <w:pPr>
              <w:keepNext w:val="0"/>
              <w:keepLines w:val="0"/>
              <w:pageBreakBefore w:val="0"/>
              <w:kinsoku/>
              <w:wordWrap/>
              <w:overflowPunct/>
              <w:topLinePunct w:val="0"/>
              <w:autoSpaceDE/>
              <w:autoSpaceDN/>
              <w:bidi w:val="0"/>
              <w:adjustRightInd/>
              <w:snapToGrid/>
              <w:spacing w:line="340" w:lineRule="exact"/>
              <w:jc w:val="center"/>
              <w:textAlignment w:val="auto"/>
              <w:rPr>
                <w:color w:val="auto"/>
                <w:highlight w:val="none"/>
              </w:rPr>
            </w:pPr>
            <w:r>
              <w:rPr>
                <w:rFonts w:hint="eastAsia"/>
                <w:color w:val="auto"/>
                <w:highlight w:val="none"/>
              </w:rPr>
              <w:t>编列内容</w:t>
            </w:r>
          </w:p>
        </w:tc>
      </w:tr>
      <w:tr w14:paraId="09E82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694" w:type="dxa"/>
            <w:gridSpan w:val="3"/>
            <w:vAlign w:val="center"/>
          </w:tcPr>
          <w:p w14:paraId="147050EA">
            <w:pPr>
              <w:keepNext w:val="0"/>
              <w:keepLines w:val="0"/>
              <w:pageBreakBefore w:val="0"/>
              <w:kinsoku/>
              <w:wordWrap/>
              <w:overflowPunct/>
              <w:topLinePunct w:val="0"/>
              <w:autoSpaceDE/>
              <w:autoSpaceDN/>
              <w:bidi w:val="0"/>
              <w:adjustRightInd/>
              <w:snapToGrid/>
              <w:spacing w:line="340" w:lineRule="exact"/>
              <w:jc w:val="center"/>
              <w:textAlignment w:val="auto"/>
              <w:rPr>
                <w:color w:val="auto"/>
                <w:highlight w:val="none"/>
              </w:rPr>
            </w:pPr>
            <w:r>
              <w:rPr>
                <w:rFonts w:hint="eastAsia"/>
                <w:color w:val="auto"/>
                <w:highlight w:val="none"/>
              </w:rPr>
              <w:t>2.2.1</w:t>
            </w:r>
          </w:p>
        </w:tc>
        <w:tc>
          <w:tcPr>
            <w:tcW w:w="2409" w:type="dxa"/>
            <w:vAlign w:val="center"/>
          </w:tcPr>
          <w:p w14:paraId="2AC4B1A9">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eastAsia="宋体"/>
                <w:color w:val="auto"/>
                <w:highlight w:val="none"/>
                <w:lang w:eastAsia="zh-CN"/>
              </w:rPr>
            </w:pPr>
            <w:r>
              <w:rPr>
                <w:rFonts w:hint="eastAsia"/>
                <w:color w:val="auto"/>
                <w:highlight w:val="none"/>
              </w:rPr>
              <w:t>分值构成</w:t>
            </w:r>
            <w:r>
              <w:rPr>
                <w:rFonts w:hint="eastAsia"/>
                <w:color w:val="auto"/>
                <w:highlight w:val="none"/>
                <w:lang w:eastAsia="zh-CN"/>
              </w:rPr>
              <w:t>（</w:t>
            </w:r>
            <w:r>
              <w:rPr>
                <w:rFonts w:hint="eastAsia"/>
                <w:color w:val="auto"/>
                <w:highlight w:val="none"/>
              </w:rPr>
              <w:t>总分100分</w:t>
            </w:r>
            <w:r>
              <w:rPr>
                <w:rFonts w:hint="eastAsia"/>
                <w:color w:val="auto"/>
                <w:highlight w:val="none"/>
                <w:lang w:eastAsia="zh-CN"/>
              </w:rPr>
              <w:t>）</w:t>
            </w:r>
          </w:p>
        </w:tc>
        <w:tc>
          <w:tcPr>
            <w:tcW w:w="4155" w:type="dxa"/>
            <w:gridSpan w:val="2"/>
            <w:vAlign w:val="center"/>
          </w:tcPr>
          <w:p w14:paraId="52E69635">
            <w:pPr>
              <w:keepNext w:val="0"/>
              <w:keepLines w:val="0"/>
              <w:pageBreakBefore w:val="0"/>
              <w:kinsoku/>
              <w:wordWrap/>
              <w:overflowPunct/>
              <w:topLinePunct w:val="0"/>
              <w:autoSpaceDE/>
              <w:autoSpaceDN/>
              <w:bidi w:val="0"/>
              <w:adjustRightInd/>
              <w:snapToGrid/>
              <w:spacing w:line="340" w:lineRule="exact"/>
              <w:textAlignment w:val="auto"/>
              <w:rPr>
                <w:rFonts w:hint="eastAsia"/>
                <w:i w:val="0"/>
                <w:iCs w:val="0"/>
                <w:color w:val="auto"/>
                <w:highlight w:val="none"/>
              </w:rPr>
            </w:pPr>
            <w:r>
              <w:rPr>
                <w:rFonts w:hint="eastAsia"/>
                <w:i w:val="0"/>
                <w:iCs w:val="0"/>
                <w:color w:val="auto"/>
                <w:highlight w:val="none"/>
              </w:rPr>
              <w:t>施工组织设计：</w:t>
            </w:r>
            <w:r>
              <w:rPr>
                <w:rFonts w:hint="eastAsia"/>
                <w:i w:val="0"/>
                <w:iCs w:val="0"/>
                <w:color w:val="auto"/>
                <w:highlight w:val="none"/>
                <w:u w:val="none"/>
              </w:rPr>
              <w:t xml:space="preserve">  </w:t>
            </w:r>
            <w:r>
              <w:rPr>
                <w:rFonts w:hint="eastAsia"/>
                <w:i w:val="0"/>
                <w:iCs w:val="0"/>
                <w:color w:val="auto"/>
                <w:highlight w:val="none"/>
              </w:rPr>
              <w:t>（</w:t>
            </w:r>
            <w:r>
              <w:rPr>
                <w:rFonts w:hint="eastAsia"/>
                <w:i w:val="0"/>
                <w:iCs w:val="0"/>
                <w:color w:val="auto"/>
                <w:highlight w:val="none"/>
                <w:lang w:val="en-US" w:eastAsia="zh-CN"/>
              </w:rPr>
              <w:t>25</w:t>
            </w:r>
            <w:r>
              <w:rPr>
                <w:rFonts w:hint="eastAsia"/>
                <w:i w:val="0"/>
                <w:iCs w:val="0"/>
                <w:color w:val="auto"/>
                <w:highlight w:val="none"/>
              </w:rPr>
              <w:t>-</w:t>
            </w:r>
            <w:r>
              <w:rPr>
                <w:rFonts w:hint="eastAsia"/>
                <w:i w:val="0"/>
                <w:iCs w:val="0"/>
                <w:color w:val="auto"/>
                <w:highlight w:val="none"/>
                <w:lang w:val="en-US" w:eastAsia="zh-CN"/>
              </w:rPr>
              <w:t>30</w:t>
            </w:r>
            <w:r>
              <w:rPr>
                <w:rFonts w:hint="eastAsia"/>
                <w:i w:val="0"/>
                <w:iCs w:val="0"/>
                <w:color w:val="auto"/>
                <w:highlight w:val="none"/>
              </w:rPr>
              <w:t>）分</w:t>
            </w:r>
          </w:p>
          <w:p w14:paraId="110D52D6">
            <w:pPr>
              <w:keepNext w:val="0"/>
              <w:keepLines w:val="0"/>
              <w:pageBreakBefore w:val="0"/>
              <w:kinsoku/>
              <w:wordWrap/>
              <w:overflowPunct/>
              <w:topLinePunct w:val="0"/>
              <w:autoSpaceDE/>
              <w:autoSpaceDN/>
              <w:bidi w:val="0"/>
              <w:adjustRightInd/>
              <w:snapToGrid/>
              <w:spacing w:line="340" w:lineRule="exact"/>
              <w:textAlignment w:val="auto"/>
              <w:rPr>
                <w:rFonts w:hint="eastAsia"/>
                <w:i w:val="0"/>
                <w:iCs w:val="0"/>
                <w:color w:val="auto"/>
                <w:highlight w:val="none"/>
              </w:rPr>
            </w:pPr>
            <w:r>
              <w:rPr>
                <w:rFonts w:hint="eastAsia"/>
                <w:i w:val="0"/>
                <w:iCs w:val="0"/>
                <w:color w:val="auto"/>
                <w:highlight w:val="none"/>
              </w:rPr>
              <w:t>企业</w:t>
            </w:r>
            <w:r>
              <w:rPr>
                <w:rFonts w:hint="default"/>
                <w:i w:val="0"/>
                <w:iCs w:val="0"/>
                <w:color w:val="auto"/>
                <w:highlight w:val="none"/>
                <w:lang w:val="en-US"/>
              </w:rPr>
              <w:t>业绩</w:t>
            </w:r>
            <w:r>
              <w:rPr>
                <w:rFonts w:hint="eastAsia"/>
                <w:i w:val="0"/>
                <w:iCs w:val="0"/>
                <w:color w:val="auto"/>
                <w:highlight w:val="none"/>
                <w:lang w:val="en-US" w:eastAsia="zh-CN"/>
              </w:rPr>
              <w:t>和人员配置</w:t>
            </w:r>
            <w:r>
              <w:rPr>
                <w:rFonts w:hint="eastAsia"/>
                <w:i w:val="0"/>
                <w:iCs w:val="0"/>
                <w:color w:val="auto"/>
                <w:highlight w:val="none"/>
              </w:rPr>
              <w:t>：（</w:t>
            </w:r>
            <w:r>
              <w:rPr>
                <w:rFonts w:hint="eastAsia"/>
                <w:i w:val="0"/>
                <w:iCs w:val="0"/>
                <w:color w:val="auto"/>
                <w:highlight w:val="none"/>
                <w:lang w:val="en-US" w:eastAsia="zh-CN"/>
              </w:rPr>
              <w:t>25</w:t>
            </w:r>
            <w:r>
              <w:rPr>
                <w:rFonts w:hint="eastAsia"/>
                <w:i w:val="0"/>
                <w:iCs w:val="0"/>
                <w:color w:val="auto"/>
                <w:highlight w:val="none"/>
              </w:rPr>
              <w:t>-</w:t>
            </w:r>
            <w:r>
              <w:rPr>
                <w:rFonts w:hint="eastAsia"/>
                <w:i w:val="0"/>
                <w:iCs w:val="0"/>
                <w:color w:val="auto"/>
                <w:highlight w:val="none"/>
                <w:lang w:val="en-US" w:eastAsia="zh-CN"/>
              </w:rPr>
              <w:t>4</w:t>
            </w:r>
            <w:r>
              <w:rPr>
                <w:rFonts w:hint="eastAsia"/>
                <w:i w:val="0"/>
                <w:iCs w:val="0"/>
                <w:color w:val="auto"/>
                <w:highlight w:val="none"/>
              </w:rPr>
              <w:t>0）分</w:t>
            </w:r>
          </w:p>
          <w:p w14:paraId="3FD0CBE4">
            <w:pPr>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r>
              <w:rPr>
                <w:rFonts w:hint="eastAsia"/>
                <w:i w:val="0"/>
                <w:iCs w:val="0"/>
                <w:color w:val="auto"/>
                <w:highlight w:val="none"/>
              </w:rPr>
              <w:t>投标报价：（</w:t>
            </w:r>
            <w:r>
              <w:rPr>
                <w:rFonts w:hint="eastAsia"/>
                <w:i w:val="0"/>
                <w:iCs w:val="0"/>
                <w:color w:val="auto"/>
                <w:highlight w:val="none"/>
                <w:lang w:val="en-US" w:eastAsia="zh-CN"/>
              </w:rPr>
              <w:t>3</w:t>
            </w:r>
            <w:r>
              <w:rPr>
                <w:rFonts w:hint="eastAsia"/>
                <w:i w:val="0"/>
                <w:iCs w:val="0"/>
                <w:color w:val="auto"/>
                <w:highlight w:val="none"/>
              </w:rPr>
              <w:t>0-</w:t>
            </w:r>
            <w:r>
              <w:rPr>
                <w:rFonts w:hint="eastAsia"/>
                <w:i w:val="0"/>
                <w:iCs w:val="0"/>
                <w:color w:val="auto"/>
                <w:highlight w:val="none"/>
                <w:lang w:val="en-US" w:eastAsia="zh-CN"/>
              </w:rPr>
              <w:t>5</w:t>
            </w:r>
            <w:r>
              <w:rPr>
                <w:rFonts w:hint="eastAsia"/>
                <w:i w:val="0"/>
                <w:iCs w:val="0"/>
                <w:color w:val="auto"/>
                <w:highlight w:val="none"/>
              </w:rPr>
              <w:t>0）分</w:t>
            </w:r>
          </w:p>
        </w:tc>
      </w:tr>
      <w:tr w14:paraId="191ED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694" w:type="dxa"/>
            <w:gridSpan w:val="3"/>
            <w:vAlign w:val="center"/>
          </w:tcPr>
          <w:p w14:paraId="4263753D">
            <w:pPr>
              <w:keepNext w:val="0"/>
              <w:keepLines w:val="0"/>
              <w:pageBreakBefore w:val="0"/>
              <w:kinsoku/>
              <w:wordWrap/>
              <w:overflowPunct/>
              <w:topLinePunct w:val="0"/>
              <w:autoSpaceDE/>
              <w:autoSpaceDN/>
              <w:bidi w:val="0"/>
              <w:adjustRightInd/>
              <w:snapToGrid/>
              <w:spacing w:line="340" w:lineRule="exact"/>
              <w:jc w:val="center"/>
              <w:textAlignment w:val="auto"/>
              <w:rPr>
                <w:color w:val="auto"/>
                <w:highlight w:val="none"/>
              </w:rPr>
            </w:pPr>
            <w:r>
              <w:rPr>
                <w:rFonts w:hint="eastAsia"/>
                <w:color w:val="auto"/>
                <w:highlight w:val="none"/>
              </w:rPr>
              <w:t>2.2.2</w:t>
            </w:r>
          </w:p>
        </w:tc>
        <w:tc>
          <w:tcPr>
            <w:tcW w:w="2409" w:type="dxa"/>
            <w:vAlign w:val="center"/>
          </w:tcPr>
          <w:p w14:paraId="68EB5F67">
            <w:pPr>
              <w:keepNext w:val="0"/>
              <w:keepLines w:val="0"/>
              <w:pageBreakBefore w:val="0"/>
              <w:kinsoku/>
              <w:wordWrap/>
              <w:overflowPunct/>
              <w:topLinePunct w:val="0"/>
              <w:autoSpaceDE/>
              <w:autoSpaceDN/>
              <w:bidi w:val="0"/>
              <w:adjustRightInd/>
              <w:snapToGrid/>
              <w:spacing w:line="340" w:lineRule="exact"/>
              <w:jc w:val="center"/>
              <w:textAlignment w:val="auto"/>
              <w:rPr>
                <w:color w:val="auto"/>
                <w:highlight w:val="none"/>
              </w:rPr>
            </w:pPr>
            <w:r>
              <w:rPr>
                <w:rFonts w:hint="eastAsia"/>
                <w:color w:val="auto"/>
                <w:highlight w:val="none"/>
              </w:rPr>
              <w:t>评标基准价计算</w:t>
            </w:r>
          </w:p>
        </w:tc>
        <w:tc>
          <w:tcPr>
            <w:tcW w:w="4155" w:type="dxa"/>
            <w:gridSpan w:val="2"/>
            <w:vAlign w:val="center"/>
          </w:tcPr>
          <w:p w14:paraId="6417DB92">
            <w:pPr>
              <w:keepNext w:val="0"/>
              <w:keepLines w:val="0"/>
              <w:pageBreakBefore w:val="0"/>
              <w:kinsoku/>
              <w:wordWrap/>
              <w:overflowPunct/>
              <w:topLinePunct w:val="0"/>
              <w:autoSpaceDE/>
              <w:autoSpaceDN/>
              <w:bidi w:val="0"/>
              <w:adjustRightInd/>
              <w:snapToGrid/>
              <w:spacing w:line="340" w:lineRule="exact"/>
              <w:textAlignment w:val="auto"/>
              <w:rPr>
                <w:rFonts w:hint="eastAsia" w:eastAsia="宋体"/>
                <w:color w:val="auto"/>
                <w:highlight w:val="none"/>
                <w:lang w:eastAsia="zh-CN"/>
              </w:rPr>
            </w:pPr>
            <w:r>
              <w:rPr>
                <w:rFonts w:hint="eastAsia"/>
                <w:color w:val="auto"/>
                <w:highlight w:val="none"/>
              </w:rPr>
              <w:t>通过初步评审的所有投标人的投标价算术平均值为评标基准价（如果参与评标价平均值计算的有效投标人超过</w:t>
            </w:r>
            <w:r>
              <w:rPr>
                <w:color w:val="auto"/>
                <w:highlight w:val="none"/>
              </w:rPr>
              <w:t>4</w:t>
            </w:r>
            <w:r>
              <w:rPr>
                <w:rFonts w:hint="eastAsia"/>
                <w:color w:val="auto"/>
                <w:highlight w:val="none"/>
              </w:rPr>
              <w:t>家</w:t>
            </w:r>
            <w:r>
              <w:rPr>
                <w:rFonts w:hint="eastAsia"/>
                <w:color w:val="auto"/>
                <w:highlight w:val="none"/>
                <w:lang w:eastAsia="zh-CN"/>
              </w:rPr>
              <w:t>（</w:t>
            </w:r>
            <w:r>
              <w:rPr>
                <w:rFonts w:hint="eastAsia"/>
                <w:color w:val="auto"/>
                <w:highlight w:val="none"/>
              </w:rPr>
              <w:t>不含</w:t>
            </w:r>
            <w:r>
              <w:rPr>
                <w:rFonts w:hint="eastAsia"/>
                <w:color w:val="auto"/>
                <w:highlight w:val="none"/>
                <w:lang w:eastAsia="zh-CN"/>
              </w:rPr>
              <w:t>）</w:t>
            </w:r>
            <w:r>
              <w:rPr>
                <w:rFonts w:hint="eastAsia"/>
                <w:color w:val="auto"/>
                <w:highlight w:val="none"/>
              </w:rPr>
              <w:t>时，去掉1个最高值和1个最低值后取平均）。</w:t>
            </w:r>
          </w:p>
        </w:tc>
      </w:tr>
      <w:tr w14:paraId="65FF5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694" w:type="dxa"/>
            <w:gridSpan w:val="3"/>
            <w:vAlign w:val="center"/>
          </w:tcPr>
          <w:p w14:paraId="4E0EA4C5">
            <w:pPr>
              <w:keepNext w:val="0"/>
              <w:keepLines w:val="0"/>
              <w:pageBreakBefore w:val="0"/>
              <w:kinsoku/>
              <w:wordWrap/>
              <w:overflowPunct/>
              <w:topLinePunct w:val="0"/>
              <w:autoSpaceDE/>
              <w:autoSpaceDN/>
              <w:bidi w:val="0"/>
              <w:adjustRightInd/>
              <w:snapToGrid/>
              <w:spacing w:line="340" w:lineRule="exact"/>
              <w:jc w:val="center"/>
              <w:textAlignment w:val="auto"/>
              <w:rPr>
                <w:b/>
                <w:color w:val="auto"/>
                <w:highlight w:val="none"/>
              </w:rPr>
            </w:pPr>
            <w:r>
              <w:rPr>
                <w:b/>
                <w:color w:val="auto"/>
                <w:highlight w:val="none"/>
              </w:rPr>
              <w:t>条款号</w:t>
            </w:r>
          </w:p>
        </w:tc>
        <w:tc>
          <w:tcPr>
            <w:tcW w:w="2409" w:type="dxa"/>
            <w:vAlign w:val="center"/>
          </w:tcPr>
          <w:p w14:paraId="48565063">
            <w:pPr>
              <w:keepNext w:val="0"/>
              <w:keepLines w:val="0"/>
              <w:pageBreakBefore w:val="0"/>
              <w:kinsoku/>
              <w:wordWrap/>
              <w:overflowPunct/>
              <w:topLinePunct w:val="0"/>
              <w:autoSpaceDE/>
              <w:autoSpaceDN/>
              <w:bidi w:val="0"/>
              <w:adjustRightInd/>
              <w:snapToGrid/>
              <w:spacing w:line="340" w:lineRule="exact"/>
              <w:jc w:val="center"/>
              <w:textAlignment w:val="auto"/>
              <w:rPr>
                <w:b/>
                <w:color w:val="auto"/>
                <w:highlight w:val="none"/>
              </w:rPr>
            </w:pPr>
            <w:r>
              <w:rPr>
                <w:b/>
                <w:color w:val="auto"/>
                <w:highlight w:val="none"/>
              </w:rPr>
              <w:t>评分因素</w:t>
            </w:r>
            <w:r>
              <w:rPr>
                <w:rFonts w:hint="eastAsia"/>
                <w:b/>
                <w:color w:val="auto"/>
                <w:highlight w:val="none"/>
              </w:rPr>
              <w:t>（偏差率）</w:t>
            </w:r>
          </w:p>
        </w:tc>
        <w:tc>
          <w:tcPr>
            <w:tcW w:w="4155" w:type="dxa"/>
            <w:gridSpan w:val="2"/>
            <w:vAlign w:val="center"/>
          </w:tcPr>
          <w:p w14:paraId="7329BAEE">
            <w:pPr>
              <w:keepNext w:val="0"/>
              <w:keepLines w:val="0"/>
              <w:pageBreakBefore w:val="0"/>
              <w:kinsoku/>
              <w:wordWrap/>
              <w:overflowPunct/>
              <w:topLinePunct w:val="0"/>
              <w:autoSpaceDE/>
              <w:autoSpaceDN/>
              <w:bidi w:val="0"/>
              <w:adjustRightInd/>
              <w:snapToGrid/>
              <w:spacing w:line="340" w:lineRule="exact"/>
              <w:jc w:val="center"/>
              <w:textAlignment w:val="auto"/>
              <w:rPr>
                <w:b/>
                <w:color w:val="auto"/>
                <w:highlight w:val="none"/>
              </w:rPr>
            </w:pPr>
            <w:r>
              <w:rPr>
                <w:b/>
                <w:color w:val="auto"/>
                <w:highlight w:val="none"/>
              </w:rPr>
              <w:t>评分标准</w:t>
            </w:r>
          </w:p>
        </w:tc>
      </w:tr>
      <w:tr w14:paraId="1948E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276" w:type="dxa"/>
            <w:gridSpan w:val="2"/>
            <w:vMerge w:val="restart"/>
            <w:vAlign w:val="center"/>
          </w:tcPr>
          <w:p w14:paraId="422E3F7F">
            <w:pPr>
              <w:keepNext w:val="0"/>
              <w:keepLines w:val="0"/>
              <w:pageBreakBefore w:val="0"/>
              <w:kinsoku/>
              <w:wordWrap/>
              <w:overflowPunct/>
              <w:topLinePunct w:val="0"/>
              <w:autoSpaceDE/>
              <w:autoSpaceDN/>
              <w:bidi w:val="0"/>
              <w:adjustRightInd/>
              <w:snapToGrid/>
              <w:spacing w:line="340" w:lineRule="exact"/>
              <w:jc w:val="center"/>
              <w:textAlignment w:val="auto"/>
              <w:rPr>
                <w:color w:val="auto"/>
                <w:highlight w:val="none"/>
              </w:rPr>
            </w:pPr>
            <w:r>
              <w:rPr>
                <w:color w:val="auto"/>
                <w:highlight w:val="none"/>
              </w:rPr>
              <w:t>2.2.3（2）</w:t>
            </w:r>
          </w:p>
        </w:tc>
        <w:tc>
          <w:tcPr>
            <w:tcW w:w="1418" w:type="dxa"/>
            <w:vMerge w:val="restart"/>
            <w:vAlign w:val="center"/>
          </w:tcPr>
          <w:p w14:paraId="568C9114">
            <w:pPr>
              <w:keepNext w:val="0"/>
              <w:keepLines w:val="0"/>
              <w:pageBreakBefore w:val="0"/>
              <w:kinsoku/>
              <w:wordWrap/>
              <w:overflowPunct/>
              <w:topLinePunct w:val="0"/>
              <w:autoSpaceDE/>
              <w:autoSpaceDN/>
              <w:bidi w:val="0"/>
              <w:adjustRightInd/>
              <w:snapToGrid/>
              <w:spacing w:line="340" w:lineRule="exact"/>
              <w:textAlignment w:val="auto"/>
              <w:rPr>
                <w:rFonts w:hint="eastAsia"/>
                <w:i w:val="0"/>
                <w:iCs w:val="0"/>
                <w:color w:val="auto"/>
                <w:highlight w:val="none"/>
              </w:rPr>
            </w:pPr>
            <w:r>
              <w:rPr>
                <w:rFonts w:hint="eastAsia"/>
                <w:color w:val="auto"/>
                <w:highlight w:val="none"/>
              </w:rPr>
              <w:t>企业业绩和</w:t>
            </w:r>
            <w:r>
              <w:rPr>
                <w:rFonts w:hint="eastAsia"/>
                <w:color w:val="auto"/>
                <w:highlight w:val="none"/>
                <w:lang w:val="en-US" w:eastAsia="zh-CN"/>
              </w:rPr>
              <w:t>人员配置</w:t>
            </w:r>
            <w:r>
              <w:rPr>
                <w:rFonts w:hint="eastAsia"/>
                <w:i w:val="0"/>
                <w:iCs w:val="0"/>
                <w:color w:val="auto"/>
                <w:highlight w:val="none"/>
              </w:rPr>
              <w:t>（</w:t>
            </w:r>
            <w:r>
              <w:rPr>
                <w:rFonts w:hint="eastAsia"/>
                <w:i w:val="0"/>
                <w:iCs w:val="0"/>
                <w:color w:val="auto"/>
                <w:highlight w:val="none"/>
                <w:lang w:val="en-US" w:eastAsia="zh-CN"/>
              </w:rPr>
              <w:t>25</w:t>
            </w:r>
            <w:r>
              <w:rPr>
                <w:rFonts w:hint="eastAsia"/>
                <w:i w:val="0"/>
                <w:iCs w:val="0"/>
                <w:color w:val="auto"/>
                <w:highlight w:val="none"/>
              </w:rPr>
              <w:t>-</w:t>
            </w:r>
            <w:r>
              <w:rPr>
                <w:rFonts w:hint="eastAsia"/>
                <w:i w:val="0"/>
                <w:iCs w:val="0"/>
                <w:color w:val="auto"/>
                <w:highlight w:val="none"/>
                <w:lang w:val="en-US" w:eastAsia="zh-CN"/>
              </w:rPr>
              <w:t>4</w:t>
            </w:r>
            <w:r>
              <w:rPr>
                <w:rFonts w:hint="eastAsia"/>
                <w:i w:val="0"/>
                <w:iCs w:val="0"/>
                <w:color w:val="auto"/>
                <w:highlight w:val="none"/>
              </w:rPr>
              <w:t>0）</w:t>
            </w:r>
          </w:p>
          <w:p w14:paraId="3DDC707B">
            <w:pPr>
              <w:keepNext w:val="0"/>
              <w:keepLines w:val="0"/>
              <w:pageBreakBefore w:val="0"/>
              <w:kinsoku/>
              <w:wordWrap/>
              <w:overflowPunct/>
              <w:topLinePunct w:val="0"/>
              <w:autoSpaceDE/>
              <w:autoSpaceDN/>
              <w:bidi w:val="0"/>
              <w:adjustRightInd/>
              <w:snapToGrid/>
              <w:spacing w:line="340" w:lineRule="exact"/>
              <w:jc w:val="center"/>
              <w:textAlignment w:val="auto"/>
              <w:rPr>
                <w:color w:val="auto"/>
                <w:highlight w:val="none"/>
              </w:rPr>
            </w:pPr>
          </w:p>
        </w:tc>
        <w:tc>
          <w:tcPr>
            <w:tcW w:w="2409" w:type="dxa"/>
            <w:vAlign w:val="center"/>
          </w:tcPr>
          <w:p w14:paraId="1E37BC4D">
            <w:pPr>
              <w:pStyle w:val="8"/>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r>
              <w:rPr>
                <w:rFonts w:hint="eastAsia"/>
                <w:color w:val="auto"/>
                <w:highlight w:val="none"/>
              </w:rPr>
              <w:t>业绩</w:t>
            </w:r>
          </w:p>
        </w:tc>
        <w:tc>
          <w:tcPr>
            <w:tcW w:w="851" w:type="dxa"/>
            <w:vAlign w:val="center"/>
          </w:tcPr>
          <w:p w14:paraId="15F9FC6E">
            <w:pPr>
              <w:pStyle w:val="8"/>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r>
              <w:rPr>
                <w:rFonts w:hint="eastAsia"/>
                <w:color w:val="auto"/>
                <w:highlight w:val="none"/>
                <w:u w:val="single"/>
              </w:rPr>
              <w:t xml:space="preserve"> </w:t>
            </w:r>
            <w:r>
              <w:rPr>
                <w:rFonts w:hint="eastAsia"/>
                <w:color w:val="auto"/>
                <w:highlight w:val="none"/>
                <w:u w:val="single"/>
                <w:lang w:val="en-US" w:eastAsia="zh-CN"/>
              </w:rPr>
              <w:t>35</w:t>
            </w:r>
            <w:r>
              <w:rPr>
                <w:color w:val="auto"/>
                <w:highlight w:val="none"/>
                <w:u w:val="single"/>
              </w:rPr>
              <w:t xml:space="preserve"> </w:t>
            </w:r>
            <w:r>
              <w:rPr>
                <w:rFonts w:hint="eastAsia"/>
                <w:color w:val="auto"/>
                <w:highlight w:val="none"/>
                <w:u w:val="single"/>
                <w:lang w:val="en-US" w:eastAsia="zh-CN"/>
              </w:rPr>
              <w:t>%</w:t>
            </w:r>
            <w:r>
              <w:rPr>
                <w:rFonts w:hint="eastAsia"/>
                <w:color w:val="auto"/>
                <w:highlight w:val="none"/>
              </w:rPr>
              <w:t>分</w:t>
            </w:r>
          </w:p>
        </w:tc>
        <w:tc>
          <w:tcPr>
            <w:tcW w:w="3304" w:type="dxa"/>
            <w:vAlign w:val="center"/>
          </w:tcPr>
          <w:p w14:paraId="28DD12CB">
            <w:pPr>
              <w:pStyle w:val="8"/>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r>
              <w:rPr>
                <w:rFonts w:hint="eastAsia"/>
                <w:color w:val="auto"/>
                <w:highlight w:val="none"/>
              </w:rPr>
              <w:t>1.XX年XX月XX日至XX年XX月XX日，承担过类似本工程规模等级、专业性质的工程项目施工总承包项目（建议每项业绩</w:t>
            </w:r>
            <w:r>
              <w:rPr>
                <w:rFonts w:hint="eastAsia"/>
                <w:color w:val="auto"/>
                <w:highlight w:val="none"/>
                <w:lang w:val="en-US" w:eastAsia="zh-CN"/>
              </w:rPr>
              <w:t>7</w:t>
            </w:r>
            <w:r>
              <w:rPr>
                <w:rFonts w:hint="eastAsia"/>
                <w:color w:val="auto"/>
                <w:highlight w:val="none"/>
              </w:rPr>
              <w:t>-</w:t>
            </w:r>
            <w:r>
              <w:rPr>
                <w:rFonts w:hint="eastAsia"/>
                <w:color w:val="auto"/>
                <w:highlight w:val="none"/>
                <w:lang w:val="en-US" w:eastAsia="zh-CN"/>
              </w:rPr>
              <w:t>10</w:t>
            </w:r>
            <w:r>
              <w:rPr>
                <w:rFonts w:hint="eastAsia"/>
                <w:color w:val="auto"/>
                <w:highlight w:val="none"/>
              </w:rPr>
              <w:t>分，业绩数量由业主自主决定）</w:t>
            </w:r>
          </w:p>
        </w:tc>
      </w:tr>
      <w:tr w14:paraId="5B17F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276" w:type="dxa"/>
            <w:gridSpan w:val="2"/>
            <w:vMerge w:val="continue"/>
          </w:tcPr>
          <w:p w14:paraId="5A983B50">
            <w:pPr>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p>
        </w:tc>
        <w:tc>
          <w:tcPr>
            <w:tcW w:w="1418" w:type="dxa"/>
            <w:vMerge w:val="continue"/>
          </w:tcPr>
          <w:p w14:paraId="551F237B">
            <w:pPr>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p>
        </w:tc>
        <w:tc>
          <w:tcPr>
            <w:tcW w:w="2409" w:type="dxa"/>
            <w:vAlign w:val="center"/>
          </w:tcPr>
          <w:p w14:paraId="0F8827DE">
            <w:pPr>
              <w:pStyle w:val="8"/>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r>
              <w:rPr>
                <w:rFonts w:hint="eastAsia"/>
                <w:color w:val="auto"/>
                <w:highlight w:val="none"/>
              </w:rPr>
              <w:t>项目经理工程师业绩</w:t>
            </w:r>
          </w:p>
        </w:tc>
        <w:tc>
          <w:tcPr>
            <w:tcW w:w="851" w:type="dxa"/>
            <w:vAlign w:val="center"/>
          </w:tcPr>
          <w:p w14:paraId="2DF78901">
            <w:pPr>
              <w:keepNext w:val="0"/>
              <w:keepLines w:val="0"/>
              <w:pageBreakBefore w:val="0"/>
              <w:kinsoku/>
              <w:wordWrap/>
              <w:overflowPunct/>
              <w:topLinePunct w:val="0"/>
              <w:autoSpaceDE/>
              <w:autoSpaceDN/>
              <w:bidi w:val="0"/>
              <w:adjustRightInd/>
              <w:snapToGrid/>
              <w:spacing w:line="340" w:lineRule="exact"/>
              <w:jc w:val="center"/>
              <w:textAlignment w:val="auto"/>
              <w:rPr>
                <w:color w:val="auto"/>
                <w:highlight w:val="none"/>
                <w:u w:val="single"/>
              </w:rPr>
            </w:pPr>
            <w:r>
              <w:rPr>
                <w:rFonts w:hint="eastAsia"/>
                <w:color w:val="auto"/>
                <w:highlight w:val="none"/>
                <w:u w:val="single"/>
                <w:lang w:val="en-US" w:eastAsia="zh-CN"/>
              </w:rPr>
              <w:t>25</w:t>
            </w:r>
            <w:r>
              <w:rPr>
                <w:color w:val="auto"/>
                <w:highlight w:val="none"/>
                <w:u w:val="single"/>
              </w:rPr>
              <w:t xml:space="preserve"> </w:t>
            </w:r>
            <w:r>
              <w:rPr>
                <w:rFonts w:hint="eastAsia"/>
                <w:color w:val="auto"/>
                <w:highlight w:val="none"/>
                <w:u w:val="single"/>
                <w:lang w:val="en-US" w:eastAsia="zh-CN"/>
              </w:rPr>
              <w:t>%</w:t>
            </w:r>
            <w:r>
              <w:rPr>
                <w:rFonts w:hint="eastAsia"/>
                <w:color w:val="auto"/>
                <w:highlight w:val="none"/>
              </w:rPr>
              <w:t>分</w:t>
            </w:r>
          </w:p>
        </w:tc>
        <w:tc>
          <w:tcPr>
            <w:tcW w:w="3304" w:type="dxa"/>
            <w:vAlign w:val="center"/>
          </w:tcPr>
          <w:p w14:paraId="1C04AAEE">
            <w:pPr>
              <w:pStyle w:val="8"/>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r>
              <w:rPr>
                <w:rFonts w:hint="eastAsia"/>
                <w:color w:val="auto"/>
                <w:highlight w:val="none"/>
              </w:rPr>
              <w:t>1.XX年XX月XX日至XX年XX月XX日，参加过类似本工程规模等级、专业性质的工程项目施工总承包工作，并担任项目经理（建议每项业绩</w:t>
            </w:r>
            <w:r>
              <w:rPr>
                <w:rFonts w:hint="eastAsia"/>
                <w:color w:val="auto"/>
                <w:highlight w:val="none"/>
                <w:lang w:val="en-US" w:eastAsia="zh-CN"/>
              </w:rPr>
              <w:t>6</w:t>
            </w:r>
            <w:r>
              <w:rPr>
                <w:rFonts w:hint="eastAsia"/>
                <w:color w:val="auto"/>
                <w:highlight w:val="none"/>
              </w:rPr>
              <w:t>-</w:t>
            </w:r>
            <w:r>
              <w:rPr>
                <w:rFonts w:hint="eastAsia"/>
                <w:color w:val="auto"/>
                <w:highlight w:val="none"/>
                <w:lang w:val="en-US" w:eastAsia="zh-CN"/>
              </w:rPr>
              <w:t>10</w:t>
            </w:r>
            <w:r>
              <w:rPr>
                <w:rFonts w:hint="eastAsia"/>
                <w:color w:val="auto"/>
                <w:highlight w:val="none"/>
              </w:rPr>
              <w:t>分，业绩数量由业主自主决定）</w:t>
            </w:r>
          </w:p>
        </w:tc>
      </w:tr>
      <w:tr w14:paraId="0AADB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276" w:type="dxa"/>
            <w:gridSpan w:val="2"/>
            <w:vMerge w:val="continue"/>
          </w:tcPr>
          <w:p w14:paraId="4A235840">
            <w:pPr>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p>
        </w:tc>
        <w:tc>
          <w:tcPr>
            <w:tcW w:w="1418" w:type="dxa"/>
            <w:vMerge w:val="continue"/>
          </w:tcPr>
          <w:p w14:paraId="111B3C1F">
            <w:pPr>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p>
        </w:tc>
        <w:tc>
          <w:tcPr>
            <w:tcW w:w="2409" w:type="dxa"/>
            <w:vAlign w:val="center"/>
          </w:tcPr>
          <w:p w14:paraId="142D4EC7">
            <w:pPr>
              <w:pStyle w:val="8"/>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r>
              <w:rPr>
                <w:rFonts w:hint="eastAsia"/>
                <w:color w:val="auto"/>
                <w:highlight w:val="none"/>
              </w:rPr>
              <w:t>项目技术负责人</w:t>
            </w:r>
          </w:p>
        </w:tc>
        <w:tc>
          <w:tcPr>
            <w:tcW w:w="851" w:type="dxa"/>
            <w:vAlign w:val="center"/>
          </w:tcPr>
          <w:p w14:paraId="4B82BB58">
            <w:pPr>
              <w:keepNext w:val="0"/>
              <w:keepLines w:val="0"/>
              <w:pageBreakBefore w:val="0"/>
              <w:kinsoku/>
              <w:wordWrap/>
              <w:overflowPunct/>
              <w:topLinePunct w:val="0"/>
              <w:autoSpaceDE/>
              <w:autoSpaceDN/>
              <w:bidi w:val="0"/>
              <w:adjustRightInd/>
              <w:snapToGrid/>
              <w:spacing w:line="340" w:lineRule="exact"/>
              <w:jc w:val="center"/>
              <w:textAlignment w:val="auto"/>
              <w:rPr>
                <w:color w:val="auto"/>
                <w:highlight w:val="none"/>
                <w:u w:val="single"/>
              </w:rPr>
            </w:pPr>
            <w:r>
              <w:rPr>
                <w:rFonts w:hint="eastAsia"/>
                <w:color w:val="auto"/>
                <w:highlight w:val="none"/>
                <w:u w:val="single"/>
                <w:lang w:val="en-US" w:eastAsia="zh-CN"/>
              </w:rPr>
              <w:t>20%</w:t>
            </w:r>
            <w:r>
              <w:rPr>
                <w:rFonts w:hint="eastAsia"/>
                <w:color w:val="auto"/>
                <w:highlight w:val="none"/>
              </w:rPr>
              <w:t>分</w:t>
            </w:r>
          </w:p>
        </w:tc>
        <w:tc>
          <w:tcPr>
            <w:tcW w:w="3304" w:type="dxa"/>
            <w:vAlign w:val="center"/>
          </w:tcPr>
          <w:p w14:paraId="589BF957">
            <w:pPr>
              <w:pStyle w:val="8"/>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r>
              <w:rPr>
                <w:rFonts w:hint="eastAsia"/>
                <w:b w:val="0"/>
                <w:bCs w:val="0"/>
                <w:color w:val="auto"/>
                <w:highlight w:val="none"/>
              </w:rPr>
              <w:t>1.</w:t>
            </w:r>
            <w:r>
              <w:rPr>
                <w:rFonts w:hint="eastAsia"/>
                <w:color w:val="auto"/>
                <w:highlight w:val="none"/>
              </w:rPr>
              <w:t>XX年XX月XX日至XX年XX月XX日，参加过类似本工程规模等级、专业性质的工程项目施工总承包工作，并担任技术负责人（建议每项业绩</w:t>
            </w: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5</w:t>
            </w:r>
            <w:r>
              <w:rPr>
                <w:rFonts w:hint="eastAsia"/>
                <w:color w:val="auto"/>
                <w:highlight w:val="none"/>
              </w:rPr>
              <w:t>分，业绩数量由业主自主决定）</w:t>
            </w:r>
          </w:p>
        </w:tc>
      </w:tr>
      <w:tr w14:paraId="2B501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276" w:type="dxa"/>
            <w:gridSpan w:val="2"/>
            <w:vMerge w:val="continue"/>
          </w:tcPr>
          <w:p w14:paraId="1FB496B9">
            <w:pPr>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p>
        </w:tc>
        <w:tc>
          <w:tcPr>
            <w:tcW w:w="1418" w:type="dxa"/>
            <w:vMerge w:val="continue"/>
          </w:tcPr>
          <w:p w14:paraId="66A4B690">
            <w:pPr>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p>
        </w:tc>
        <w:tc>
          <w:tcPr>
            <w:tcW w:w="2409" w:type="dxa"/>
            <w:vAlign w:val="center"/>
          </w:tcPr>
          <w:p w14:paraId="1F6C1197">
            <w:pPr>
              <w:pStyle w:val="8"/>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r>
              <w:rPr>
                <w:rFonts w:hint="eastAsia"/>
                <w:color w:val="auto"/>
                <w:highlight w:val="none"/>
                <w:lang w:val="en-US" w:eastAsia="zh-CN"/>
              </w:rPr>
              <w:t>人员配备</w:t>
            </w:r>
          </w:p>
        </w:tc>
        <w:tc>
          <w:tcPr>
            <w:tcW w:w="851" w:type="dxa"/>
            <w:vAlign w:val="center"/>
          </w:tcPr>
          <w:p w14:paraId="7630371F">
            <w:pPr>
              <w:keepNext w:val="0"/>
              <w:keepLines w:val="0"/>
              <w:pageBreakBefore w:val="0"/>
              <w:kinsoku/>
              <w:wordWrap/>
              <w:overflowPunct/>
              <w:topLinePunct w:val="0"/>
              <w:autoSpaceDE/>
              <w:autoSpaceDN/>
              <w:bidi w:val="0"/>
              <w:adjustRightInd/>
              <w:snapToGrid/>
              <w:spacing w:line="340" w:lineRule="exact"/>
              <w:jc w:val="center"/>
              <w:textAlignment w:val="auto"/>
              <w:rPr>
                <w:color w:val="auto"/>
                <w:highlight w:val="none"/>
                <w:u w:val="single"/>
              </w:rPr>
            </w:pPr>
            <w:r>
              <w:rPr>
                <w:color w:val="auto"/>
                <w:highlight w:val="none"/>
                <w:u w:val="single"/>
              </w:rPr>
              <w:t xml:space="preserve"> </w:t>
            </w:r>
            <w:r>
              <w:rPr>
                <w:rFonts w:hint="eastAsia"/>
                <w:color w:val="auto"/>
                <w:highlight w:val="none"/>
                <w:u w:val="single"/>
                <w:lang w:val="en-US" w:eastAsia="zh-CN"/>
              </w:rPr>
              <w:t>20</w:t>
            </w:r>
            <w:r>
              <w:rPr>
                <w:color w:val="auto"/>
                <w:highlight w:val="none"/>
                <w:u w:val="single"/>
              </w:rPr>
              <w:t xml:space="preserve"> </w:t>
            </w:r>
            <w:r>
              <w:rPr>
                <w:rFonts w:hint="eastAsia"/>
                <w:color w:val="auto"/>
                <w:highlight w:val="none"/>
                <w:u w:val="single"/>
                <w:lang w:val="en-US" w:eastAsia="zh-CN"/>
              </w:rPr>
              <w:t>%</w:t>
            </w:r>
            <w:r>
              <w:rPr>
                <w:rFonts w:hint="eastAsia"/>
                <w:color w:val="auto"/>
                <w:highlight w:val="none"/>
              </w:rPr>
              <w:t>分</w:t>
            </w:r>
          </w:p>
        </w:tc>
        <w:tc>
          <w:tcPr>
            <w:tcW w:w="3304" w:type="dxa"/>
            <w:vAlign w:val="center"/>
          </w:tcPr>
          <w:p w14:paraId="192C58C8">
            <w:pPr>
              <w:pStyle w:val="8"/>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r>
              <w:rPr>
                <w:rFonts w:hint="eastAsia"/>
                <w:color w:val="auto"/>
                <w:highlight w:val="none"/>
              </w:rPr>
              <w:t>施工、质检、材料、安全、资料、造价、测量等岗位，以上人员配齐且具备相应岗位证书（备齐得满分，少一个扣</w:t>
            </w:r>
            <w:r>
              <w:rPr>
                <w:rFonts w:hint="eastAsia"/>
                <w:color w:val="auto"/>
                <w:highlight w:val="none"/>
                <w:lang w:val="en-US" w:eastAsia="zh-CN"/>
              </w:rPr>
              <w:t>3</w:t>
            </w:r>
            <w:r>
              <w:rPr>
                <w:rFonts w:hint="eastAsia"/>
                <w:color w:val="auto"/>
                <w:highlight w:val="none"/>
              </w:rPr>
              <w:t>分）</w:t>
            </w:r>
          </w:p>
        </w:tc>
      </w:tr>
      <w:tr w14:paraId="41DED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30" w:hRule="atLeast"/>
          <w:jc w:val="center"/>
        </w:trPr>
        <w:tc>
          <w:tcPr>
            <w:tcW w:w="1276" w:type="dxa"/>
            <w:gridSpan w:val="2"/>
            <w:vMerge w:val="restart"/>
            <w:vAlign w:val="center"/>
          </w:tcPr>
          <w:p w14:paraId="7CF79CFF">
            <w:pPr>
              <w:keepNext w:val="0"/>
              <w:keepLines w:val="0"/>
              <w:pageBreakBefore w:val="0"/>
              <w:kinsoku/>
              <w:wordWrap/>
              <w:overflowPunct/>
              <w:topLinePunct w:val="0"/>
              <w:autoSpaceDE/>
              <w:autoSpaceDN/>
              <w:bidi w:val="0"/>
              <w:adjustRightInd/>
              <w:snapToGrid/>
              <w:spacing w:line="340" w:lineRule="exact"/>
              <w:jc w:val="center"/>
              <w:textAlignment w:val="auto"/>
              <w:rPr>
                <w:color w:val="auto"/>
                <w:highlight w:val="none"/>
              </w:rPr>
            </w:pPr>
            <w:r>
              <w:rPr>
                <w:color w:val="auto"/>
                <w:highlight w:val="none"/>
              </w:rPr>
              <w:t>2.2.3（3）</w:t>
            </w:r>
          </w:p>
        </w:tc>
        <w:tc>
          <w:tcPr>
            <w:tcW w:w="1418" w:type="dxa"/>
            <w:vMerge w:val="restart"/>
            <w:vAlign w:val="center"/>
          </w:tcPr>
          <w:p w14:paraId="1C9C7D3B">
            <w:pPr>
              <w:keepNext w:val="0"/>
              <w:keepLines w:val="0"/>
              <w:pageBreakBefore w:val="0"/>
              <w:kinsoku/>
              <w:wordWrap/>
              <w:overflowPunct/>
              <w:topLinePunct w:val="0"/>
              <w:autoSpaceDE/>
              <w:autoSpaceDN/>
              <w:bidi w:val="0"/>
              <w:adjustRightInd/>
              <w:snapToGrid/>
              <w:spacing w:line="340" w:lineRule="exact"/>
              <w:textAlignment w:val="auto"/>
              <w:rPr>
                <w:rFonts w:hint="eastAsia"/>
                <w:i w:val="0"/>
                <w:iCs w:val="0"/>
                <w:color w:val="auto"/>
                <w:highlight w:val="none"/>
              </w:rPr>
            </w:pPr>
            <w:r>
              <w:rPr>
                <w:rFonts w:hint="eastAsia"/>
                <w:color w:val="auto"/>
                <w:highlight w:val="none"/>
              </w:rPr>
              <w:t>施工组织设计</w:t>
            </w:r>
            <w:r>
              <w:rPr>
                <w:rFonts w:hint="eastAsia"/>
                <w:i w:val="0"/>
                <w:iCs w:val="0"/>
                <w:color w:val="auto"/>
                <w:highlight w:val="none"/>
              </w:rPr>
              <w:t>（</w:t>
            </w:r>
            <w:r>
              <w:rPr>
                <w:rFonts w:hint="eastAsia"/>
                <w:i w:val="0"/>
                <w:iCs w:val="0"/>
                <w:color w:val="auto"/>
                <w:highlight w:val="none"/>
                <w:lang w:val="en-US" w:eastAsia="zh-CN"/>
              </w:rPr>
              <w:t>25</w:t>
            </w:r>
            <w:r>
              <w:rPr>
                <w:rFonts w:hint="eastAsia"/>
                <w:i w:val="0"/>
                <w:iCs w:val="0"/>
                <w:color w:val="auto"/>
                <w:highlight w:val="none"/>
              </w:rPr>
              <w:t>-</w:t>
            </w:r>
            <w:r>
              <w:rPr>
                <w:rFonts w:hint="eastAsia"/>
                <w:i w:val="0"/>
                <w:iCs w:val="0"/>
                <w:color w:val="auto"/>
                <w:highlight w:val="none"/>
                <w:lang w:val="en-US" w:eastAsia="zh-CN"/>
              </w:rPr>
              <w:t>3</w:t>
            </w:r>
            <w:r>
              <w:rPr>
                <w:rFonts w:hint="eastAsia"/>
                <w:i w:val="0"/>
                <w:iCs w:val="0"/>
                <w:color w:val="auto"/>
                <w:highlight w:val="none"/>
              </w:rPr>
              <w:t>0）</w:t>
            </w:r>
          </w:p>
          <w:p w14:paraId="403FB2AC">
            <w:pPr>
              <w:keepNext w:val="0"/>
              <w:keepLines w:val="0"/>
              <w:pageBreakBefore w:val="0"/>
              <w:kinsoku/>
              <w:wordWrap/>
              <w:overflowPunct/>
              <w:topLinePunct w:val="0"/>
              <w:autoSpaceDE/>
              <w:autoSpaceDN/>
              <w:bidi w:val="0"/>
              <w:adjustRightInd/>
              <w:snapToGrid/>
              <w:spacing w:line="340" w:lineRule="exact"/>
              <w:jc w:val="center"/>
              <w:textAlignment w:val="auto"/>
              <w:rPr>
                <w:color w:val="auto"/>
                <w:highlight w:val="none"/>
              </w:rPr>
            </w:pPr>
          </w:p>
        </w:tc>
        <w:tc>
          <w:tcPr>
            <w:tcW w:w="2409" w:type="dxa"/>
            <w:vAlign w:val="center"/>
          </w:tcPr>
          <w:p w14:paraId="19ABB7FD">
            <w:pPr>
              <w:pStyle w:val="8"/>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r>
              <w:rPr>
                <w:rFonts w:hint="eastAsia"/>
                <w:color w:val="auto"/>
                <w:highlight w:val="none"/>
              </w:rPr>
              <w:t>内容的完整性和编制水平</w:t>
            </w:r>
          </w:p>
        </w:tc>
        <w:tc>
          <w:tcPr>
            <w:tcW w:w="851" w:type="dxa"/>
            <w:vAlign w:val="center"/>
          </w:tcPr>
          <w:p w14:paraId="5E582C88">
            <w:pPr>
              <w:keepNext w:val="0"/>
              <w:keepLines w:val="0"/>
              <w:pageBreakBefore w:val="0"/>
              <w:kinsoku/>
              <w:wordWrap/>
              <w:overflowPunct/>
              <w:topLinePunct w:val="0"/>
              <w:autoSpaceDE/>
              <w:autoSpaceDN/>
              <w:bidi w:val="0"/>
              <w:adjustRightInd/>
              <w:snapToGrid/>
              <w:spacing w:line="340" w:lineRule="exact"/>
              <w:jc w:val="left"/>
              <w:textAlignment w:val="auto"/>
              <w:rPr>
                <w:color w:val="auto"/>
                <w:highlight w:val="none"/>
                <w:u w:val="single"/>
              </w:rPr>
            </w:pPr>
            <w:r>
              <w:rPr>
                <w:rFonts w:hint="eastAsia"/>
                <w:color w:val="auto"/>
                <w:highlight w:val="none"/>
                <w:u w:val="single"/>
                <w:lang w:val="en-US" w:eastAsia="zh-CN"/>
              </w:rPr>
              <w:t>10%</w:t>
            </w:r>
            <w:r>
              <w:rPr>
                <w:rFonts w:hint="eastAsia"/>
                <w:color w:val="auto"/>
                <w:highlight w:val="none"/>
                <w:u w:val="single"/>
              </w:rPr>
              <w:t>分</w:t>
            </w:r>
          </w:p>
        </w:tc>
        <w:tc>
          <w:tcPr>
            <w:tcW w:w="3304" w:type="dxa"/>
            <w:vAlign w:val="center"/>
          </w:tcPr>
          <w:p w14:paraId="744698B1">
            <w:pPr>
              <w:rPr>
                <w:rFonts w:hint="eastAsia"/>
                <w:color w:val="auto"/>
                <w:highlight w:val="none"/>
                <w:lang w:eastAsia="zh-CN"/>
              </w:rPr>
            </w:pPr>
            <w:r>
              <w:rPr>
                <w:rFonts w:hint="eastAsia"/>
                <w:color w:val="auto"/>
                <w:highlight w:val="none"/>
              </w:rPr>
              <w:t>优</w:t>
            </w:r>
            <w:r>
              <w:rPr>
                <w:rFonts w:hint="eastAsia"/>
                <w:color w:val="auto"/>
                <w:highlight w:val="none"/>
                <w:lang w:eastAsia="zh-CN"/>
              </w:rPr>
              <w:t>（</w:t>
            </w:r>
            <w:r>
              <w:rPr>
                <w:rFonts w:hint="eastAsia"/>
                <w:color w:val="auto"/>
                <w:highlight w:val="none"/>
              </w:rPr>
              <w:t>85%～100%</w:t>
            </w:r>
            <w:r>
              <w:rPr>
                <w:rFonts w:hint="eastAsia"/>
                <w:color w:val="auto"/>
                <w:highlight w:val="none"/>
                <w:lang w:eastAsia="zh-CN"/>
              </w:rPr>
              <w:t>）</w:t>
            </w:r>
            <w:r>
              <w:rPr>
                <w:rFonts w:hint="eastAsia"/>
                <w:color w:val="auto"/>
                <w:highlight w:val="none"/>
              </w:rPr>
              <w:t>（含85%）</w:t>
            </w:r>
            <w:r>
              <w:rPr>
                <w:rFonts w:hint="eastAsia"/>
                <w:color w:val="auto"/>
                <w:highlight w:val="none"/>
                <w:lang w:eastAsia="zh-CN"/>
              </w:rPr>
              <w:t>：</w:t>
            </w:r>
          </w:p>
          <w:p w14:paraId="3111E661">
            <w:pPr>
              <w:rPr>
                <w:rFonts w:hint="eastAsia"/>
                <w:color w:val="auto"/>
                <w:highlight w:val="none"/>
                <w:lang w:eastAsia="zh-CN"/>
              </w:rPr>
            </w:pPr>
            <w:r>
              <w:rPr>
                <w:rFonts w:hint="eastAsia"/>
                <w:color w:val="auto"/>
                <w:highlight w:val="none"/>
                <w:lang w:val="en-US" w:eastAsia="zh-CN"/>
              </w:rPr>
              <w:t>编制内容完善、层次分明、措施齐全、风险分析深入</w:t>
            </w:r>
            <w:r>
              <w:rPr>
                <w:rFonts w:hint="eastAsia"/>
                <w:color w:val="auto"/>
                <w:highlight w:val="none"/>
                <w:lang w:eastAsia="zh-CN"/>
              </w:rPr>
              <w:t>；</w:t>
            </w:r>
          </w:p>
          <w:p w14:paraId="5510B783">
            <w:pPr>
              <w:rPr>
                <w:rFonts w:hint="eastAsia"/>
                <w:color w:val="auto"/>
                <w:highlight w:val="none"/>
                <w:lang w:val="en-US" w:eastAsia="zh-CN"/>
              </w:rPr>
            </w:pPr>
            <w:r>
              <w:rPr>
                <w:rFonts w:hint="eastAsia"/>
                <w:color w:val="auto"/>
                <w:highlight w:val="none"/>
                <w:lang w:val="en-US" w:eastAsia="zh-CN"/>
              </w:rPr>
              <w:t>良（70%～85%）（含70%）：</w:t>
            </w:r>
          </w:p>
          <w:p w14:paraId="2CF6CB61">
            <w:pPr>
              <w:rPr>
                <w:rFonts w:hint="eastAsia"/>
                <w:color w:val="auto"/>
                <w:highlight w:val="none"/>
                <w:lang w:val="en-US" w:eastAsia="zh-CN"/>
              </w:rPr>
            </w:pPr>
            <w:r>
              <w:rPr>
                <w:rFonts w:hint="eastAsia"/>
                <w:color w:val="auto"/>
                <w:highlight w:val="none"/>
                <w:lang w:val="en-US" w:eastAsia="zh-CN"/>
              </w:rPr>
              <w:t>编制内容较完善、层次较分明、措施较齐全、风险分析较全面；</w:t>
            </w:r>
          </w:p>
          <w:p w14:paraId="345E2C63">
            <w:pPr>
              <w:rPr>
                <w:rFonts w:hint="eastAsia"/>
                <w:color w:val="auto"/>
                <w:highlight w:val="none"/>
                <w:lang w:val="en-US" w:eastAsia="zh-CN"/>
              </w:rPr>
            </w:pPr>
            <w:r>
              <w:rPr>
                <w:rFonts w:hint="eastAsia"/>
                <w:color w:val="auto"/>
                <w:highlight w:val="none"/>
                <w:lang w:val="en-US" w:eastAsia="zh-CN"/>
              </w:rPr>
              <w:t>中（60%～70%）（含60%）：</w:t>
            </w:r>
          </w:p>
          <w:p w14:paraId="3172F6F9">
            <w:pPr>
              <w:rPr>
                <w:rFonts w:hint="eastAsia"/>
                <w:color w:val="auto"/>
                <w:highlight w:val="none"/>
                <w:lang w:val="en-US" w:eastAsia="zh-CN"/>
              </w:rPr>
            </w:pPr>
            <w:r>
              <w:rPr>
                <w:rFonts w:hint="eastAsia"/>
                <w:color w:val="auto"/>
                <w:highlight w:val="none"/>
                <w:lang w:val="en-US" w:eastAsia="zh-CN"/>
              </w:rPr>
              <w:t>编制内容有疏漏、层次不清晰、措施不具体、风险分析薄弱；</w:t>
            </w:r>
          </w:p>
          <w:p w14:paraId="7EE21E59">
            <w:pPr>
              <w:rPr>
                <w:rFonts w:hint="eastAsia"/>
                <w:color w:val="auto"/>
                <w:highlight w:val="none"/>
                <w:lang w:eastAsia="zh-CN"/>
              </w:rPr>
            </w:pPr>
            <w:r>
              <w:rPr>
                <w:rFonts w:hint="eastAsia"/>
                <w:color w:val="auto"/>
                <w:highlight w:val="none"/>
                <w:lang w:val="en-US" w:eastAsia="zh-CN"/>
              </w:rPr>
              <w:t>差</w:t>
            </w:r>
            <w:r>
              <w:rPr>
                <w:rFonts w:hint="eastAsia"/>
                <w:color w:val="auto"/>
                <w:highlight w:val="none"/>
              </w:rPr>
              <w:t>60%以下</w:t>
            </w:r>
            <w:r>
              <w:rPr>
                <w:rFonts w:hint="eastAsia"/>
                <w:color w:val="auto"/>
                <w:highlight w:val="none"/>
                <w:lang w:eastAsia="zh-CN"/>
              </w:rPr>
              <w:t>：</w:t>
            </w:r>
          </w:p>
          <w:p w14:paraId="2654687B">
            <w:pPr>
              <w:pStyle w:val="29"/>
              <w:rPr>
                <w:rFonts w:hint="eastAsia"/>
                <w:color w:val="auto"/>
                <w:lang w:val="en-US" w:eastAsia="zh-CN"/>
              </w:rPr>
            </w:pPr>
            <w:r>
              <w:rPr>
                <w:rFonts w:hint="eastAsia"/>
                <w:color w:val="auto"/>
                <w:highlight w:val="none"/>
                <w:lang w:eastAsia="zh-CN"/>
              </w:rPr>
              <w:t>编制内容严重缺失、层次混乱无序、措施无效或缺失、无风险分析。</w:t>
            </w:r>
          </w:p>
        </w:tc>
      </w:tr>
      <w:tr w14:paraId="34FAC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276" w:type="dxa"/>
            <w:gridSpan w:val="2"/>
            <w:vMerge w:val="continue"/>
          </w:tcPr>
          <w:p w14:paraId="68187137">
            <w:pPr>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p>
        </w:tc>
        <w:tc>
          <w:tcPr>
            <w:tcW w:w="1418" w:type="dxa"/>
            <w:vMerge w:val="continue"/>
          </w:tcPr>
          <w:p w14:paraId="0E0DADE2">
            <w:pPr>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p>
        </w:tc>
        <w:tc>
          <w:tcPr>
            <w:tcW w:w="2409" w:type="dxa"/>
            <w:vAlign w:val="center"/>
          </w:tcPr>
          <w:p w14:paraId="3C7AF046">
            <w:pPr>
              <w:keepNext w:val="0"/>
              <w:keepLines w:val="0"/>
              <w:pageBreakBefore w:val="0"/>
              <w:widowControl/>
              <w:kinsoku/>
              <w:wordWrap/>
              <w:overflowPunct/>
              <w:topLinePunct w:val="0"/>
              <w:autoSpaceDE/>
              <w:autoSpaceDN/>
              <w:bidi w:val="0"/>
              <w:adjustRightInd/>
              <w:snapToGrid/>
              <w:spacing w:line="340" w:lineRule="exact"/>
              <w:jc w:val="center"/>
              <w:textAlignment w:val="auto"/>
              <w:rPr>
                <w:color w:val="auto"/>
                <w:kern w:val="0"/>
                <w:sz w:val="20"/>
                <w:szCs w:val="20"/>
                <w:highlight w:val="none"/>
              </w:rPr>
            </w:pPr>
            <w:r>
              <w:rPr>
                <w:rFonts w:hint="eastAsia"/>
                <w:color w:val="auto"/>
                <w:sz w:val="20"/>
                <w:szCs w:val="20"/>
                <w:highlight w:val="none"/>
              </w:rPr>
              <w:t>施工方案与技术措施</w:t>
            </w:r>
          </w:p>
        </w:tc>
        <w:tc>
          <w:tcPr>
            <w:tcW w:w="851" w:type="dxa"/>
            <w:vAlign w:val="center"/>
          </w:tcPr>
          <w:p w14:paraId="38AF7EA1">
            <w:pPr>
              <w:keepNext w:val="0"/>
              <w:keepLines w:val="0"/>
              <w:pageBreakBefore w:val="0"/>
              <w:widowControl/>
              <w:kinsoku/>
              <w:wordWrap/>
              <w:overflowPunct/>
              <w:topLinePunct w:val="0"/>
              <w:autoSpaceDE/>
              <w:autoSpaceDN/>
              <w:bidi w:val="0"/>
              <w:adjustRightInd/>
              <w:snapToGrid/>
              <w:spacing w:line="340" w:lineRule="exact"/>
              <w:jc w:val="center"/>
              <w:textAlignment w:val="auto"/>
              <w:rPr>
                <w:color w:val="auto"/>
                <w:kern w:val="0"/>
                <w:sz w:val="20"/>
                <w:szCs w:val="20"/>
                <w:highlight w:val="none"/>
              </w:rPr>
            </w:pPr>
            <w:r>
              <w:rPr>
                <w:rFonts w:hint="eastAsia"/>
                <w:color w:val="auto"/>
                <w:sz w:val="20"/>
                <w:szCs w:val="20"/>
                <w:highlight w:val="none"/>
                <w:lang w:val="en-US" w:eastAsia="zh-CN"/>
              </w:rPr>
              <w:t>20%</w:t>
            </w:r>
            <w:r>
              <w:rPr>
                <w:rFonts w:hint="eastAsia"/>
                <w:color w:val="auto"/>
                <w:sz w:val="20"/>
                <w:szCs w:val="20"/>
                <w:highlight w:val="none"/>
              </w:rPr>
              <w:t>分</w:t>
            </w:r>
          </w:p>
        </w:tc>
        <w:tc>
          <w:tcPr>
            <w:tcW w:w="3304" w:type="dxa"/>
            <w:vAlign w:val="center"/>
          </w:tcPr>
          <w:p w14:paraId="3BDFB085">
            <w:pPr>
              <w:rPr>
                <w:rFonts w:hint="eastAsia"/>
                <w:color w:val="auto"/>
                <w:highlight w:val="none"/>
                <w:lang w:eastAsia="zh-CN"/>
              </w:rPr>
            </w:pPr>
            <w:r>
              <w:rPr>
                <w:rFonts w:hint="eastAsia"/>
                <w:color w:val="auto"/>
                <w:highlight w:val="none"/>
              </w:rPr>
              <w:t>优</w:t>
            </w:r>
            <w:r>
              <w:rPr>
                <w:rFonts w:hint="eastAsia"/>
                <w:color w:val="auto"/>
                <w:highlight w:val="none"/>
                <w:lang w:eastAsia="zh-CN"/>
              </w:rPr>
              <w:t>（</w:t>
            </w:r>
            <w:r>
              <w:rPr>
                <w:rFonts w:hint="eastAsia"/>
                <w:color w:val="auto"/>
                <w:highlight w:val="none"/>
              </w:rPr>
              <w:t>85%～100%</w:t>
            </w:r>
            <w:r>
              <w:rPr>
                <w:rFonts w:hint="eastAsia"/>
                <w:color w:val="auto"/>
                <w:highlight w:val="none"/>
                <w:lang w:eastAsia="zh-CN"/>
              </w:rPr>
              <w:t>）</w:t>
            </w:r>
            <w:r>
              <w:rPr>
                <w:rFonts w:hint="eastAsia"/>
                <w:color w:val="auto"/>
                <w:highlight w:val="none"/>
              </w:rPr>
              <w:t>（含85%）</w:t>
            </w:r>
            <w:r>
              <w:rPr>
                <w:rFonts w:hint="eastAsia"/>
                <w:color w:val="auto"/>
                <w:highlight w:val="none"/>
                <w:lang w:eastAsia="zh-CN"/>
              </w:rPr>
              <w:t>：</w:t>
            </w:r>
          </w:p>
          <w:p w14:paraId="356EDFCE">
            <w:pPr>
              <w:widowControl/>
              <w:jc w:val="left"/>
              <w:rPr>
                <w:rFonts w:hint="eastAsia"/>
                <w:color w:val="auto"/>
                <w:highlight w:val="none"/>
                <w:lang w:eastAsia="zh-CN"/>
              </w:rPr>
            </w:pPr>
            <w:r>
              <w:rPr>
                <w:rFonts w:hint="eastAsia"/>
                <w:color w:val="auto"/>
                <w:sz w:val="20"/>
                <w:szCs w:val="20"/>
                <w:highlight w:val="none"/>
              </w:rPr>
              <w:t>方案合理、</w:t>
            </w:r>
            <w:r>
              <w:rPr>
                <w:rFonts w:hint="eastAsia"/>
                <w:color w:val="auto"/>
                <w:sz w:val="20"/>
                <w:szCs w:val="20"/>
                <w:highlight w:val="none"/>
                <w:lang w:val="en-US" w:eastAsia="zh-CN"/>
              </w:rPr>
              <w:t>技术</w:t>
            </w:r>
            <w:r>
              <w:rPr>
                <w:rFonts w:hint="eastAsia"/>
                <w:color w:val="auto"/>
                <w:sz w:val="20"/>
                <w:szCs w:val="20"/>
                <w:highlight w:val="none"/>
              </w:rPr>
              <w:t>措施有</w:t>
            </w:r>
            <w:r>
              <w:rPr>
                <w:rFonts w:hint="eastAsia"/>
                <w:color w:val="auto"/>
                <w:sz w:val="20"/>
                <w:szCs w:val="20"/>
                <w:highlight w:val="none"/>
                <w:lang w:val="en-US" w:eastAsia="zh-CN"/>
              </w:rPr>
              <w:t>力</w:t>
            </w:r>
            <w:r>
              <w:rPr>
                <w:rFonts w:hint="eastAsia"/>
                <w:color w:val="auto"/>
                <w:highlight w:val="none"/>
                <w:lang w:eastAsia="zh-CN"/>
              </w:rPr>
              <w:t>；</w:t>
            </w:r>
          </w:p>
          <w:p w14:paraId="478F3D21">
            <w:pPr>
              <w:rPr>
                <w:rFonts w:hint="eastAsia"/>
                <w:color w:val="auto"/>
                <w:highlight w:val="none"/>
                <w:lang w:val="en-US" w:eastAsia="zh-CN"/>
              </w:rPr>
            </w:pPr>
            <w:r>
              <w:rPr>
                <w:rFonts w:hint="eastAsia"/>
                <w:color w:val="auto"/>
                <w:highlight w:val="none"/>
                <w:lang w:val="en-US" w:eastAsia="zh-CN"/>
              </w:rPr>
              <w:t>良（70%～85%）（含70%）：</w:t>
            </w:r>
          </w:p>
          <w:p w14:paraId="3BCAEB58">
            <w:pPr>
              <w:widowControl/>
              <w:jc w:val="left"/>
              <w:rPr>
                <w:rFonts w:hint="eastAsia"/>
                <w:color w:val="auto"/>
                <w:highlight w:val="none"/>
                <w:lang w:val="en-US" w:eastAsia="zh-CN"/>
              </w:rPr>
            </w:pPr>
            <w:r>
              <w:rPr>
                <w:rFonts w:hint="eastAsia"/>
                <w:color w:val="auto"/>
                <w:sz w:val="20"/>
                <w:szCs w:val="20"/>
                <w:highlight w:val="none"/>
              </w:rPr>
              <w:t>方案</w:t>
            </w:r>
            <w:r>
              <w:rPr>
                <w:rFonts w:hint="eastAsia"/>
                <w:color w:val="auto"/>
                <w:sz w:val="20"/>
                <w:szCs w:val="20"/>
                <w:highlight w:val="none"/>
                <w:lang w:val="en-US" w:eastAsia="zh-CN"/>
              </w:rPr>
              <w:t>较</w:t>
            </w:r>
            <w:r>
              <w:rPr>
                <w:rFonts w:hint="eastAsia"/>
                <w:color w:val="auto"/>
                <w:sz w:val="20"/>
                <w:szCs w:val="20"/>
                <w:highlight w:val="none"/>
              </w:rPr>
              <w:t>合理、</w:t>
            </w:r>
            <w:r>
              <w:rPr>
                <w:rFonts w:hint="eastAsia"/>
                <w:color w:val="auto"/>
                <w:sz w:val="20"/>
                <w:szCs w:val="20"/>
                <w:highlight w:val="none"/>
                <w:lang w:val="en-US" w:eastAsia="zh-CN"/>
              </w:rPr>
              <w:t>技术</w:t>
            </w:r>
            <w:r>
              <w:rPr>
                <w:rFonts w:hint="eastAsia"/>
                <w:color w:val="auto"/>
                <w:sz w:val="20"/>
                <w:szCs w:val="20"/>
                <w:highlight w:val="none"/>
              </w:rPr>
              <w:t>措施</w:t>
            </w:r>
            <w:r>
              <w:rPr>
                <w:rFonts w:hint="eastAsia"/>
                <w:color w:val="auto"/>
                <w:sz w:val="20"/>
                <w:szCs w:val="20"/>
                <w:highlight w:val="none"/>
                <w:lang w:val="en-US" w:eastAsia="zh-CN"/>
              </w:rPr>
              <w:t>可行；</w:t>
            </w:r>
          </w:p>
          <w:p w14:paraId="0B5A133F">
            <w:pPr>
              <w:rPr>
                <w:rFonts w:hint="eastAsia"/>
                <w:color w:val="auto"/>
                <w:highlight w:val="none"/>
                <w:lang w:val="en-US" w:eastAsia="zh-CN"/>
              </w:rPr>
            </w:pPr>
            <w:r>
              <w:rPr>
                <w:rFonts w:hint="eastAsia"/>
                <w:color w:val="auto"/>
                <w:highlight w:val="none"/>
                <w:lang w:val="en-US" w:eastAsia="zh-CN"/>
              </w:rPr>
              <w:t>中（60%～70%）（含60%）：</w:t>
            </w:r>
          </w:p>
          <w:p w14:paraId="5E2BA02E">
            <w:pPr>
              <w:rPr>
                <w:rFonts w:hint="eastAsia"/>
                <w:color w:val="auto"/>
                <w:highlight w:val="none"/>
                <w:lang w:val="en-US" w:eastAsia="zh-CN"/>
              </w:rPr>
            </w:pPr>
            <w:r>
              <w:rPr>
                <w:rFonts w:hint="eastAsia"/>
                <w:color w:val="auto"/>
                <w:sz w:val="20"/>
                <w:szCs w:val="20"/>
                <w:highlight w:val="none"/>
              </w:rPr>
              <w:t>方案</w:t>
            </w:r>
            <w:r>
              <w:rPr>
                <w:rFonts w:hint="eastAsia"/>
                <w:color w:val="auto"/>
                <w:sz w:val="20"/>
                <w:szCs w:val="20"/>
                <w:highlight w:val="none"/>
                <w:lang w:val="en-US" w:eastAsia="zh-CN"/>
              </w:rPr>
              <w:t>存在缺陷</w:t>
            </w:r>
            <w:r>
              <w:rPr>
                <w:rFonts w:hint="eastAsia"/>
                <w:color w:val="auto"/>
                <w:sz w:val="20"/>
                <w:szCs w:val="20"/>
                <w:highlight w:val="none"/>
              </w:rPr>
              <w:t>、</w:t>
            </w:r>
            <w:r>
              <w:rPr>
                <w:rFonts w:hint="eastAsia"/>
                <w:color w:val="auto"/>
                <w:sz w:val="20"/>
                <w:szCs w:val="20"/>
                <w:highlight w:val="none"/>
                <w:lang w:val="en-US" w:eastAsia="zh-CN"/>
              </w:rPr>
              <w:t>技术</w:t>
            </w:r>
            <w:r>
              <w:rPr>
                <w:rFonts w:hint="eastAsia"/>
                <w:color w:val="auto"/>
                <w:highlight w:val="none"/>
                <w:lang w:val="en-US" w:eastAsia="zh-CN"/>
              </w:rPr>
              <w:t>措施薄弱；</w:t>
            </w:r>
          </w:p>
          <w:p w14:paraId="6DECEAE8">
            <w:pPr>
              <w:widowControl/>
              <w:jc w:val="left"/>
              <w:rPr>
                <w:rFonts w:hint="eastAsia"/>
                <w:color w:val="auto"/>
                <w:highlight w:val="none"/>
                <w:lang w:eastAsia="zh-CN"/>
              </w:rPr>
            </w:pPr>
            <w:r>
              <w:rPr>
                <w:rFonts w:hint="eastAsia"/>
                <w:color w:val="auto"/>
                <w:highlight w:val="none"/>
                <w:lang w:val="en-US" w:eastAsia="zh-CN"/>
              </w:rPr>
              <w:t>差</w:t>
            </w:r>
            <w:r>
              <w:rPr>
                <w:rFonts w:hint="eastAsia"/>
                <w:color w:val="auto"/>
                <w:highlight w:val="none"/>
              </w:rPr>
              <w:t>60%以下</w:t>
            </w:r>
            <w:r>
              <w:rPr>
                <w:rFonts w:hint="eastAsia"/>
                <w:color w:val="auto"/>
                <w:highlight w:val="none"/>
                <w:lang w:eastAsia="zh-CN"/>
              </w:rPr>
              <w:t>：</w:t>
            </w:r>
          </w:p>
          <w:p w14:paraId="38F4B4F7">
            <w:pPr>
              <w:pStyle w:val="29"/>
              <w:rPr>
                <w:rFonts w:hint="eastAsia"/>
                <w:color w:val="auto"/>
                <w:lang w:val="en-US" w:eastAsia="zh-CN"/>
              </w:rPr>
            </w:pPr>
            <w:r>
              <w:rPr>
                <w:rFonts w:hint="eastAsia"/>
                <w:color w:val="auto"/>
                <w:highlight w:val="none"/>
                <w:lang w:val="en-US" w:eastAsia="zh-CN"/>
              </w:rPr>
              <w:t>方案不可行、技术措施无效</w:t>
            </w:r>
            <w:r>
              <w:rPr>
                <w:rFonts w:hint="eastAsia"/>
                <w:color w:val="auto"/>
                <w:highlight w:val="none"/>
                <w:lang w:eastAsia="zh-CN"/>
              </w:rPr>
              <w:t>。</w:t>
            </w:r>
          </w:p>
        </w:tc>
      </w:tr>
      <w:tr w14:paraId="78DBC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276" w:type="dxa"/>
            <w:gridSpan w:val="2"/>
            <w:vMerge w:val="continue"/>
          </w:tcPr>
          <w:p w14:paraId="74A00DD1">
            <w:pPr>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p>
        </w:tc>
        <w:tc>
          <w:tcPr>
            <w:tcW w:w="1418" w:type="dxa"/>
            <w:vMerge w:val="continue"/>
          </w:tcPr>
          <w:p w14:paraId="56CBD108">
            <w:pPr>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p>
        </w:tc>
        <w:tc>
          <w:tcPr>
            <w:tcW w:w="2409" w:type="dxa"/>
            <w:vAlign w:val="center"/>
          </w:tcPr>
          <w:p w14:paraId="0A36D601">
            <w:pPr>
              <w:keepNext w:val="0"/>
              <w:keepLines w:val="0"/>
              <w:pageBreakBefore w:val="0"/>
              <w:kinsoku/>
              <w:wordWrap/>
              <w:overflowPunct/>
              <w:topLinePunct w:val="0"/>
              <w:autoSpaceDE/>
              <w:autoSpaceDN/>
              <w:bidi w:val="0"/>
              <w:adjustRightInd/>
              <w:snapToGrid/>
              <w:spacing w:line="340" w:lineRule="exact"/>
              <w:jc w:val="center"/>
              <w:textAlignment w:val="auto"/>
              <w:rPr>
                <w:color w:val="auto"/>
                <w:sz w:val="20"/>
                <w:szCs w:val="20"/>
                <w:highlight w:val="none"/>
              </w:rPr>
            </w:pPr>
            <w:r>
              <w:rPr>
                <w:rFonts w:hint="eastAsia"/>
                <w:color w:val="auto"/>
                <w:sz w:val="20"/>
                <w:szCs w:val="20"/>
                <w:highlight w:val="none"/>
              </w:rPr>
              <w:t>对招标项目关键点、难点的理解及施工对策</w:t>
            </w:r>
          </w:p>
        </w:tc>
        <w:tc>
          <w:tcPr>
            <w:tcW w:w="851" w:type="dxa"/>
            <w:vAlign w:val="center"/>
          </w:tcPr>
          <w:p w14:paraId="74D2819C">
            <w:pPr>
              <w:keepNext w:val="0"/>
              <w:keepLines w:val="0"/>
              <w:pageBreakBefore w:val="0"/>
              <w:kinsoku/>
              <w:wordWrap/>
              <w:overflowPunct/>
              <w:topLinePunct w:val="0"/>
              <w:autoSpaceDE/>
              <w:autoSpaceDN/>
              <w:bidi w:val="0"/>
              <w:adjustRightInd/>
              <w:snapToGrid/>
              <w:spacing w:line="340" w:lineRule="exact"/>
              <w:jc w:val="center"/>
              <w:textAlignment w:val="auto"/>
              <w:rPr>
                <w:color w:val="auto"/>
                <w:sz w:val="20"/>
                <w:szCs w:val="20"/>
                <w:highlight w:val="none"/>
              </w:rPr>
            </w:pPr>
            <w:r>
              <w:rPr>
                <w:rFonts w:hint="eastAsia"/>
                <w:color w:val="auto"/>
                <w:sz w:val="20"/>
                <w:szCs w:val="20"/>
                <w:highlight w:val="none"/>
                <w:lang w:val="en-US" w:eastAsia="zh-CN"/>
              </w:rPr>
              <w:t>10%</w:t>
            </w:r>
            <w:r>
              <w:rPr>
                <w:rFonts w:hint="eastAsia"/>
                <w:color w:val="auto"/>
                <w:sz w:val="20"/>
                <w:szCs w:val="20"/>
                <w:highlight w:val="none"/>
              </w:rPr>
              <w:t>分</w:t>
            </w:r>
          </w:p>
        </w:tc>
        <w:tc>
          <w:tcPr>
            <w:tcW w:w="3304" w:type="dxa"/>
            <w:vAlign w:val="center"/>
          </w:tcPr>
          <w:p w14:paraId="08C7691A">
            <w:pPr>
              <w:rPr>
                <w:rFonts w:hint="eastAsia"/>
                <w:color w:val="auto"/>
                <w:highlight w:val="none"/>
                <w:lang w:eastAsia="zh-CN"/>
              </w:rPr>
            </w:pPr>
            <w:r>
              <w:rPr>
                <w:rFonts w:hint="eastAsia"/>
                <w:color w:val="auto"/>
                <w:highlight w:val="none"/>
              </w:rPr>
              <w:t>优</w:t>
            </w:r>
            <w:r>
              <w:rPr>
                <w:rFonts w:hint="eastAsia"/>
                <w:color w:val="auto"/>
                <w:highlight w:val="none"/>
                <w:lang w:eastAsia="zh-CN"/>
              </w:rPr>
              <w:t>（</w:t>
            </w:r>
            <w:r>
              <w:rPr>
                <w:rFonts w:hint="eastAsia"/>
                <w:color w:val="auto"/>
                <w:highlight w:val="none"/>
              </w:rPr>
              <w:t>85%～100%</w:t>
            </w:r>
            <w:r>
              <w:rPr>
                <w:rFonts w:hint="eastAsia"/>
                <w:color w:val="auto"/>
                <w:highlight w:val="none"/>
                <w:lang w:eastAsia="zh-CN"/>
              </w:rPr>
              <w:t>）</w:t>
            </w:r>
            <w:r>
              <w:rPr>
                <w:rFonts w:hint="eastAsia"/>
                <w:color w:val="auto"/>
                <w:highlight w:val="none"/>
              </w:rPr>
              <w:t>（含85%）</w:t>
            </w:r>
            <w:r>
              <w:rPr>
                <w:rFonts w:hint="eastAsia"/>
                <w:color w:val="auto"/>
                <w:highlight w:val="none"/>
                <w:lang w:eastAsia="zh-CN"/>
              </w:rPr>
              <w:t>：</w:t>
            </w:r>
          </w:p>
          <w:p w14:paraId="491886FC">
            <w:pPr>
              <w:rPr>
                <w:rFonts w:hint="eastAsia"/>
                <w:color w:val="auto"/>
                <w:highlight w:val="none"/>
                <w:lang w:eastAsia="zh-CN"/>
              </w:rPr>
            </w:pPr>
            <w:r>
              <w:rPr>
                <w:rFonts w:hint="eastAsia"/>
                <w:color w:val="auto"/>
                <w:sz w:val="20"/>
                <w:szCs w:val="20"/>
                <w:highlight w:val="none"/>
              </w:rPr>
              <w:t>理解全面、分析合理、措施得当、方法先进</w:t>
            </w:r>
            <w:r>
              <w:rPr>
                <w:rFonts w:hint="eastAsia"/>
                <w:color w:val="auto"/>
                <w:highlight w:val="none"/>
                <w:lang w:eastAsia="zh-CN"/>
              </w:rPr>
              <w:t>；</w:t>
            </w:r>
          </w:p>
          <w:p w14:paraId="4C287858">
            <w:pPr>
              <w:rPr>
                <w:rFonts w:hint="eastAsia"/>
                <w:color w:val="auto"/>
                <w:highlight w:val="none"/>
                <w:lang w:val="en-US" w:eastAsia="zh-CN"/>
              </w:rPr>
            </w:pPr>
            <w:r>
              <w:rPr>
                <w:rFonts w:hint="eastAsia"/>
                <w:color w:val="auto"/>
                <w:highlight w:val="none"/>
                <w:lang w:val="en-US" w:eastAsia="zh-CN"/>
              </w:rPr>
              <w:t>良（70%～85%）（含70%）：</w:t>
            </w:r>
          </w:p>
          <w:p w14:paraId="518D6685">
            <w:pPr>
              <w:rPr>
                <w:rFonts w:hint="eastAsia"/>
                <w:color w:val="auto"/>
                <w:highlight w:val="none"/>
                <w:lang w:val="en-US" w:eastAsia="zh-CN"/>
              </w:rPr>
            </w:pPr>
            <w:r>
              <w:rPr>
                <w:rFonts w:hint="eastAsia"/>
                <w:color w:val="auto"/>
                <w:sz w:val="20"/>
                <w:szCs w:val="20"/>
                <w:highlight w:val="none"/>
              </w:rPr>
              <w:t>理解</w:t>
            </w:r>
            <w:r>
              <w:rPr>
                <w:rFonts w:hint="eastAsia"/>
                <w:color w:val="auto"/>
                <w:sz w:val="20"/>
                <w:szCs w:val="20"/>
                <w:highlight w:val="none"/>
                <w:lang w:val="en-US" w:eastAsia="zh-CN"/>
              </w:rPr>
              <w:t>较</w:t>
            </w:r>
            <w:r>
              <w:rPr>
                <w:rFonts w:hint="eastAsia"/>
                <w:color w:val="auto"/>
                <w:sz w:val="20"/>
                <w:szCs w:val="20"/>
                <w:highlight w:val="none"/>
              </w:rPr>
              <w:t>全面、分析</w:t>
            </w:r>
            <w:r>
              <w:rPr>
                <w:rFonts w:hint="eastAsia"/>
                <w:color w:val="auto"/>
                <w:sz w:val="20"/>
                <w:szCs w:val="20"/>
                <w:highlight w:val="none"/>
                <w:lang w:val="en-US" w:eastAsia="zh-CN"/>
              </w:rPr>
              <w:t>较</w:t>
            </w:r>
            <w:r>
              <w:rPr>
                <w:rFonts w:hint="eastAsia"/>
                <w:color w:val="auto"/>
                <w:sz w:val="20"/>
                <w:szCs w:val="20"/>
                <w:highlight w:val="none"/>
              </w:rPr>
              <w:t>合理、措施</w:t>
            </w:r>
            <w:r>
              <w:rPr>
                <w:rFonts w:hint="eastAsia"/>
                <w:color w:val="auto"/>
                <w:sz w:val="20"/>
                <w:szCs w:val="20"/>
                <w:highlight w:val="none"/>
                <w:lang w:val="en-US" w:eastAsia="zh-CN"/>
              </w:rPr>
              <w:t>可行</w:t>
            </w:r>
            <w:r>
              <w:rPr>
                <w:rFonts w:hint="eastAsia"/>
                <w:color w:val="auto"/>
                <w:sz w:val="20"/>
                <w:szCs w:val="20"/>
                <w:highlight w:val="none"/>
              </w:rPr>
              <w:t>、方法</w:t>
            </w:r>
            <w:r>
              <w:rPr>
                <w:rFonts w:hint="eastAsia"/>
                <w:color w:val="auto"/>
                <w:sz w:val="20"/>
                <w:szCs w:val="20"/>
                <w:highlight w:val="none"/>
                <w:lang w:val="en-US" w:eastAsia="zh-CN"/>
              </w:rPr>
              <w:t>较</w:t>
            </w:r>
            <w:r>
              <w:rPr>
                <w:rFonts w:hint="eastAsia"/>
                <w:color w:val="auto"/>
                <w:sz w:val="20"/>
                <w:szCs w:val="20"/>
                <w:highlight w:val="none"/>
              </w:rPr>
              <w:t>先进</w:t>
            </w:r>
            <w:r>
              <w:rPr>
                <w:rFonts w:hint="eastAsia"/>
                <w:color w:val="auto"/>
                <w:highlight w:val="none"/>
                <w:lang w:val="en-US" w:eastAsia="zh-CN"/>
              </w:rPr>
              <w:t>；</w:t>
            </w:r>
          </w:p>
          <w:p w14:paraId="0BEB55E0">
            <w:pPr>
              <w:rPr>
                <w:rFonts w:hint="eastAsia"/>
                <w:color w:val="auto"/>
                <w:highlight w:val="none"/>
                <w:lang w:val="en-US" w:eastAsia="zh-CN"/>
              </w:rPr>
            </w:pPr>
            <w:r>
              <w:rPr>
                <w:rFonts w:hint="eastAsia"/>
                <w:color w:val="auto"/>
                <w:highlight w:val="none"/>
                <w:lang w:val="en-US" w:eastAsia="zh-CN"/>
              </w:rPr>
              <w:t>中（60%～70%）（含60%）：</w:t>
            </w:r>
          </w:p>
          <w:p w14:paraId="2EFF5F8B">
            <w:pPr>
              <w:rPr>
                <w:rFonts w:hint="eastAsia"/>
                <w:color w:val="auto"/>
                <w:highlight w:val="none"/>
                <w:lang w:val="en-US" w:eastAsia="zh-CN"/>
              </w:rPr>
            </w:pPr>
            <w:r>
              <w:rPr>
                <w:rFonts w:hint="eastAsia"/>
                <w:color w:val="auto"/>
                <w:sz w:val="20"/>
                <w:szCs w:val="20"/>
                <w:highlight w:val="none"/>
              </w:rPr>
              <w:t>理解</w:t>
            </w:r>
            <w:r>
              <w:rPr>
                <w:rFonts w:hint="eastAsia"/>
                <w:color w:val="auto"/>
                <w:sz w:val="20"/>
                <w:szCs w:val="20"/>
                <w:highlight w:val="none"/>
                <w:lang w:val="en-US" w:eastAsia="zh-CN"/>
              </w:rPr>
              <w:t>有偏差</w:t>
            </w:r>
            <w:r>
              <w:rPr>
                <w:rFonts w:hint="eastAsia"/>
                <w:color w:val="auto"/>
                <w:sz w:val="20"/>
                <w:szCs w:val="20"/>
                <w:highlight w:val="none"/>
              </w:rPr>
              <w:t>、分析</w:t>
            </w:r>
            <w:r>
              <w:rPr>
                <w:rFonts w:hint="eastAsia"/>
                <w:color w:val="auto"/>
                <w:sz w:val="20"/>
                <w:szCs w:val="20"/>
                <w:highlight w:val="none"/>
                <w:lang w:val="en-US" w:eastAsia="zh-CN"/>
              </w:rPr>
              <w:t>不深入</w:t>
            </w:r>
            <w:r>
              <w:rPr>
                <w:rFonts w:hint="eastAsia"/>
                <w:color w:val="auto"/>
                <w:sz w:val="20"/>
                <w:szCs w:val="20"/>
                <w:highlight w:val="none"/>
              </w:rPr>
              <w:t>、措施</w:t>
            </w:r>
            <w:r>
              <w:rPr>
                <w:rFonts w:hint="eastAsia"/>
                <w:color w:val="auto"/>
                <w:sz w:val="20"/>
                <w:szCs w:val="20"/>
                <w:highlight w:val="none"/>
                <w:lang w:val="en-US" w:eastAsia="zh-CN"/>
              </w:rPr>
              <w:t>笼统</w:t>
            </w:r>
            <w:r>
              <w:rPr>
                <w:rFonts w:hint="eastAsia"/>
                <w:color w:val="auto"/>
                <w:sz w:val="20"/>
                <w:szCs w:val="20"/>
                <w:highlight w:val="none"/>
              </w:rPr>
              <w:t>、方法</w:t>
            </w:r>
            <w:r>
              <w:rPr>
                <w:rFonts w:hint="eastAsia"/>
                <w:color w:val="auto"/>
                <w:sz w:val="20"/>
                <w:szCs w:val="20"/>
                <w:highlight w:val="none"/>
                <w:lang w:val="en-US" w:eastAsia="zh-CN"/>
              </w:rPr>
              <w:t>传统</w:t>
            </w:r>
            <w:r>
              <w:rPr>
                <w:rFonts w:hint="eastAsia"/>
                <w:color w:val="auto"/>
                <w:highlight w:val="none"/>
                <w:lang w:val="en-US" w:eastAsia="zh-CN"/>
              </w:rPr>
              <w:t>；</w:t>
            </w:r>
          </w:p>
          <w:p w14:paraId="0469157D">
            <w:pPr>
              <w:rPr>
                <w:rFonts w:hint="eastAsia"/>
                <w:color w:val="auto"/>
                <w:highlight w:val="none"/>
                <w:lang w:eastAsia="zh-CN"/>
              </w:rPr>
            </w:pPr>
            <w:r>
              <w:rPr>
                <w:rFonts w:hint="eastAsia"/>
                <w:color w:val="auto"/>
                <w:highlight w:val="none"/>
                <w:lang w:val="en-US" w:eastAsia="zh-CN"/>
              </w:rPr>
              <w:t>差</w:t>
            </w:r>
            <w:r>
              <w:rPr>
                <w:rFonts w:hint="eastAsia"/>
                <w:color w:val="auto"/>
                <w:highlight w:val="none"/>
              </w:rPr>
              <w:t>60%以下</w:t>
            </w:r>
            <w:r>
              <w:rPr>
                <w:rFonts w:hint="eastAsia"/>
                <w:color w:val="auto"/>
                <w:highlight w:val="none"/>
                <w:lang w:eastAsia="zh-CN"/>
              </w:rPr>
              <w:t>：</w:t>
            </w:r>
          </w:p>
          <w:p w14:paraId="0314954C">
            <w:pPr>
              <w:pStyle w:val="29"/>
              <w:rPr>
                <w:rFonts w:hint="eastAsia"/>
                <w:color w:val="auto"/>
                <w:lang w:eastAsia="zh-CN"/>
              </w:rPr>
            </w:pPr>
            <w:r>
              <w:rPr>
                <w:rFonts w:hint="eastAsia"/>
                <w:b w:val="0"/>
                <w:bCs w:val="0"/>
                <w:color w:val="auto"/>
                <w:sz w:val="20"/>
                <w:szCs w:val="20"/>
                <w:highlight w:val="none"/>
              </w:rPr>
              <w:t>理解</w:t>
            </w:r>
            <w:r>
              <w:rPr>
                <w:rFonts w:hint="eastAsia"/>
                <w:b w:val="0"/>
                <w:bCs w:val="0"/>
                <w:color w:val="auto"/>
                <w:sz w:val="20"/>
                <w:szCs w:val="20"/>
                <w:highlight w:val="none"/>
                <w:lang w:val="en-US" w:eastAsia="zh-CN"/>
              </w:rPr>
              <w:t>严重错误</w:t>
            </w:r>
            <w:r>
              <w:rPr>
                <w:rFonts w:hint="eastAsia"/>
                <w:b w:val="0"/>
                <w:bCs w:val="0"/>
                <w:color w:val="auto"/>
                <w:sz w:val="20"/>
                <w:szCs w:val="20"/>
                <w:highlight w:val="none"/>
              </w:rPr>
              <w:t>、分析</w:t>
            </w:r>
            <w:r>
              <w:rPr>
                <w:rFonts w:hint="eastAsia"/>
                <w:b w:val="0"/>
                <w:bCs w:val="0"/>
                <w:color w:val="auto"/>
                <w:sz w:val="20"/>
                <w:szCs w:val="20"/>
                <w:highlight w:val="none"/>
                <w:lang w:val="en-US" w:eastAsia="zh-CN"/>
              </w:rPr>
              <w:t>无逻辑</w:t>
            </w:r>
            <w:r>
              <w:rPr>
                <w:rFonts w:hint="eastAsia"/>
                <w:b w:val="0"/>
                <w:bCs w:val="0"/>
                <w:color w:val="auto"/>
                <w:sz w:val="20"/>
                <w:szCs w:val="20"/>
                <w:highlight w:val="none"/>
              </w:rPr>
              <w:t>、措施</w:t>
            </w:r>
            <w:r>
              <w:rPr>
                <w:rFonts w:hint="eastAsia"/>
                <w:b w:val="0"/>
                <w:bCs w:val="0"/>
                <w:color w:val="auto"/>
                <w:sz w:val="20"/>
                <w:szCs w:val="20"/>
                <w:highlight w:val="none"/>
                <w:lang w:val="en-US" w:eastAsia="zh-CN"/>
              </w:rPr>
              <w:t>无效</w:t>
            </w:r>
            <w:r>
              <w:rPr>
                <w:rFonts w:hint="eastAsia"/>
                <w:b w:val="0"/>
                <w:bCs w:val="0"/>
                <w:color w:val="auto"/>
                <w:sz w:val="20"/>
                <w:szCs w:val="20"/>
                <w:highlight w:val="none"/>
              </w:rPr>
              <w:t>、方法</w:t>
            </w:r>
            <w:r>
              <w:rPr>
                <w:rFonts w:hint="eastAsia"/>
                <w:b w:val="0"/>
                <w:bCs w:val="0"/>
                <w:color w:val="auto"/>
                <w:sz w:val="20"/>
                <w:szCs w:val="20"/>
                <w:highlight w:val="none"/>
                <w:lang w:val="en-US" w:eastAsia="zh-CN"/>
              </w:rPr>
              <w:t>落后。</w:t>
            </w:r>
          </w:p>
        </w:tc>
      </w:tr>
      <w:tr w14:paraId="0DB19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276" w:type="dxa"/>
            <w:gridSpan w:val="2"/>
            <w:vMerge w:val="continue"/>
          </w:tcPr>
          <w:p w14:paraId="60C7A702">
            <w:pPr>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p>
        </w:tc>
        <w:tc>
          <w:tcPr>
            <w:tcW w:w="1418" w:type="dxa"/>
            <w:vMerge w:val="continue"/>
          </w:tcPr>
          <w:p w14:paraId="3BE8E264">
            <w:pPr>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p>
        </w:tc>
        <w:tc>
          <w:tcPr>
            <w:tcW w:w="2409" w:type="dxa"/>
            <w:vAlign w:val="center"/>
          </w:tcPr>
          <w:p w14:paraId="00FACFB4">
            <w:pPr>
              <w:keepNext w:val="0"/>
              <w:keepLines w:val="0"/>
              <w:pageBreakBefore w:val="0"/>
              <w:kinsoku/>
              <w:wordWrap/>
              <w:overflowPunct/>
              <w:topLinePunct w:val="0"/>
              <w:autoSpaceDE/>
              <w:autoSpaceDN/>
              <w:bidi w:val="0"/>
              <w:adjustRightInd/>
              <w:snapToGrid/>
              <w:spacing w:line="340" w:lineRule="exact"/>
              <w:jc w:val="center"/>
              <w:textAlignment w:val="auto"/>
              <w:rPr>
                <w:color w:val="auto"/>
                <w:sz w:val="20"/>
                <w:szCs w:val="20"/>
                <w:highlight w:val="none"/>
              </w:rPr>
            </w:pPr>
            <w:r>
              <w:rPr>
                <w:rFonts w:hint="eastAsia"/>
                <w:color w:val="auto"/>
                <w:sz w:val="20"/>
                <w:szCs w:val="20"/>
                <w:highlight w:val="none"/>
              </w:rPr>
              <w:t>质量管理体系与措施</w:t>
            </w:r>
          </w:p>
        </w:tc>
        <w:tc>
          <w:tcPr>
            <w:tcW w:w="851" w:type="dxa"/>
            <w:vAlign w:val="center"/>
          </w:tcPr>
          <w:p w14:paraId="73FCAD27">
            <w:pPr>
              <w:keepNext w:val="0"/>
              <w:keepLines w:val="0"/>
              <w:pageBreakBefore w:val="0"/>
              <w:kinsoku/>
              <w:wordWrap/>
              <w:overflowPunct/>
              <w:topLinePunct w:val="0"/>
              <w:autoSpaceDE/>
              <w:autoSpaceDN/>
              <w:bidi w:val="0"/>
              <w:adjustRightInd/>
              <w:snapToGrid/>
              <w:spacing w:line="340" w:lineRule="exact"/>
              <w:jc w:val="center"/>
              <w:textAlignment w:val="auto"/>
              <w:rPr>
                <w:color w:val="auto"/>
                <w:sz w:val="20"/>
                <w:szCs w:val="20"/>
                <w:highlight w:val="none"/>
              </w:rPr>
            </w:pPr>
            <w:r>
              <w:rPr>
                <w:rFonts w:hint="eastAsia"/>
                <w:color w:val="auto"/>
                <w:sz w:val="20"/>
                <w:szCs w:val="20"/>
                <w:highlight w:val="none"/>
                <w:lang w:val="en-US" w:eastAsia="zh-CN"/>
              </w:rPr>
              <w:t>15%</w:t>
            </w:r>
            <w:r>
              <w:rPr>
                <w:rFonts w:hint="eastAsia"/>
                <w:color w:val="auto"/>
                <w:sz w:val="20"/>
                <w:szCs w:val="20"/>
                <w:highlight w:val="none"/>
              </w:rPr>
              <w:t>分</w:t>
            </w:r>
          </w:p>
        </w:tc>
        <w:tc>
          <w:tcPr>
            <w:tcW w:w="3304" w:type="dxa"/>
            <w:vAlign w:val="center"/>
          </w:tcPr>
          <w:p w14:paraId="4BD1FF44">
            <w:pPr>
              <w:rPr>
                <w:rFonts w:hint="eastAsia"/>
                <w:color w:val="auto"/>
                <w:highlight w:val="none"/>
                <w:lang w:eastAsia="zh-CN"/>
              </w:rPr>
            </w:pPr>
            <w:r>
              <w:rPr>
                <w:rFonts w:hint="eastAsia"/>
                <w:color w:val="auto"/>
                <w:highlight w:val="none"/>
              </w:rPr>
              <w:t>优</w:t>
            </w:r>
            <w:r>
              <w:rPr>
                <w:rFonts w:hint="eastAsia"/>
                <w:color w:val="auto"/>
                <w:highlight w:val="none"/>
                <w:lang w:eastAsia="zh-CN"/>
              </w:rPr>
              <w:t>（</w:t>
            </w:r>
            <w:r>
              <w:rPr>
                <w:rFonts w:hint="eastAsia"/>
                <w:color w:val="auto"/>
                <w:highlight w:val="none"/>
              </w:rPr>
              <w:t>85%～100%</w:t>
            </w:r>
            <w:r>
              <w:rPr>
                <w:rFonts w:hint="eastAsia"/>
                <w:color w:val="auto"/>
                <w:highlight w:val="none"/>
                <w:lang w:eastAsia="zh-CN"/>
              </w:rPr>
              <w:t>）</w:t>
            </w:r>
            <w:r>
              <w:rPr>
                <w:rFonts w:hint="eastAsia"/>
                <w:color w:val="auto"/>
                <w:highlight w:val="none"/>
              </w:rPr>
              <w:t>（含85%）</w:t>
            </w:r>
            <w:r>
              <w:rPr>
                <w:rFonts w:hint="eastAsia"/>
                <w:color w:val="auto"/>
                <w:highlight w:val="none"/>
                <w:lang w:eastAsia="zh-CN"/>
              </w:rPr>
              <w:t>：</w:t>
            </w:r>
          </w:p>
          <w:p w14:paraId="5709DDEF">
            <w:pPr>
              <w:rPr>
                <w:rFonts w:hint="eastAsia"/>
                <w:color w:val="auto"/>
                <w:highlight w:val="none"/>
                <w:lang w:eastAsia="zh-CN"/>
              </w:rPr>
            </w:pPr>
            <w:r>
              <w:rPr>
                <w:rFonts w:hint="eastAsia"/>
                <w:color w:val="auto"/>
                <w:sz w:val="20"/>
                <w:szCs w:val="20"/>
                <w:highlight w:val="none"/>
              </w:rPr>
              <w:t>体系完整、措施有力</w:t>
            </w:r>
            <w:r>
              <w:rPr>
                <w:rFonts w:hint="eastAsia"/>
                <w:color w:val="auto"/>
                <w:sz w:val="20"/>
                <w:szCs w:val="20"/>
                <w:highlight w:val="none"/>
                <w:lang w:eastAsia="zh-CN"/>
              </w:rPr>
              <w:t>，质量控制点设置合理</w:t>
            </w:r>
            <w:r>
              <w:rPr>
                <w:rFonts w:hint="eastAsia"/>
                <w:color w:val="auto"/>
                <w:highlight w:val="none"/>
                <w:lang w:eastAsia="zh-CN"/>
              </w:rPr>
              <w:t>；</w:t>
            </w:r>
          </w:p>
          <w:p w14:paraId="50524A87">
            <w:pPr>
              <w:widowControl/>
              <w:jc w:val="left"/>
              <w:rPr>
                <w:rFonts w:hint="eastAsia"/>
                <w:color w:val="auto"/>
                <w:highlight w:val="none"/>
                <w:lang w:val="en-US" w:eastAsia="zh-CN"/>
              </w:rPr>
            </w:pPr>
            <w:r>
              <w:rPr>
                <w:rFonts w:hint="eastAsia"/>
                <w:color w:val="auto"/>
                <w:highlight w:val="none"/>
                <w:lang w:val="en-US" w:eastAsia="zh-CN"/>
              </w:rPr>
              <w:t>良（70%～85%）（含70%）：</w:t>
            </w:r>
          </w:p>
          <w:p w14:paraId="71545EBB">
            <w:pPr>
              <w:widowControl/>
              <w:jc w:val="left"/>
              <w:rPr>
                <w:rFonts w:hint="eastAsia"/>
                <w:color w:val="auto"/>
                <w:highlight w:val="none"/>
                <w:lang w:val="en-US" w:eastAsia="zh-CN"/>
              </w:rPr>
            </w:pPr>
            <w:r>
              <w:rPr>
                <w:rFonts w:hint="eastAsia"/>
                <w:color w:val="auto"/>
                <w:highlight w:val="none"/>
                <w:lang w:val="en-US" w:eastAsia="zh-CN"/>
              </w:rPr>
              <w:t>体系较完整</w:t>
            </w:r>
            <w:r>
              <w:rPr>
                <w:rFonts w:hint="eastAsia"/>
                <w:color w:val="auto"/>
                <w:sz w:val="20"/>
                <w:szCs w:val="20"/>
                <w:highlight w:val="none"/>
              </w:rPr>
              <w:t>、措施</w:t>
            </w:r>
            <w:r>
              <w:rPr>
                <w:rFonts w:hint="eastAsia"/>
                <w:color w:val="auto"/>
                <w:sz w:val="20"/>
                <w:szCs w:val="20"/>
                <w:highlight w:val="none"/>
                <w:lang w:val="en-US" w:eastAsia="zh-CN"/>
              </w:rPr>
              <w:t>较可行，质量控制点设置较合理</w:t>
            </w:r>
            <w:r>
              <w:rPr>
                <w:rFonts w:hint="eastAsia"/>
                <w:color w:val="auto"/>
                <w:highlight w:val="none"/>
                <w:lang w:val="en-US" w:eastAsia="zh-CN"/>
              </w:rPr>
              <w:t>；</w:t>
            </w:r>
          </w:p>
          <w:p w14:paraId="5F66B3B0">
            <w:pPr>
              <w:rPr>
                <w:rFonts w:hint="eastAsia"/>
                <w:color w:val="auto"/>
                <w:highlight w:val="none"/>
                <w:lang w:val="en-US" w:eastAsia="zh-CN"/>
              </w:rPr>
            </w:pPr>
            <w:r>
              <w:rPr>
                <w:rFonts w:hint="eastAsia"/>
                <w:color w:val="auto"/>
                <w:highlight w:val="none"/>
                <w:lang w:val="en-US" w:eastAsia="zh-CN"/>
              </w:rPr>
              <w:t>中（60%～70%）（含60%）：</w:t>
            </w:r>
          </w:p>
          <w:p w14:paraId="09900CF9">
            <w:pPr>
              <w:rPr>
                <w:rFonts w:hint="eastAsia"/>
                <w:color w:val="auto"/>
                <w:highlight w:val="none"/>
                <w:lang w:val="en-US" w:eastAsia="zh-CN"/>
              </w:rPr>
            </w:pPr>
            <w:r>
              <w:rPr>
                <w:rFonts w:hint="eastAsia"/>
                <w:color w:val="auto"/>
                <w:highlight w:val="none"/>
                <w:lang w:val="en-US" w:eastAsia="zh-CN"/>
              </w:rPr>
              <w:t>体系不健全、措施薄弱、质量控制点设置不合理；</w:t>
            </w:r>
          </w:p>
          <w:p w14:paraId="08835A76">
            <w:pPr>
              <w:rPr>
                <w:rFonts w:hint="eastAsia"/>
                <w:color w:val="auto"/>
                <w:highlight w:val="none"/>
                <w:lang w:eastAsia="zh-CN"/>
              </w:rPr>
            </w:pPr>
            <w:r>
              <w:rPr>
                <w:rFonts w:hint="eastAsia"/>
                <w:color w:val="auto"/>
                <w:highlight w:val="none"/>
                <w:lang w:val="en-US" w:eastAsia="zh-CN"/>
              </w:rPr>
              <w:t>差</w:t>
            </w:r>
            <w:r>
              <w:rPr>
                <w:rFonts w:hint="eastAsia"/>
                <w:color w:val="auto"/>
                <w:highlight w:val="none"/>
              </w:rPr>
              <w:t>60%以下</w:t>
            </w:r>
            <w:r>
              <w:rPr>
                <w:rFonts w:hint="eastAsia"/>
                <w:color w:val="auto"/>
                <w:highlight w:val="none"/>
                <w:lang w:eastAsia="zh-CN"/>
              </w:rPr>
              <w:t>：</w:t>
            </w:r>
          </w:p>
          <w:p w14:paraId="1EC51CE3">
            <w:pPr>
              <w:pStyle w:val="29"/>
              <w:rPr>
                <w:rFonts w:hint="eastAsia"/>
                <w:color w:val="auto"/>
                <w:lang w:eastAsia="zh-CN"/>
              </w:rPr>
            </w:pPr>
            <w:r>
              <w:rPr>
                <w:rFonts w:hint="eastAsia"/>
                <w:color w:val="auto"/>
                <w:highlight w:val="none"/>
                <w:lang w:val="en-US" w:eastAsia="zh-CN"/>
              </w:rPr>
              <w:t>体系严重缺失、措施无效、质量控制点设置严重有误。</w:t>
            </w:r>
          </w:p>
        </w:tc>
      </w:tr>
      <w:tr w14:paraId="04745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276" w:type="dxa"/>
            <w:gridSpan w:val="2"/>
            <w:vMerge w:val="continue"/>
          </w:tcPr>
          <w:p w14:paraId="13069AC7">
            <w:pPr>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p>
        </w:tc>
        <w:tc>
          <w:tcPr>
            <w:tcW w:w="1418" w:type="dxa"/>
            <w:vMerge w:val="continue"/>
          </w:tcPr>
          <w:p w14:paraId="73C41F26">
            <w:pPr>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p>
        </w:tc>
        <w:tc>
          <w:tcPr>
            <w:tcW w:w="2409" w:type="dxa"/>
            <w:vAlign w:val="center"/>
          </w:tcPr>
          <w:p w14:paraId="07DF15BB">
            <w:pPr>
              <w:keepNext w:val="0"/>
              <w:keepLines w:val="0"/>
              <w:pageBreakBefore w:val="0"/>
              <w:kinsoku/>
              <w:wordWrap/>
              <w:overflowPunct/>
              <w:topLinePunct w:val="0"/>
              <w:autoSpaceDE/>
              <w:autoSpaceDN/>
              <w:bidi w:val="0"/>
              <w:adjustRightInd/>
              <w:snapToGrid/>
              <w:spacing w:line="340" w:lineRule="exact"/>
              <w:jc w:val="center"/>
              <w:textAlignment w:val="auto"/>
              <w:rPr>
                <w:color w:val="auto"/>
                <w:sz w:val="20"/>
                <w:szCs w:val="20"/>
                <w:highlight w:val="none"/>
              </w:rPr>
            </w:pPr>
            <w:r>
              <w:rPr>
                <w:rFonts w:hint="eastAsia"/>
                <w:color w:val="auto"/>
                <w:sz w:val="20"/>
                <w:szCs w:val="20"/>
                <w:highlight w:val="none"/>
              </w:rPr>
              <w:t>安全管理体系和措施</w:t>
            </w:r>
          </w:p>
        </w:tc>
        <w:tc>
          <w:tcPr>
            <w:tcW w:w="851" w:type="dxa"/>
            <w:vAlign w:val="center"/>
          </w:tcPr>
          <w:p w14:paraId="32B73CB3">
            <w:pPr>
              <w:keepNext w:val="0"/>
              <w:keepLines w:val="0"/>
              <w:pageBreakBefore w:val="0"/>
              <w:widowControl/>
              <w:kinsoku/>
              <w:wordWrap/>
              <w:overflowPunct/>
              <w:topLinePunct w:val="0"/>
              <w:autoSpaceDE/>
              <w:autoSpaceDN/>
              <w:bidi w:val="0"/>
              <w:adjustRightInd/>
              <w:snapToGrid/>
              <w:spacing w:line="340" w:lineRule="exact"/>
              <w:jc w:val="center"/>
              <w:textAlignment w:val="auto"/>
              <w:rPr>
                <w:color w:val="auto"/>
                <w:kern w:val="0"/>
                <w:sz w:val="20"/>
                <w:szCs w:val="20"/>
                <w:highlight w:val="none"/>
              </w:rPr>
            </w:pPr>
            <w:r>
              <w:rPr>
                <w:rFonts w:hint="eastAsia"/>
                <w:color w:val="auto"/>
                <w:sz w:val="20"/>
                <w:szCs w:val="20"/>
                <w:highlight w:val="none"/>
                <w:lang w:val="en-US" w:eastAsia="zh-CN"/>
              </w:rPr>
              <w:t>15%</w:t>
            </w:r>
            <w:r>
              <w:rPr>
                <w:rFonts w:hint="eastAsia"/>
                <w:color w:val="auto"/>
                <w:sz w:val="20"/>
                <w:szCs w:val="20"/>
                <w:highlight w:val="none"/>
              </w:rPr>
              <w:t>分</w:t>
            </w:r>
          </w:p>
        </w:tc>
        <w:tc>
          <w:tcPr>
            <w:tcW w:w="3304" w:type="dxa"/>
            <w:vAlign w:val="center"/>
          </w:tcPr>
          <w:p w14:paraId="7B140905">
            <w:pPr>
              <w:rPr>
                <w:rFonts w:hint="eastAsia"/>
                <w:color w:val="auto"/>
                <w:highlight w:val="none"/>
                <w:lang w:eastAsia="zh-CN"/>
              </w:rPr>
            </w:pPr>
            <w:r>
              <w:rPr>
                <w:rFonts w:hint="eastAsia"/>
                <w:color w:val="auto"/>
                <w:highlight w:val="none"/>
              </w:rPr>
              <w:t>优</w:t>
            </w:r>
            <w:r>
              <w:rPr>
                <w:rFonts w:hint="eastAsia"/>
                <w:color w:val="auto"/>
                <w:highlight w:val="none"/>
                <w:lang w:eastAsia="zh-CN"/>
              </w:rPr>
              <w:t>（</w:t>
            </w:r>
            <w:r>
              <w:rPr>
                <w:rFonts w:hint="eastAsia"/>
                <w:color w:val="auto"/>
                <w:highlight w:val="none"/>
              </w:rPr>
              <w:t>85%～100%</w:t>
            </w:r>
            <w:r>
              <w:rPr>
                <w:rFonts w:hint="eastAsia"/>
                <w:color w:val="auto"/>
                <w:highlight w:val="none"/>
                <w:lang w:eastAsia="zh-CN"/>
              </w:rPr>
              <w:t>）</w:t>
            </w:r>
            <w:r>
              <w:rPr>
                <w:rFonts w:hint="eastAsia"/>
                <w:color w:val="auto"/>
                <w:highlight w:val="none"/>
              </w:rPr>
              <w:t>（含85%）</w:t>
            </w:r>
            <w:r>
              <w:rPr>
                <w:rFonts w:hint="eastAsia"/>
                <w:color w:val="auto"/>
                <w:highlight w:val="none"/>
                <w:lang w:eastAsia="zh-CN"/>
              </w:rPr>
              <w:t>：</w:t>
            </w:r>
          </w:p>
          <w:p w14:paraId="3C5BC22D">
            <w:pPr>
              <w:rPr>
                <w:rFonts w:hint="eastAsia"/>
                <w:color w:val="auto"/>
                <w:highlight w:val="none"/>
                <w:lang w:eastAsia="zh-CN"/>
              </w:rPr>
            </w:pPr>
            <w:r>
              <w:rPr>
                <w:rFonts w:hint="eastAsia"/>
                <w:color w:val="auto"/>
                <w:sz w:val="20"/>
                <w:szCs w:val="20"/>
                <w:highlight w:val="none"/>
              </w:rPr>
              <w:t>体系完整、措施有力</w:t>
            </w:r>
            <w:r>
              <w:rPr>
                <w:rFonts w:hint="eastAsia"/>
                <w:color w:val="auto"/>
                <w:highlight w:val="none"/>
                <w:lang w:eastAsia="zh-CN"/>
              </w:rPr>
              <w:t>；</w:t>
            </w:r>
          </w:p>
          <w:p w14:paraId="148EB1C9">
            <w:pPr>
              <w:widowControl/>
              <w:jc w:val="left"/>
              <w:rPr>
                <w:rFonts w:hint="eastAsia"/>
                <w:color w:val="auto"/>
                <w:highlight w:val="none"/>
                <w:lang w:val="en-US" w:eastAsia="zh-CN"/>
              </w:rPr>
            </w:pPr>
            <w:r>
              <w:rPr>
                <w:rFonts w:hint="eastAsia"/>
                <w:color w:val="auto"/>
                <w:highlight w:val="none"/>
                <w:lang w:val="en-US" w:eastAsia="zh-CN"/>
              </w:rPr>
              <w:t>良（70%～85%）（含70%）：</w:t>
            </w:r>
          </w:p>
          <w:p w14:paraId="708D2C62">
            <w:pPr>
              <w:widowControl/>
              <w:jc w:val="left"/>
              <w:rPr>
                <w:rFonts w:hint="eastAsia"/>
                <w:color w:val="auto"/>
                <w:highlight w:val="none"/>
                <w:lang w:val="en-US" w:eastAsia="zh-CN"/>
              </w:rPr>
            </w:pPr>
            <w:r>
              <w:rPr>
                <w:rFonts w:hint="eastAsia"/>
                <w:color w:val="auto"/>
                <w:highlight w:val="none"/>
                <w:lang w:val="en-US" w:eastAsia="zh-CN"/>
              </w:rPr>
              <w:t>体系较完整</w:t>
            </w:r>
            <w:r>
              <w:rPr>
                <w:rFonts w:hint="eastAsia"/>
                <w:color w:val="auto"/>
                <w:sz w:val="20"/>
                <w:szCs w:val="20"/>
                <w:highlight w:val="none"/>
              </w:rPr>
              <w:t>、措施</w:t>
            </w:r>
            <w:r>
              <w:rPr>
                <w:rFonts w:hint="eastAsia"/>
                <w:color w:val="auto"/>
                <w:sz w:val="20"/>
                <w:szCs w:val="20"/>
                <w:highlight w:val="none"/>
                <w:lang w:val="en-US" w:eastAsia="zh-CN"/>
              </w:rPr>
              <w:t>较可行</w:t>
            </w:r>
            <w:r>
              <w:rPr>
                <w:rFonts w:hint="eastAsia"/>
                <w:color w:val="auto"/>
                <w:highlight w:val="none"/>
                <w:lang w:val="en-US" w:eastAsia="zh-CN"/>
              </w:rPr>
              <w:t>；</w:t>
            </w:r>
          </w:p>
          <w:p w14:paraId="21CD6CE2">
            <w:pPr>
              <w:rPr>
                <w:rFonts w:hint="eastAsia"/>
                <w:color w:val="auto"/>
                <w:highlight w:val="none"/>
                <w:lang w:val="en-US" w:eastAsia="zh-CN"/>
              </w:rPr>
            </w:pPr>
            <w:r>
              <w:rPr>
                <w:rFonts w:hint="eastAsia"/>
                <w:color w:val="auto"/>
                <w:highlight w:val="none"/>
                <w:lang w:val="en-US" w:eastAsia="zh-CN"/>
              </w:rPr>
              <w:t>中（60%～70%）（含60%）：</w:t>
            </w:r>
          </w:p>
          <w:p w14:paraId="4DEEE156">
            <w:pPr>
              <w:rPr>
                <w:rFonts w:hint="eastAsia"/>
                <w:color w:val="auto"/>
                <w:highlight w:val="none"/>
                <w:lang w:val="en-US" w:eastAsia="zh-CN"/>
              </w:rPr>
            </w:pPr>
            <w:r>
              <w:rPr>
                <w:rFonts w:hint="eastAsia"/>
                <w:color w:val="auto"/>
                <w:highlight w:val="none"/>
                <w:lang w:val="en-US" w:eastAsia="zh-CN"/>
              </w:rPr>
              <w:t>体系不健全、措施薄弱；</w:t>
            </w:r>
          </w:p>
          <w:p w14:paraId="209D6ABF">
            <w:pPr>
              <w:rPr>
                <w:rFonts w:hint="eastAsia"/>
                <w:color w:val="auto"/>
                <w:highlight w:val="none"/>
                <w:lang w:eastAsia="zh-CN"/>
              </w:rPr>
            </w:pPr>
            <w:r>
              <w:rPr>
                <w:rFonts w:hint="eastAsia"/>
                <w:color w:val="auto"/>
                <w:highlight w:val="none"/>
                <w:lang w:val="en-US" w:eastAsia="zh-CN"/>
              </w:rPr>
              <w:t>差</w:t>
            </w:r>
            <w:r>
              <w:rPr>
                <w:rFonts w:hint="eastAsia"/>
                <w:color w:val="auto"/>
                <w:highlight w:val="none"/>
              </w:rPr>
              <w:t>60%以下</w:t>
            </w:r>
            <w:r>
              <w:rPr>
                <w:rFonts w:hint="eastAsia"/>
                <w:color w:val="auto"/>
                <w:highlight w:val="none"/>
                <w:lang w:eastAsia="zh-CN"/>
              </w:rPr>
              <w:t>：</w:t>
            </w:r>
          </w:p>
          <w:p w14:paraId="6C2863A8">
            <w:pPr>
              <w:keepNext w:val="0"/>
              <w:keepLines w:val="0"/>
              <w:pageBreakBefore w:val="0"/>
              <w:kinsoku/>
              <w:wordWrap/>
              <w:overflowPunct/>
              <w:topLinePunct w:val="0"/>
              <w:autoSpaceDE/>
              <w:autoSpaceDN/>
              <w:bidi w:val="0"/>
              <w:adjustRightInd/>
              <w:snapToGrid/>
              <w:spacing w:line="340" w:lineRule="exact"/>
              <w:textAlignment w:val="auto"/>
              <w:rPr>
                <w:rFonts w:hint="eastAsia"/>
                <w:color w:val="auto"/>
                <w:sz w:val="20"/>
                <w:szCs w:val="20"/>
                <w:highlight w:val="none"/>
                <w:lang w:eastAsia="zh-CN"/>
              </w:rPr>
            </w:pPr>
            <w:r>
              <w:rPr>
                <w:rFonts w:hint="eastAsia"/>
                <w:color w:val="auto"/>
                <w:highlight w:val="none"/>
                <w:lang w:val="en-US" w:eastAsia="zh-CN"/>
              </w:rPr>
              <w:t>体系严重缺失、措施无效。</w:t>
            </w:r>
          </w:p>
        </w:tc>
      </w:tr>
      <w:tr w14:paraId="532A8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276" w:type="dxa"/>
            <w:gridSpan w:val="2"/>
            <w:vMerge w:val="continue"/>
          </w:tcPr>
          <w:p w14:paraId="0710210E">
            <w:pPr>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p>
        </w:tc>
        <w:tc>
          <w:tcPr>
            <w:tcW w:w="1418" w:type="dxa"/>
            <w:vMerge w:val="continue"/>
          </w:tcPr>
          <w:p w14:paraId="3C8DC5FC">
            <w:pPr>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p>
        </w:tc>
        <w:tc>
          <w:tcPr>
            <w:tcW w:w="2409" w:type="dxa"/>
            <w:vAlign w:val="center"/>
          </w:tcPr>
          <w:p w14:paraId="61239A79">
            <w:pPr>
              <w:keepNext w:val="0"/>
              <w:keepLines w:val="0"/>
              <w:pageBreakBefore w:val="0"/>
              <w:kinsoku/>
              <w:wordWrap/>
              <w:overflowPunct/>
              <w:topLinePunct w:val="0"/>
              <w:autoSpaceDE/>
              <w:autoSpaceDN/>
              <w:bidi w:val="0"/>
              <w:adjustRightInd/>
              <w:snapToGrid/>
              <w:spacing w:line="340" w:lineRule="exact"/>
              <w:jc w:val="center"/>
              <w:textAlignment w:val="auto"/>
              <w:rPr>
                <w:color w:val="auto"/>
                <w:sz w:val="20"/>
                <w:szCs w:val="20"/>
                <w:highlight w:val="none"/>
              </w:rPr>
            </w:pPr>
            <w:r>
              <w:rPr>
                <w:rFonts w:hint="eastAsia"/>
                <w:color w:val="auto"/>
                <w:sz w:val="20"/>
                <w:szCs w:val="20"/>
                <w:highlight w:val="none"/>
              </w:rPr>
              <w:t>环境保护管理体系和措施</w:t>
            </w:r>
          </w:p>
        </w:tc>
        <w:tc>
          <w:tcPr>
            <w:tcW w:w="851" w:type="dxa"/>
            <w:vAlign w:val="center"/>
          </w:tcPr>
          <w:p w14:paraId="152B9843">
            <w:pPr>
              <w:keepNext w:val="0"/>
              <w:keepLines w:val="0"/>
              <w:pageBreakBefore w:val="0"/>
              <w:kinsoku/>
              <w:wordWrap/>
              <w:overflowPunct/>
              <w:topLinePunct w:val="0"/>
              <w:autoSpaceDE/>
              <w:autoSpaceDN/>
              <w:bidi w:val="0"/>
              <w:adjustRightInd/>
              <w:snapToGrid/>
              <w:spacing w:line="340" w:lineRule="exact"/>
              <w:jc w:val="center"/>
              <w:textAlignment w:val="auto"/>
              <w:rPr>
                <w:color w:val="auto"/>
                <w:sz w:val="20"/>
                <w:szCs w:val="20"/>
                <w:highlight w:val="none"/>
              </w:rPr>
            </w:pPr>
            <w:r>
              <w:rPr>
                <w:rFonts w:hint="eastAsia"/>
                <w:color w:val="auto"/>
                <w:sz w:val="20"/>
                <w:szCs w:val="20"/>
                <w:highlight w:val="none"/>
                <w:lang w:val="en-US" w:eastAsia="zh-CN"/>
              </w:rPr>
              <w:t>10%</w:t>
            </w:r>
            <w:r>
              <w:rPr>
                <w:rFonts w:hint="eastAsia"/>
                <w:color w:val="auto"/>
                <w:sz w:val="20"/>
                <w:szCs w:val="20"/>
                <w:highlight w:val="none"/>
              </w:rPr>
              <w:t>分</w:t>
            </w:r>
          </w:p>
        </w:tc>
        <w:tc>
          <w:tcPr>
            <w:tcW w:w="3304" w:type="dxa"/>
            <w:vAlign w:val="center"/>
          </w:tcPr>
          <w:p w14:paraId="71119DB3">
            <w:pPr>
              <w:rPr>
                <w:rFonts w:hint="eastAsia"/>
                <w:color w:val="auto"/>
                <w:highlight w:val="none"/>
                <w:lang w:eastAsia="zh-CN"/>
              </w:rPr>
            </w:pPr>
            <w:r>
              <w:rPr>
                <w:rFonts w:hint="eastAsia"/>
                <w:color w:val="auto"/>
                <w:highlight w:val="none"/>
              </w:rPr>
              <w:t>优</w:t>
            </w:r>
            <w:r>
              <w:rPr>
                <w:rFonts w:hint="eastAsia"/>
                <w:color w:val="auto"/>
                <w:highlight w:val="none"/>
                <w:lang w:eastAsia="zh-CN"/>
              </w:rPr>
              <w:t>（</w:t>
            </w:r>
            <w:r>
              <w:rPr>
                <w:rFonts w:hint="eastAsia"/>
                <w:color w:val="auto"/>
                <w:highlight w:val="none"/>
              </w:rPr>
              <w:t>85%～100%</w:t>
            </w:r>
            <w:r>
              <w:rPr>
                <w:rFonts w:hint="eastAsia"/>
                <w:color w:val="auto"/>
                <w:highlight w:val="none"/>
                <w:lang w:eastAsia="zh-CN"/>
              </w:rPr>
              <w:t>）</w:t>
            </w:r>
            <w:r>
              <w:rPr>
                <w:rFonts w:hint="eastAsia"/>
                <w:color w:val="auto"/>
                <w:highlight w:val="none"/>
              </w:rPr>
              <w:t>（含85%）</w:t>
            </w:r>
            <w:r>
              <w:rPr>
                <w:rFonts w:hint="eastAsia"/>
                <w:color w:val="auto"/>
                <w:highlight w:val="none"/>
                <w:lang w:eastAsia="zh-CN"/>
              </w:rPr>
              <w:t>：</w:t>
            </w:r>
          </w:p>
          <w:p w14:paraId="315B14D5">
            <w:pPr>
              <w:rPr>
                <w:rFonts w:hint="eastAsia"/>
                <w:color w:val="auto"/>
                <w:highlight w:val="none"/>
                <w:lang w:eastAsia="zh-CN"/>
              </w:rPr>
            </w:pPr>
            <w:r>
              <w:rPr>
                <w:rFonts w:hint="eastAsia"/>
                <w:color w:val="auto"/>
                <w:sz w:val="20"/>
                <w:szCs w:val="20"/>
                <w:highlight w:val="none"/>
              </w:rPr>
              <w:t>体系完整、措施有力</w:t>
            </w:r>
            <w:r>
              <w:rPr>
                <w:rFonts w:hint="eastAsia"/>
                <w:color w:val="auto"/>
                <w:highlight w:val="none"/>
                <w:lang w:eastAsia="zh-CN"/>
              </w:rPr>
              <w:t>；</w:t>
            </w:r>
          </w:p>
          <w:p w14:paraId="04111C53">
            <w:pPr>
              <w:widowControl/>
              <w:jc w:val="left"/>
              <w:rPr>
                <w:rFonts w:hint="eastAsia"/>
                <w:color w:val="auto"/>
                <w:highlight w:val="none"/>
                <w:lang w:val="en-US" w:eastAsia="zh-CN"/>
              </w:rPr>
            </w:pPr>
            <w:r>
              <w:rPr>
                <w:rFonts w:hint="eastAsia"/>
                <w:color w:val="auto"/>
                <w:highlight w:val="none"/>
                <w:lang w:val="en-US" w:eastAsia="zh-CN"/>
              </w:rPr>
              <w:t>良（70%～85%）（含70%）：</w:t>
            </w:r>
          </w:p>
          <w:p w14:paraId="30F469D8">
            <w:pPr>
              <w:widowControl/>
              <w:jc w:val="left"/>
              <w:rPr>
                <w:rFonts w:hint="eastAsia"/>
                <w:color w:val="auto"/>
                <w:highlight w:val="none"/>
                <w:lang w:val="en-US" w:eastAsia="zh-CN"/>
              </w:rPr>
            </w:pPr>
            <w:r>
              <w:rPr>
                <w:rFonts w:hint="eastAsia"/>
                <w:color w:val="auto"/>
                <w:highlight w:val="none"/>
                <w:lang w:val="en-US" w:eastAsia="zh-CN"/>
              </w:rPr>
              <w:t>体系较完整</w:t>
            </w:r>
            <w:r>
              <w:rPr>
                <w:rFonts w:hint="eastAsia"/>
                <w:color w:val="auto"/>
                <w:sz w:val="20"/>
                <w:szCs w:val="20"/>
                <w:highlight w:val="none"/>
              </w:rPr>
              <w:t>、措施</w:t>
            </w:r>
            <w:r>
              <w:rPr>
                <w:rFonts w:hint="eastAsia"/>
                <w:color w:val="auto"/>
                <w:sz w:val="20"/>
                <w:szCs w:val="20"/>
                <w:highlight w:val="none"/>
                <w:lang w:val="en-US" w:eastAsia="zh-CN"/>
              </w:rPr>
              <w:t>较可行</w:t>
            </w:r>
            <w:r>
              <w:rPr>
                <w:rFonts w:hint="eastAsia"/>
                <w:color w:val="auto"/>
                <w:highlight w:val="none"/>
                <w:lang w:val="en-US" w:eastAsia="zh-CN"/>
              </w:rPr>
              <w:t>；</w:t>
            </w:r>
          </w:p>
          <w:p w14:paraId="196795D1">
            <w:pPr>
              <w:rPr>
                <w:rFonts w:hint="eastAsia"/>
                <w:color w:val="auto"/>
                <w:highlight w:val="none"/>
                <w:lang w:val="en-US" w:eastAsia="zh-CN"/>
              </w:rPr>
            </w:pPr>
            <w:r>
              <w:rPr>
                <w:rFonts w:hint="eastAsia"/>
                <w:color w:val="auto"/>
                <w:highlight w:val="none"/>
                <w:lang w:val="en-US" w:eastAsia="zh-CN"/>
              </w:rPr>
              <w:t>中（60%～70%）（含60%）：</w:t>
            </w:r>
          </w:p>
          <w:p w14:paraId="6CD5BA41">
            <w:pPr>
              <w:rPr>
                <w:rFonts w:hint="eastAsia"/>
                <w:color w:val="auto"/>
                <w:highlight w:val="none"/>
                <w:lang w:val="en-US" w:eastAsia="zh-CN"/>
              </w:rPr>
            </w:pPr>
            <w:r>
              <w:rPr>
                <w:rFonts w:hint="eastAsia"/>
                <w:color w:val="auto"/>
                <w:highlight w:val="none"/>
                <w:lang w:val="en-US" w:eastAsia="zh-CN"/>
              </w:rPr>
              <w:t>体系不健全、措施薄弱；</w:t>
            </w:r>
          </w:p>
          <w:p w14:paraId="47C184CF">
            <w:pPr>
              <w:rPr>
                <w:rFonts w:hint="eastAsia"/>
                <w:color w:val="auto"/>
                <w:highlight w:val="none"/>
                <w:lang w:eastAsia="zh-CN"/>
              </w:rPr>
            </w:pPr>
            <w:r>
              <w:rPr>
                <w:rFonts w:hint="eastAsia"/>
                <w:color w:val="auto"/>
                <w:highlight w:val="none"/>
                <w:lang w:val="en-US" w:eastAsia="zh-CN"/>
              </w:rPr>
              <w:t>差</w:t>
            </w:r>
            <w:r>
              <w:rPr>
                <w:rFonts w:hint="eastAsia"/>
                <w:color w:val="auto"/>
                <w:highlight w:val="none"/>
              </w:rPr>
              <w:t>60%以下</w:t>
            </w:r>
            <w:r>
              <w:rPr>
                <w:rFonts w:hint="eastAsia"/>
                <w:color w:val="auto"/>
                <w:highlight w:val="none"/>
                <w:lang w:eastAsia="zh-CN"/>
              </w:rPr>
              <w:t>：</w:t>
            </w:r>
          </w:p>
          <w:p w14:paraId="0502BCC4">
            <w:pPr>
              <w:pStyle w:val="29"/>
              <w:rPr>
                <w:rFonts w:hint="eastAsia"/>
                <w:color w:val="auto"/>
                <w:lang w:eastAsia="zh-CN"/>
              </w:rPr>
            </w:pPr>
            <w:r>
              <w:rPr>
                <w:rFonts w:hint="eastAsia"/>
                <w:color w:val="auto"/>
                <w:highlight w:val="none"/>
                <w:lang w:val="en-US" w:eastAsia="zh-CN"/>
              </w:rPr>
              <w:t>体系严重缺失、措施无效。</w:t>
            </w:r>
          </w:p>
        </w:tc>
      </w:tr>
      <w:tr w14:paraId="54033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276" w:type="dxa"/>
            <w:gridSpan w:val="2"/>
            <w:vMerge w:val="continue"/>
          </w:tcPr>
          <w:p w14:paraId="7E5C5C22">
            <w:pPr>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p>
        </w:tc>
        <w:tc>
          <w:tcPr>
            <w:tcW w:w="1418" w:type="dxa"/>
            <w:vMerge w:val="continue"/>
          </w:tcPr>
          <w:p w14:paraId="4C19BF74">
            <w:pPr>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p>
        </w:tc>
        <w:tc>
          <w:tcPr>
            <w:tcW w:w="2409" w:type="dxa"/>
            <w:vAlign w:val="center"/>
          </w:tcPr>
          <w:p w14:paraId="07DD775B">
            <w:pPr>
              <w:keepNext w:val="0"/>
              <w:keepLines w:val="0"/>
              <w:pageBreakBefore w:val="0"/>
              <w:widowControl/>
              <w:kinsoku/>
              <w:wordWrap/>
              <w:overflowPunct/>
              <w:topLinePunct w:val="0"/>
              <w:autoSpaceDE/>
              <w:autoSpaceDN/>
              <w:bidi w:val="0"/>
              <w:adjustRightInd/>
              <w:snapToGrid/>
              <w:spacing w:line="340" w:lineRule="exact"/>
              <w:jc w:val="center"/>
              <w:textAlignment w:val="auto"/>
              <w:rPr>
                <w:color w:val="auto"/>
                <w:kern w:val="0"/>
                <w:sz w:val="20"/>
                <w:szCs w:val="20"/>
                <w:highlight w:val="none"/>
              </w:rPr>
            </w:pPr>
            <w:r>
              <w:rPr>
                <w:rFonts w:hint="eastAsia"/>
                <w:color w:val="auto"/>
                <w:sz w:val="20"/>
                <w:szCs w:val="20"/>
                <w:highlight w:val="none"/>
              </w:rPr>
              <w:t>工程进度计划和措施</w:t>
            </w:r>
          </w:p>
        </w:tc>
        <w:tc>
          <w:tcPr>
            <w:tcW w:w="851" w:type="dxa"/>
            <w:vAlign w:val="center"/>
          </w:tcPr>
          <w:p w14:paraId="3248D3D7">
            <w:pPr>
              <w:keepNext w:val="0"/>
              <w:keepLines w:val="0"/>
              <w:pageBreakBefore w:val="0"/>
              <w:widowControl/>
              <w:kinsoku/>
              <w:wordWrap/>
              <w:overflowPunct/>
              <w:topLinePunct w:val="0"/>
              <w:autoSpaceDE/>
              <w:autoSpaceDN/>
              <w:bidi w:val="0"/>
              <w:adjustRightInd/>
              <w:snapToGrid/>
              <w:spacing w:line="340" w:lineRule="exact"/>
              <w:jc w:val="center"/>
              <w:textAlignment w:val="auto"/>
              <w:rPr>
                <w:color w:val="auto"/>
                <w:kern w:val="0"/>
                <w:sz w:val="20"/>
                <w:szCs w:val="20"/>
                <w:highlight w:val="none"/>
              </w:rPr>
            </w:pPr>
            <w:r>
              <w:rPr>
                <w:rFonts w:hint="eastAsia"/>
                <w:color w:val="auto"/>
                <w:sz w:val="20"/>
                <w:szCs w:val="20"/>
                <w:highlight w:val="none"/>
                <w:lang w:val="en-US" w:eastAsia="zh-CN"/>
              </w:rPr>
              <w:t>10%</w:t>
            </w:r>
            <w:r>
              <w:rPr>
                <w:rFonts w:hint="eastAsia"/>
                <w:color w:val="auto"/>
                <w:sz w:val="20"/>
                <w:szCs w:val="20"/>
                <w:highlight w:val="none"/>
              </w:rPr>
              <w:t>分</w:t>
            </w:r>
          </w:p>
        </w:tc>
        <w:tc>
          <w:tcPr>
            <w:tcW w:w="3304" w:type="dxa"/>
            <w:vAlign w:val="center"/>
          </w:tcPr>
          <w:p w14:paraId="39D4E563">
            <w:pPr>
              <w:rPr>
                <w:rFonts w:hint="eastAsia" w:eastAsia="宋体"/>
                <w:color w:val="auto"/>
                <w:highlight w:val="none"/>
                <w:lang w:eastAsia="zh-CN"/>
              </w:rPr>
            </w:pPr>
            <w:r>
              <w:rPr>
                <w:rFonts w:hint="eastAsia"/>
                <w:color w:val="auto"/>
                <w:highlight w:val="none"/>
              </w:rPr>
              <w:t>优</w:t>
            </w:r>
            <w:r>
              <w:rPr>
                <w:rFonts w:hint="eastAsia"/>
                <w:color w:val="auto"/>
                <w:highlight w:val="none"/>
                <w:lang w:eastAsia="zh-CN"/>
              </w:rPr>
              <w:t>（</w:t>
            </w:r>
            <w:r>
              <w:rPr>
                <w:rFonts w:hint="eastAsia"/>
                <w:color w:val="auto"/>
                <w:highlight w:val="none"/>
              </w:rPr>
              <w:t>85%～100%</w:t>
            </w:r>
            <w:r>
              <w:rPr>
                <w:rFonts w:hint="eastAsia"/>
                <w:color w:val="auto"/>
                <w:highlight w:val="none"/>
                <w:lang w:eastAsia="zh-CN"/>
              </w:rPr>
              <w:t>）</w:t>
            </w:r>
            <w:r>
              <w:rPr>
                <w:rFonts w:hint="eastAsia"/>
                <w:color w:val="auto"/>
                <w:highlight w:val="none"/>
              </w:rPr>
              <w:t>（含85%）</w:t>
            </w:r>
            <w:r>
              <w:rPr>
                <w:rFonts w:hint="eastAsia"/>
                <w:color w:val="auto"/>
                <w:highlight w:val="none"/>
                <w:lang w:eastAsia="zh-CN"/>
              </w:rPr>
              <w:t>：</w:t>
            </w:r>
            <w:r>
              <w:rPr>
                <w:rFonts w:hint="eastAsia"/>
                <w:color w:val="auto"/>
                <w:sz w:val="20"/>
                <w:szCs w:val="20"/>
                <w:highlight w:val="none"/>
              </w:rPr>
              <w:t>计划合理可行、措施有力</w:t>
            </w:r>
            <w:r>
              <w:rPr>
                <w:rFonts w:hint="eastAsia"/>
                <w:color w:val="auto"/>
                <w:sz w:val="20"/>
                <w:szCs w:val="20"/>
                <w:highlight w:val="none"/>
                <w:lang w:eastAsia="zh-CN"/>
              </w:rPr>
              <w:t>；</w:t>
            </w:r>
          </w:p>
          <w:p w14:paraId="6661F1DF">
            <w:pPr>
              <w:widowControl/>
              <w:jc w:val="left"/>
              <w:rPr>
                <w:rFonts w:hint="eastAsia"/>
                <w:color w:val="auto"/>
                <w:highlight w:val="none"/>
                <w:lang w:val="en-US" w:eastAsia="zh-CN"/>
              </w:rPr>
            </w:pPr>
            <w:r>
              <w:rPr>
                <w:rFonts w:hint="eastAsia"/>
                <w:color w:val="auto"/>
                <w:highlight w:val="none"/>
                <w:lang w:val="en-US" w:eastAsia="zh-CN"/>
              </w:rPr>
              <w:t>良（70%～85%）（含70%）：</w:t>
            </w:r>
            <w:r>
              <w:rPr>
                <w:rFonts w:hint="eastAsia"/>
                <w:color w:val="auto"/>
                <w:sz w:val="20"/>
                <w:szCs w:val="20"/>
                <w:highlight w:val="none"/>
              </w:rPr>
              <w:t>计划合理可行、措施</w:t>
            </w:r>
            <w:r>
              <w:rPr>
                <w:rFonts w:hint="eastAsia"/>
                <w:color w:val="auto"/>
                <w:sz w:val="20"/>
                <w:szCs w:val="20"/>
                <w:highlight w:val="none"/>
                <w:lang w:val="en-US" w:eastAsia="zh-CN"/>
              </w:rPr>
              <w:t>较可行</w:t>
            </w:r>
            <w:r>
              <w:rPr>
                <w:rFonts w:hint="eastAsia"/>
                <w:color w:val="auto"/>
                <w:highlight w:val="none"/>
                <w:lang w:val="en-US" w:eastAsia="zh-CN"/>
              </w:rPr>
              <w:t>；</w:t>
            </w:r>
          </w:p>
          <w:p w14:paraId="1F7EA20B">
            <w:pP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中（60%～70%）（含60%）：</w:t>
            </w:r>
            <w:r>
              <w:rPr>
                <w:rFonts w:hint="eastAsia" w:ascii="Times New Roman" w:hAnsi="Times New Roman" w:eastAsia="宋体" w:cs="Times New Roman"/>
                <w:color w:val="auto"/>
                <w:kern w:val="2"/>
                <w:sz w:val="21"/>
                <w:szCs w:val="24"/>
                <w:highlight w:val="none"/>
                <w:lang w:val="en-US" w:eastAsia="zh-CN" w:bidi="ar-SA"/>
              </w:rPr>
              <w:t>计划可行性不足，</w:t>
            </w:r>
            <w:r>
              <w:rPr>
                <w:rFonts w:ascii="Times New Roman" w:hAnsi="Times New Roman" w:eastAsia="宋体" w:cs="Times New Roman"/>
                <w:color w:val="auto"/>
                <w:kern w:val="2"/>
                <w:sz w:val="21"/>
                <w:szCs w:val="24"/>
                <w:highlight w:val="none"/>
                <w:lang w:bidi="ar-SA"/>
              </w:rPr>
              <w:t>措施薄弱</w:t>
            </w:r>
            <w:r>
              <w:rPr>
                <w:rFonts w:hint="eastAsia" w:ascii="Times New Roman" w:hAnsi="Times New Roman" w:eastAsia="宋体" w:cs="Times New Roman"/>
                <w:color w:val="auto"/>
                <w:kern w:val="2"/>
                <w:sz w:val="21"/>
                <w:szCs w:val="24"/>
                <w:highlight w:val="none"/>
                <w:lang w:val="en-US" w:eastAsia="zh-CN" w:bidi="ar-SA"/>
              </w:rPr>
              <w:t>；</w:t>
            </w:r>
          </w:p>
          <w:p w14:paraId="6D391783">
            <w:pPr>
              <w:pStyle w:val="29"/>
              <w:rPr>
                <w:rFonts w:hint="eastAsia"/>
                <w:color w:val="auto"/>
                <w:lang w:eastAsia="zh-CN"/>
              </w:rPr>
            </w:pPr>
            <w:r>
              <w:rPr>
                <w:rFonts w:hint="eastAsia"/>
                <w:color w:val="auto"/>
                <w:highlight w:val="none"/>
                <w:lang w:val="en-US" w:eastAsia="zh-CN"/>
              </w:rPr>
              <w:t>差</w:t>
            </w:r>
            <w:r>
              <w:rPr>
                <w:rFonts w:hint="eastAsia"/>
                <w:color w:val="auto"/>
                <w:highlight w:val="none"/>
              </w:rPr>
              <w:t>60%以下</w:t>
            </w:r>
            <w:r>
              <w:rPr>
                <w:rFonts w:hint="eastAsia"/>
                <w:color w:val="auto"/>
                <w:highlight w:val="none"/>
                <w:lang w:eastAsia="zh-CN"/>
              </w:rPr>
              <w:t>：</w:t>
            </w:r>
            <w:r>
              <w:rPr>
                <w:rFonts w:hint="eastAsia"/>
                <w:color w:val="auto"/>
                <w:sz w:val="20"/>
                <w:szCs w:val="20"/>
                <w:highlight w:val="none"/>
                <w:lang w:eastAsia="zh-CN"/>
              </w:rPr>
              <w:t>计划不可行、</w:t>
            </w:r>
            <w:r>
              <w:rPr>
                <w:rFonts w:hint="eastAsia"/>
                <w:color w:val="auto"/>
                <w:sz w:val="20"/>
                <w:szCs w:val="20"/>
                <w:highlight w:val="none"/>
                <w:lang w:val="en-US" w:eastAsia="zh-CN"/>
              </w:rPr>
              <w:t>措施无效</w:t>
            </w:r>
            <w:r>
              <w:rPr>
                <w:rFonts w:hint="eastAsia"/>
                <w:color w:val="auto"/>
                <w:sz w:val="20"/>
                <w:szCs w:val="20"/>
                <w:highlight w:val="none"/>
                <w:lang w:eastAsia="zh-CN"/>
              </w:rPr>
              <w:t>。</w:t>
            </w:r>
          </w:p>
        </w:tc>
      </w:tr>
      <w:tr w14:paraId="41888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276" w:type="dxa"/>
            <w:gridSpan w:val="2"/>
            <w:vMerge w:val="continue"/>
          </w:tcPr>
          <w:p w14:paraId="4936C423">
            <w:pPr>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p>
        </w:tc>
        <w:tc>
          <w:tcPr>
            <w:tcW w:w="1418" w:type="dxa"/>
            <w:vMerge w:val="continue"/>
          </w:tcPr>
          <w:p w14:paraId="351C9100">
            <w:pPr>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p>
        </w:tc>
        <w:tc>
          <w:tcPr>
            <w:tcW w:w="2409" w:type="dxa"/>
            <w:vAlign w:val="center"/>
          </w:tcPr>
          <w:p w14:paraId="221004CF">
            <w:pPr>
              <w:keepNext w:val="0"/>
              <w:keepLines w:val="0"/>
              <w:pageBreakBefore w:val="0"/>
              <w:kinsoku/>
              <w:wordWrap/>
              <w:overflowPunct/>
              <w:topLinePunct w:val="0"/>
              <w:autoSpaceDE/>
              <w:autoSpaceDN/>
              <w:bidi w:val="0"/>
              <w:adjustRightInd/>
              <w:snapToGrid/>
              <w:spacing w:line="340" w:lineRule="exact"/>
              <w:jc w:val="center"/>
              <w:textAlignment w:val="auto"/>
              <w:rPr>
                <w:color w:val="auto"/>
                <w:sz w:val="20"/>
                <w:szCs w:val="20"/>
                <w:highlight w:val="none"/>
              </w:rPr>
            </w:pPr>
            <w:r>
              <w:rPr>
                <w:rFonts w:hint="eastAsia"/>
                <w:color w:val="auto"/>
                <w:sz w:val="20"/>
                <w:szCs w:val="20"/>
                <w:highlight w:val="none"/>
              </w:rPr>
              <w:t>资源配备计划</w:t>
            </w:r>
          </w:p>
        </w:tc>
        <w:tc>
          <w:tcPr>
            <w:tcW w:w="851" w:type="dxa"/>
            <w:vAlign w:val="center"/>
          </w:tcPr>
          <w:p w14:paraId="6B8F6F9E">
            <w:pPr>
              <w:keepNext w:val="0"/>
              <w:keepLines w:val="0"/>
              <w:pageBreakBefore w:val="0"/>
              <w:kinsoku/>
              <w:wordWrap/>
              <w:overflowPunct/>
              <w:topLinePunct w:val="0"/>
              <w:autoSpaceDE/>
              <w:autoSpaceDN/>
              <w:bidi w:val="0"/>
              <w:adjustRightInd/>
              <w:snapToGrid/>
              <w:spacing w:line="340" w:lineRule="exact"/>
              <w:jc w:val="center"/>
              <w:textAlignment w:val="auto"/>
              <w:rPr>
                <w:color w:val="auto"/>
                <w:sz w:val="20"/>
                <w:szCs w:val="20"/>
                <w:highlight w:val="none"/>
              </w:rPr>
            </w:pPr>
            <w:r>
              <w:rPr>
                <w:rFonts w:hint="eastAsia"/>
                <w:color w:val="auto"/>
                <w:sz w:val="20"/>
                <w:szCs w:val="20"/>
                <w:highlight w:val="none"/>
                <w:lang w:val="en-US" w:eastAsia="zh-CN"/>
              </w:rPr>
              <w:t>10%</w:t>
            </w:r>
            <w:r>
              <w:rPr>
                <w:rFonts w:hint="eastAsia"/>
                <w:color w:val="auto"/>
                <w:sz w:val="20"/>
                <w:szCs w:val="20"/>
                <w:highlight w:val="none"/>
              </w:rPr>
              <w:t>分</w:t>
            </w:r>
          </w:p>
        </w:tc>
        <w:tc>
          <w:tcPr>
            <w:tcW w:w="3304" w:type="dxa"/>
            <w:vAlign w:val="center"/>
          </w:tcPr>
          <w:p w14:paraId="63219C28">
            <w:pPr>
              <w:rPr>
                <w:rFonts w:hint="eastAsia"/>
                <w:color w:val="auto"/>
                <w:highlight w:val="none"/>
                <w:lang w:eastAsia="zh-CN"/>
              </w:rPr>
            </w:pPr>
            <w:r>
              <w:rPr>
                <w:rFonts w:hint="eastAsia"/>
                <w:color w:val="auto"/>
                <w:highlight w:val="none"/>
              </w:rPr>
              <w:t>优</w:t>
            </w:r>
            <w:r>
              <w:rPr>
                <w:rFonts w:hint="eastAsia"/>
                <w:color w:val="auto"/>
                <w:highlight w:val="none"/>
                <w:lang w:eastAsia="zh-CN"/>
              </w:rPr>
              <w:t>（</w:t>
            </w:r>
            <w:r>
              <w:rPr>
                <w:rFonts w:hint="eastAsia"/>
                <w:color w:val="auto"/>
                <w:highlight w:val="none"/>
              </w:rPr>
              <w:t>85%～100%</w:t>
            </w:r>
            <w:r>
              <w:rPr>
                <w:rFonts w:hint="eastAsia"/>
                <w:color w:val="auto"/>
                <w:highlight w:val="none"/>
                <w:lang w:eastAsia="zh-CN"/>
              </w:rPr>
              <w:t>）</w:t>
            </w:r>
            <w:r>
              <w:rPr>
                <w:rFonts w:hint="eastAsia"/>
                <w:color w:val="auto"/>
                <w:highlight w:val="none"/>
              </w:rPr>
              <w:t>（含85%）</w:t>
            </w:r>
            <w:r>
              <w:rPr>
                <w:rFonts w:hint="eastAsia"/>
                <w:color w:val="auto"/>
                <w:highlight w:val="none"/>
                <w:lang w:eastAsia="zh-CN"/>
              </w:rPr>
              <w:t>：</w:t>
            </w:r>
            <w:r>
              <w:rPr>
                <w:rFonts w:ascii="Times New Roman" w:hAnsi="Times New Roman" w:eastAsia="宋体" w:cs="Times New Roman"/>
                <w:color w:val="auto"/>
                <w:kern w:val="2"/>
                <w:sz w:val="21"/>
                <w:szCs w:val="24"/>
                <w:highlight w:val="none"/>
                <w:lang w:bidi="ar-SA"/>
              </w:rPr>
              <w:t>内容完整</w:t>
            </w:r>
            <w:r>
              <w:rPr>
                <w:rFonts w:hint="eastAsia" w:ascii="Times New Roman" w:hAnsi="Times New Roman" w:eastAsia="宋体" w:cs="Times New Roman"/>
                <w:color w:val="auto"/>
                <w:kern w:val="2"/>
                <w:sz w:val="21"/>
                <w:szCs w:val="24"/>
                <w:highlight w:val="none"/>
                <w:lang w:eastAsia="zh-CN" w:bidi="ar-SA"/>
              </w:rPr>
              <w:t>、</w:t>
            </w:r>
            <w:r>
              <w:rPr>
                <w:rFonts w:ascii="Times New Roman" w:hAnsi="Times New Roman" w:eastAsia="宋体" w:cs="Times New Roman"/>
                <w:color w:val="auto"/>
                <w:kern w:val="2"/>
                <w:sz w:val="21"/>
                <w:szCs w:val="24"/>
                <w:highlight w:val="none"/>
                <w:lang w:bidi="ar-SA"/>
              </w:rPr>
              <w:t>方法手段先进</w:t>
            </w:r>
            <w:r>
              <w:rPr>
                <w:rFonts w:hint="eastAsia" w:ascii="Times New Roman" w:hAnsi="Times New Roman" w:eastAsia="宋体" w:cs="Times New Roman"/>
                <w:color w:val="auto"/>
                <w:kern w:val="2"/>
                <w:sz w:val="21"/>
                <w:szCs w:val="24"/>
                <w:highlight w:val="none"/>
                <w:lang w:eastAsia="zh-CN" w:bidi="ar-SA"/>
              </w:rPr>
              <w:t>、</w:t>
            </w:r>
            <w:r>
              <w:rPr>
                <w:rFonts w:ascii="Times New Roman" w:hAnsi="Times New Roman" w:eastAsia="宋体" w:cs="Times New Roman"/>
                <w:color w:val="auto"/>
                <w:kern w:val="2"/>
                <w:sz w:val="21"/>
                <w:szCs w:val="24"/>
                <w:highlight w:val="none"/>
                <w:lang w:bidi="ar-SA"/>
              </w:rPr>
              <w:t>措施有力</w:t>
            </w:r>
            <w:r>
              <w:rPr>
                <w:rFonts w:hint="eastAsia" w:ascii="Times New Roman" w:hAnsi="Times New Roman" w:eastAsia="宋体" w:cs="Times New Roman"/>
                <w:color w:val="auto"/>
                <w:kern w:val="2"/>
                <w:sz w:val="21"/>
                <w:szCs w:val="24"/>
                <w:highlight w:val="none"/>
                <w:lang w:eastAsia="zh-CN" w:bidi="ar-SA"/>
              </w:rPr>
              <w:t>；</w:t>
            </w:r>
          </w:p>
          <w:p w14:paraId="3DD43C38">
            <w:pP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良（70%～85%）（含70%）：</w:t>
            </w:r>
            <w:r>
              <w:rPr>
                <w:rFonts w:ascii="Times New Roman" w:hAnsi="Times New Roman" w:eastAsia="宋体" w:cs="Times New Roman"/>
                <w:color w:val="auto"/>
                <w:kern w:val="2"/>
                <w:sz w:val="21"/>
                <w:szCs w:val="24"/>
                <w:highlight w:val="none"/>
                <w:lang w:bidi="ar-SA"/>
              </w:rPr>
              <w:t>内容完整</w:t>
            </w:r>
            <w:r>
              <w:rPr>
                <w:rFonts w:hint="eastAsia" w:ascii="Times New Roman" w:hAnsi="Times New Roman" w:eastAsia="宋体" w:cs="Times New Roman"/>
                <w:color w:val="auto"/>
                <w:kern w:val="2"/>
                <w:sz w:val="21"/>
                <w:szCs w:val="24"/>
                <w:highlight w:val="none"/>
                <w:lang w:eastAsia="zh-CN" w:bidi="ar-SA"/>
              </w:rPr>
              <w:t>、</w:t>
            </w:r>
            <w:r>
              <w:rPr>
                <w:rFonts w:ascii="Times New Roman" w:hAnsi="Times New Roman" w:eastAsia="宋体" w:cs="Times New Roman"/>
                <w:color w:val="auto"/>
                <w:kern w:val="2"/>
                <w:sz w:val="21"/>
                <w:szCs w:val="24"/>
                <w:highlight w:val="none"/>
                <w:lang w:bidi="ar-SA"/>
              </w:rPr>
              <w:t>方法手段较先进</w:t>
            </w:r>
            <w:r>
              <w:rPr>
                <w:rFonts w:hint="eastAsia" w:ascii="Times New Roman" w:hAnsi="Times New Roman" w:eastAsia="宋体" w:cs="Times New Roman"/>
                <w:color w:val="auto"/>
                <w:kern w:val="2"/>
                <w:sz w:val="21"/>
                <w:szCs w:val="24"/>
                <w:highlight w:val="none"/>
                <w:lang w:eastAsia="zh-CN" w:bidi="ar-SA"/>
              </w:rPr>
              <w:t>、</w:t>
            </w:r>
            <w:r>
              <w:rPr>
                <w:rFonts w:ascii="Times New Roman" w:hAnsi="Times New Roman" w:eastAsia="宋体" w:cs="Times New Roman"/>
                <w:color w:val="auto"/>
                <w:kern w:val="2"/>
                <w:sz w:val="21"/>
                <w:szCs w:val="24"/>
                <w:highlight w:val="none"/>
                <w:lang w:bidi="ar-SA"/>
              </w:rPr>
              <w:t>措施较可行</w:t>
            </w:r>
            <w:r>
              <w:rPr>
                <w:rFonts w:hint="eastAsia" w:ascii="Times New Roman" w:hAnsi="Times New Roman" w:eastAsia="宋体" w:cs="Times New Roman"/>
                <w:color w:val="auto"/>
                <w:kern w:val="2"/>
                <w:sz w:val="21"/>
                <w:szCs w:val="24"/>
                <w:highlight w:val="none"/>
                <w:lang w:val="en-US" w:eastAsia="zh-CN" w:bidi="ar-SA"/>
              </w:rPr>
              <w:t>；</w:t>
            </w:r>
          </w:p>
          <w:p w14:paraId="62270D19">
            <w:pPr>
              <w:rPr>
                <w:rFonts w:hint="eastAsia"/>
                <w:color w:val="auto"/>
                <w:highlight w:val="none"/>
                <w:lang w:val="en-US" w:eastAsia="zh-CN"/>
              </w:rPr>
            </w:pPr>
            <w:r>
              <w:rPr>
                <w:rFonts w:hint="eastAsia"/>
                <w:color w:val="auto"/>
                <w:highlight w:val="none"/>
                <w:lang w:val="en-US" w:eastAsia="zh-CN"/>
              </w:rPr>
              <w:t>中（60%～70%）（含60%）：</w:t>
            </w:r>
          </w:p>
          <w:p w14:paraId="06275368">
            <w:pPr>
              <w:rPr>
                <w:rFonts w:hint="eastAsia"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bidi="ar-SA"/>
              </w:rPr>
              <w:t>内容不完整</w:t>
            </w:r>
            <w:r>
              <w:rPr>
                <w:rFonts w:hint="eastAsia" w:ascii="Times New Roman" w:hAnsi="Times New Roman" w:eastAsia="宋体" w:cs="Times New Roman"/>
                <w:color w:val="auto"/>
                <w:kern w:val="2"/>
                <w:sz w:val="21"/>
                <w:szCs w:val="24"/>
                <w:highlight w:val="none"/>
                <w:lang w:eastAsia="zh-CN" w:bidi="ar-SA"/>
              </w:rPr>
              <w:t>、</w:t>
            </w:r>
            <w:r>
              <w:rPr>
                <w:rFonts w:ascii="Times New Roman" w:hAnsi="Times New Roman" w:eastAsia="宋体" w:cs="Times New Roman"/>
                <w:color w:val="auto"/>
                <w:kern w:val="2"/>
                <w:sz w:val="21"/>
                <w:szCs w:val="24"/>
                <w:highlight w:val="none"/>
                <w:lang w:bidi="ar-SA"/>
              </w:rPr>
              <w:t>方法手段传统</w:t>
            </w:r>
            <w:r>
              <w:rPr>
                <w:rFonts w:hint="eastAsia" w:ascii="Times New Roman" w:hAnsi="Times New Roman" w:eastAsia="宋体" w:cs="Times New Roman"/>
                <w:color w:val="auto"/>
                <w:kern w:val="2"/>
                <w:sz w:val="21"/>
                <w:szCs w:val="24"/>
                <w:highlight w:val="none"/>
                <w:lang w:eastAsia="zh-CN" w:bidi="ar-SA"/>
              </w:rPr>
              <w:t>、</w:t>
            </w:r>
            <w:r>
              <w:rPr>
                <w:rFonts w:ascii="Times New Roman" w:hAnsi="Times New Roman" w:eastAsia="宋体" w:cs="Times New Roman"/>
                <w:color w:val="auto"/>
                <w:kern w:val="2"/>
                <w:sz w:val="21"/>
                <w:szCs w:val="24"/>
                <w:highlight w:val="none"/>
                <w:lang w:bidi="ar-SA"/>
              </w:rPr>
              <w:t>措施薄弱</w:t>
            </w:r>
            <w:r>
              <w:rPr>
                <w:rFonts w:hint="eastAsia" w:ascii="Times New Roman" w:hAnsi="Times New Roman" w:eastAsia="宋体" w:cs="Times New Roman"/>
                <w:color w:val="auto"/>
                <w:kern w:val="2"/>
                <w:sz w:val="21"/>
                <w:szCs w:val="24"/>
                <w:highlight w:val="none"/>
                <w:lang w:val="en-US" w:eastAsia="zh-CN" w:bidi="ar-SA"/>
              </w:rPr>
              <w:t>；</w:t>
            </w:r>
          </w:p>
          <w:p w14:paraId="01FDEA0B">
            <w:pPr>
              <w:pStyle w:val="29"/>
              <w:rPr>
                <w:rFonts w:hint="eastAsia"/>
                <w:color w:val="auto"/>
                <w:lang w:eastAsia="zh-CN"/>
              </w:rPr>
            </w:pPr>
            <w:r>
              <w:rPr>
                <w:rFonts w:hint="eastAsia"/>
                <w:color w:val="auto"/>
                <w:highlight w:val="none"/>
                <w:lang w:val="en-US" w:eastAsia="zh-CN"/>
              </w:rPr>
              <w:t>差</w:t>
            </w:r>
            <w:r>
              <w:rPr>
                <w:rFonts w:hint="eastAsia"/>
                <w:color w:val="auto"/>
                <w:highlight w:val="none"/>
              </w:rPr>
              <w:t>60%以下</w:t>
            </w:r>
            <w:r>
              <w:rPr>
                <w:rFonts w:hint="eastAsia"/>
                <w:color w:val="auto"/>
                <w:highlight w:val="none"/>
                <w:lang w:eastAsia="zh-CN"/>
              </w:rPr>
              <w:t>：</w:t>
            </w:r>
            <w:r>
              <w:rPr>
                <w:rFonts w:ascii="Times New Roman" w:hAnsi="Times New Roman" w:eastAsia="宋体" w:cs="Times New Roman"/>
                <w:color w:val="auto"/>
                <w:kern w:val="2"/>
                <w:sz w:val="21"/>
                <w:szCs w:val="24"/>
                <w:highlight w:val="none"/>
                <w:lang w:bidi="ar-SA"/>
              </w:rPr>
              <w:t>内容严重缺失</w:t>
            </w:r>
            <w:r>
              <w:rPr>
                <w:rFonts w:hint="eastAsia" w:ascii="Times New Roman" w:hAnsi="Times New Roman" w:eastAsia="宋体" w:cs="Times New Roman"/>
                <w:color w:val="auto"/>
                <w:kern w:val="2"/>
                <w:sz w:val="21"/>
                <w:szCs w:val="24"/>
                <w:highlight w:val="none"/>
                <w:lang w:eastAsia="zh-CN" w:bidi="ar-SA"/>
              </w:rPr>
              <w:t>、</w:t>
            </w:r>
            <w:r>
              <w:rPr>
                <w:rFonts w:ascii="Times New Roman" w:hAnsi="Times New Roman" w:eastAsia="宋体" w:cs="Times New Roman"/>
                <w:color w:val="auto"/>
                <w:kern w:val="2"/>
                <w:sz w:val="21"/>
                <w:szCs w:val="24"/>
                <w:highlight w:val="none"/>
                <w:lang w:bidi="ar-SA"/>
              </w:rPr>
              <w:t>方法手段落后</w:t>
            </w:r>
            <w:r>
              <w:rPr>
                <w:rFonts w:hint="eastAsia" w:ascii="Times New Roman" w:hAnsi="Times New Roman" w:eastAsia="宋体" w:cs="Times New Roman"/>
                <w:color w:val="auto"/>
                <w:kern w:val="2"/>
                <w:sz w:val="21"/>
                <w:szCs w:val="24"/>
                <w:highlight w:val="none"/>
                <w:lang w:eastAsia="zh-CN" w:bidi="ar-SA"/>
              </w:rPr>
              <w:t>、</w:t>
            </w:r>
            <w:r>
              <w:rPr>
                <w:rFonts w:ascii="Times New Roman" w:hAnsi="Times New Roman" w:eastAsia="宋体" w:cs="Times New Roman"/>
                <w:color w:val="auto"/>
                <w:kern w:val="2"/>
                <w:sz w:val="21"/>
                <w:szCs w:val="24"/>
                <w:highlight w:val="none"/>
                <w:lang w:bidi="ar-SA"/>
              </w:rPr>
              <w:t>措施无效</w:t>
            </w:r>
            <w:r>
              <w:rPr>
                <w:rFonts w:hint="eastAsia" w:ascii="Times New Roman" w:hAnsi="Times New Roman" w:eastAsia="宋体" w:cs="Times New Roman"/>
                <w:color w:val="auto"/>
                <w:kern w:val="2"/>
                <w:sz w:val="21"/>
                <w:szCs w:val="24"/>
                <w:highlight w:val="none"/>
                <w:lang w:eastAsia="zh-CN" w:bidi="ar-SA"/>
              </w:rPr>
              <w:t>。</w:t>
            </w:r>
          </w:p>
        </w:tc>
      </w:tr>
      <w:tr w14:paraId="6260B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276" w:type="dxa"/>
            <w:gridSpan w:val="2"/>
            <w:vAlign w:val="center"/>
          </w:tcPr>
          <w:p w14:paraId="6E6BA3F9">
            <w:pPr>
              <w:keepNext w:val="0"/>
              <w:keepLines w:val="0"/>
              <w:pageBreakBefore w:val="0"/>
              <w:kinsoku/>
              <w:wordWrap/>
              <w:overflowPunct/>
              <w:topLinePunct w:val="0"/>
              <w:autoSpaceDE/>
              <w:autoSpaceDN/>
              <w:bidi w:val="0"/>
              <w:adjustRightInd/>
              <w:snapToGrid/>
              <w:spacing w:line="340" w:lineRule="exact"/>
              <w:jc w:val="center"/>
              <w:textAlignment w:val="auto"/>
              <w:rPr>
                <w:rFonts w:ascii="宋体" w:hAnsi="宋体"/>
                <w:color w:val="auto"/>
                <w:szCs w:val="21"/>
                <w:highlight w:val="none"/>
              </w:rPr>
            </w:pPr>
            <w:r>
              <w:rPr>
                <w:color w:val="auto"/>
                <w:highlight w:val="none"/>
              </w:rPr>
              <w:t>2.2.3（4）</w:t>
            </w:r>
          </w:p>
        </w:tc>
        <w:tc>
          <w:tcPr>
            <w:tcW w:w="1418" w:type="dxa"/>
            <w:vAlign w:val="center"/>
          </w:tcPr>
          <w:p w14:paraId="1F083B74">
            <w:pPr>
              <w:keepNext w:val="0"/>
              <w:keepLines w:val="0"/>
              <w:pageBreakBefore w:val="0"/>
              <w:kinsoku/>
              <w:wordWrap/>
              <w:overflowPunct/>
              <w:topLinePunct w:val="0"/>
              <w:autoSpaceDE/>
              <w:autoSpaceDN/>
              <w:bidi w:val="0"/>
              <w:adjustRightInd/>
              <w:snapToGrid/>
              <w:spacing w:line="340" w:lineRule="exact"/>
              <w:jc w:val="center"/>
              <w:textAlignment w:val="auto"/>
              <w:rPr>
                <w:rFonts w:ascii="宋体" w:hAnsi="宋体"/>
                <w:color w:val="auto"/>
                <w:szCs w:val="21"/>
                <w:highlight w:val="none"/>
              </w:rPr>
            </w:pPr>
            <w:r>
              <w:rPr>
                <w:color w:val="auto"/>
                <w:highlight w:val="none"/>
              </w:rPr>
              <w:t>投标报价评分标准</w:t>
            </w:r>
            <w:r>
              <w:rPr>
                <w:rFonts w:hint="eastAsia"/>
                <w:i w:val="0"/>
                <w:iCs w:val="0"/>
                <w:color w:val="auto"/>
                <w:highlight w:val="none"/>
              </w:rPr>
              <w:t>（</w:t>
            </w:r>
            <w:r>
              <w:rPr>
                <w:rFonts w:hint="eastAsia"/>
                <w:i w:val="0"/>
                <w:iCs w:val="0"/>
                <w:color w:val="auto"/>
                <w:highlight w:val="none"/>
                <w:lang w:val="en-US" w:eastAsia="zh-CN"/>
              </w:rPr>
              <w:t>3</w:t>
            </w:r>
            <w:r>
              <w:rPr>
                <w:rFonts w:hint="eastAsia"/>
                <w:i w:val="0"/>
                <w:iCs w:val="0"/>
                <w:color w:val="auto"/>
                <w:highlight w:val="none"/>
              </w:rPr>
              <w:t>0-</w:t>
            </w:r>
            <w:r>
              <w:rPr>
                <w:rFonts w:hint="eastAsia"/>
                <w:i w:val="0"/>
                <w:iCs w:val="0"/>
                <w:color w:val="auto"/>
                <w:highlight w:val="none"/>
                <w:lang w:val="en-US" w:eastAsia="zh-CN"/>
              </w:rPr>
              <w:t>5</w:t>
            </w:r>
            <w:r>
              <w:rPr>
                <w:rFonts w:hint="eastAsia"/>
                <w:i w:val="0"/>
                <w:iCs w:val="0"/>
                <w:color w:val="auto"/>
                <w:highlight w:val="none"/>
              </w:rPr>
              <w:t>0）</w:t>
            </w:r>
          </w:p>
        </w:tc>
        <w:tc>
          <w:tcPr>
            <w:tcW w:w="2409" w:type="dxa"/>
            <w:vAlign w:val="center"/>
          </w:tcPr>
          <w:p w14:paraId="7D400978">
            <w:pPr>
              <w:keepNext w:val="0"/>
              <w:keepLines w:val="0"/>
              <w:pageBreakBefore w:val="0"/>
              <w:kinsoku/>
              <w:wordWrap/>
              <w:overflowPunct/>
              <w:topLinePunct w:val="0"/>
              <w:autoSpaceDE/>
              <w:autoSpaceDN/>
              <w:bidi w:val="0"/>
              <w:adjustRightInd/>
              <w:snapToGrid/>
              <w:spacing w:line="340" w:lineRule="exact"/>
              <w:jc w:val="center"/>
              <w:textAlignment w:val="auto"/>
              <w:rPr>
                <w:color w:val="auto"/>
                <w:highlight w:val="none"/>
              </w:rPr>
            </w:pPr>
            <w:r>
              <w:rPr>
                <w:color w:val="auto"/>
                <w:highlight w:val="none"/>
              </w:rPr>
              <w:t>偏差率</w:t>
            </w:r>
          </w:p>
        </w:tc>
        <w:tc>
          <w:tcPr>
            <w:tcW w:w="4155" w:type="dxa"/>
            <w:gridSpan w:val="2"/>
            <w:vAlign w:val="center"/>
          </w:tcPr>
          <w:p w14:paraId="52CB1B1F">
            <w:pPr>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r>
              <w:rPr>
                <w:rFonts w:hint="eastAsia"/>
                <w:color w:val="auto"/>
                <w:highlight w:val="none"/>
              </w:rPr>
              <w:t>偏差率=100%*（投标人评标价—评标基准价）/评标基准价</w:t>
            </w:r>
          </w:p>
        </w:tc>
      </w:tr>
      <w:tr w14:paraId="24F21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276" w:type="dxa"/>
            <w:gridSpan w:val="2"/>
            <w:vAlign w:val="center"/>
          </w:tcPr>
          <w:p w14:paraId="7E525FD8">
            <w:pPr>
              <w:keepNext w:val="0"/>
              <w:keepLines w:val="0"/>
              <w:pageBreakBefore w:val="0"/>
              <w:kinsoku/>
              <w:wordWrap/>
              <w:overflowPunct/>
              <w:topLinePunct w:val="0"/>
              <w:autoSpaceDE/>
              <w:autoSpaceDN/>
              <w:bidi w:val="0"/>
              <w:adjustRightInd/>
              <w:snapToGrid/>
              <w:spacing w:line="340" w:lineRule="exact"/>
              <w:jc w:val="center"/>
              <w:textAlignment w:val="auto"/>
              <w:rPr>
                <w:color w:val="auto"/>
                <w:highlight w:val="none"/>
              </w:rPr>
            </w:pPr>
          </w:p>
        </w:tc>
        <w:tc>
          <w:tcPr>
            <w:tcW w:w="1418" w:type="dxa"/>
            <w:vAlign w:val="center"/>
          </w:tcPr>
          <w:p w14:paraId="74B1DB4E">
            <w:pPr>
              <w:keepNext w:val="0"/>
              <w:keepLines w:val="0"/>
              <w:pageBreakBefore w:val="0"/>
              <w:kinsoku/>
              <w:wordWrap/>
              <w:overflowPunct/>
              <w:topLinePunct w:val="0"/>
              <w:autoSpaceDE/>
              <w:autoSpaceDN/>
              <w:bidi w:val="0"/>
              <w:adjustRightInd/>
              <w:snapToGrid/>
              <w:spacing w:line="340" w:lineRule="exact"/>
              <w:jc w:val="center"/>
              <w:textAlignment w:val="auto"/>
              <w:rPr>
                <w:color w:val="auto"/>
                <w:highlight w:val="none"/>
              </w:rPr>
            </w:pPr>
          </w:p>
        </w:tc>
        <w:tc>
          <w:tcPr>
            <w:tcW w:w="2409" w:type="dxa"/>
            <w:vAlign w:val="center"/>
          </w:tcPr>
          <w:p w14:paraId="42214894">
            <w:pPr>
              <w:keepNext w:val="0"/>
              <w:keepLines w:val="0"/>
              <w:pageBreakBefore w:val="0"/>
              <w:kinsoku/>
              <w:wordWrap/>
              <w:overflowPunct/>
              <w:topLinePunct w:val="0"/>
              <w:autoSpaceDE/>
              <w:autoSpaceDN/>
              <w:bidi w:val="0"/>
              <w:adjustRightInd/>
              <w:snapToGrid/>
              <w:spacing w:line="340" w:lineRule="exact"/>
              <w:jc w:val="center"/>
              <w:textAlignment w:val="auto"/>
              <w:rPr>
                <w:color w:val="auto"/>
                <w:highlight w:val="none"/>
              </w:rPr>
            </w:pPr>
            <w:r>
              <w:rPr>
                <w:rFonts w:hint="eastAsia"/>
                <w:color w:val="auto"/>
                <w:highlight w:val="none"/>
              </w:rPr>
              <w:t>投标报价</w:t>
            </w:r>
          </w:p>
        </w:tc>
        <w:tc>
          <w:tcPr>
            <w:tcW w:w="4155" w:type="dxa"/>
            <w:gridSpan w:val="2"/>
            <w:vAlign w:val="center"/>
          </w:tcPr>
          <w:p w14:paraId="05B99351">
            <w:pPr>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r>
              <w:rPr>
                <w:rFonts w:hint="eastAsia"/>
                <w:color w:val="auto"/>
                <w:highlight w:val="none"/>
              </w:rPr>
              <w:t>（1）如果投标人的评标价＞评标基准价，则评标价得分=F-偏差×100×E1；</w:t>
            </w:r>
          </w:p>
          <w:p w14:paraId="5ED278B5">
            <w:pPr>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r>
              <w:rPr>
                <w:rFonts w:hint="eastAsia"/>
                <w:color w:val="auto"/>
                <w:highlight w:val="none"/>
              </w:rPr>
              <w:t>（2）如果投标人的评标价≤评标基准价，则评标价得分=F+偏差×100×E2；</w:t>
            </w:r>
          </w:p>
          <w:p w14:paraId="25C44046">
            <w:pPr>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r>
              <w:rPr>
                <w:rFonts w:hint="eastAsia"/>
                <w:color w:val="auto"/>
                <w:highlight w:val="none"/>
              </w:rPr>
              <w:t>其中：F为投标报价满分值；E1是评标价每高于评标基准价一个百分点的扣分值；E2是评标价每低于评标基准价一个百分点的扣分值；E1=</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rPr>
              <w:t>（0.4~1）</w:t>
            </w:r>
          </w:p>
          <w:p w14:paraId="3A675452">
            <w:pPr>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r>
              <w:rPr>
                <w:rFonts w:hint="eastAsia"/>
                <w:color w:val="auto"/>
                <w:highlight w:val="none"/>
              </w:rPr>
              <w:t>E2=</w:t>
            </w:r>
            <w:r>
              <w:rPr>
                <w:color w:val="auto"/>
                <w:highlight w:val="none"/>
                <w:u w:val="single"/>
              </w:rPr>
              <w:t xml:space="preserve">         </w:t>
            </w:r>
            <w:r>
              <w:rPr>
                <w:rFonts w:hint="eastAsia"/>
                <w:color w:val="auto"/>
                <w:highlight w:val="none"/>
              </w:rPr>
              <w:t>（0.2~0.5）。</w:t>
            </w:r>
          </w:p>
        </w:tc>
      </w:tr>
      <w:tr w14:paraId="1BCF6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2694" w:type="dxa"/>
            <w:gridSpan w:val="3"/>
            <w:vAlign w:val="center"/>
          </w:tcPr>
          <w:p w14:paraId="6B24007D">
            <w:pPr>
              <w:keepNext w:val="0"/>
              <w:keepLines w:val="0"/>
              <w:pageBreakBefore w:val="0"/>
              <w:kinsoku/>
              <w:wordWrap/>
              <w:overflowPunct/>
              <w:topLinePunct w:val="0"/>
              <w:autoSpaceDE/>
              <w:autoSpaceDN/>
              <w:bidi w:val="0"/>
              <w:adjustRightInd/>
              <w:snapToGrid/>
              <w:spacing w:line="340" w:lineRule="exact"/>
              <w:jc w:val="center"/>
              <w:textAlignment w:val="auto"/>
              <w:rPr>
                <w:color w:val="auto"/>
                <w:highlight w:val="none"/>
              </w:rPr>
            </w:pPr>
            <w:r>
              <w:rPr>
                <w:rFonts w:hint="eastAsia"/>
                <w:color w:val="auto"/>
                <w:highlight w:val="none"/>
              </w:rPr>
              <w:t>3.4.1</w:t>
            </w:r>
          </w:p>
        </w:tc>
        <w:tc>
          <w:tcPr>
            <w:tcW w:w="2409" w:type="dxa"/>
            <w:vAlign w:val="center"/>
          </w:tcPr>
          <w:p w14:paraId="14385E69">
            <w:pPr>
              <w:keepNext w:val="0"/>
              <w:keepLines w:val="0"/>
              <w:pageBreakBefore w:val="0"/>
              <w:kinsoku/>
              <w:wordWrap/>
              <w:overflowPunct/>
              <w:topLinePunct w:val="0"/>
              <w:autoSpaceDE/>
              <w:autoSpaceDN/>
              <w:bidi w:val="0"/>
              <w:adjustRightInd/>
              <w:snapToGrid/>
              <w:spacing w:line="340" w:lineRule="exact"/>
              <w:jc w:val="center"/>
              <w:textAlignment w:val="auto"/>
              <w:rPr>
                <w:color w:val="auto"/>
                <w:highlight w:val="none"/>
              </w:rPr>
            </w:pPr>
            <w:r>
              <w:rPr>
                <w:rFonts w:hint="eastAsia"/>
                <w:color w:val="auto"/>
                <w:highlight w:val="none"/>
              </w:rPr>
              <w:t>投标人最终得分的计算方法</w:t>
            </w:r>
          </w:p>
        </w:tc>
        <w:tc>
          <w:tcPr>
            <w:tcW w:w="4155" w:type="dxa"/>
            <w:gridSpan w:val="2"/>
            <w:vAlign w:val="center"/>
          </w:tcPr>
          <w:p w14:paraId="4197660F">
            <w:pPr>
              <w:keepNext w:val="0"/>
              <w:keepLines w:val="0"/>
              <w:suppressLineNumbers w:val="0"/>
              <w:spacing w:before="0" w:beforeAutospacing="0" w:after="0" w:afterAutospacing="0"/>
              <w:ind w:left="0" w:right="0"/>
              <w:rPr>
                <w:rFonts w:hint="default" w:ascii="宋体" w:hAnsi="宋体" w:cs="Tahoma"/>
                <w:color w:val="auto"/>
                <w:kern w:val="0"/>
                <w:sz w:val="21"/>
                <w:szCs w:val="21"/>
                <w:highlight w:val="none"/>
                <w:shd w:val="clear" w:color="auto" w:fill="auto"/>
                <w:lang w:val="en-US"/>
              </w:rPr>
            </w:pPr>
            <w:r>
              <w:rPr>
                <w:rFonts w:hint="eastAsia" w:ascii="宋体" w:hAnsi="宋体" w:cs="Tahoma"/>
                <w:color w:val="auto"/>
                <w:kern w:val="0"/>
                <w:sz w:val="21"/>
                <w:szCs w:val="21"/>
                <w:highlight w:val="none"/>
                <w:shd w:val="clear" w:color="auto" w:fill="auto"/>
                <w:lang w:val="zh-CN"/>
              </w:rPr>
              <w:t>投标人</w:t>
            </w:r>
            <w:r>
              <w:rPr>
                <w:rFonts w:hint="eastAsia" w:ascii="宋体" w:hAnsi="宋体" w:cs="Tahoma"/>
                <w:color w:val="auto"/>
                <w:kern w:val="0"/>
                <w:sz w:val="21"/>
                <w:szCs w:val="21"/>
                <w:highlight w:val="none"/>
                <w:shd w:val="clear" w:color="auto" w:fill="auto"/>
                <w:lang w:val="en-US" w:eastAsia="zh-CN"/>
              </w:rPr>
              <w:t>总</w:t>
            </w:r>
            <w:r>
              <w:rPr>
                <w:rFonts w:hint="eastAsia" w:ascii="宋体" w:hAnsi="宋体" w:cs="Tahoma"/>
                <w:color w:val="auto"/>
                <w:kern w:val="0"/>
                <w:sz w:val="21"/>
                <w:szCs w:val="21"/>
                <w:highlight w:val="none"/>
                <w:shd w:val="clear" w:color="auto" w:fill="auto"/>
                <w:lang w:val="zh-CN"/>
              </w:rPr>
              <w:t>得分=</w:t>
            </w:r>
            <w:r>
              <w:rPr>
                <w:rFonts w:hint="eastAsia"/>
                <w:i w:val="0"/>
                <w:iCs w:val="0"/>
                <w:color w:val="auto"/>
                <w:highlight w:val="none"/>
                <w:lang w:val="en-US" w:eastAsia="zh-CN"/>
              </w:rPr>
              <w:t>上述各项得分之和</w:t>
            </w:r>
          </w:p>
          <w:p w14:paraId="3074FB35">
            <w:pPr>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r>
              <w:rPr>
                <w:rFonts w:hint="eastAsia" w:ascii="宋体" w:hAnsi="宋体" w:cs="Tahoma"/>
                <w:color w:val="auto"/>
                <w:kern w:val="0"/>
                <w:sz w:val="21"/>
                <w:szCs w:val="21"/>
                <w:highlight w:val="none"/>
                <w:shd w:val="clear" w:color="auto" w:fill="auto"/>
                <w:lang w:val="zh-CN"/>
              </w:rPr>
              <w:t>注：各项计算、评分结果均按四舍五入方法精确到小数点后</w:t>
            </w:r>
            <w:r>
              <w:rPr>
                <w:rFonts w:hint="eastAsia" w:ascii="宋体" w:hAnsi="宋体" w:cs="Tahoma"/>
                <w:color w:val="auto"/>
                <w:kern w:val="0"/>
                <w:sz w:val="21"/>
                <w:szCs w:val="21"/>
                <w:highlight w:val="none"/>
                <w:shd w:val="clear" w:color="auto" w:fill="auto"/>
                <w:lang w:val="en-US" w:eastAsia="zh-CN"/>
              </w:rPr>
              <w:t>2位</w:t>
            </w:r>
          </w:p>
        </w:tc>
      </w:tr>
    </w:tbl>
    <w:p w14:paraId="3E64E3DF">
      <w:pPr>
        <w:rPr>
          <w:rFonts w:hint="eastAsia" w:eastAsia="宋体"/>
          <w:color w:val="auto"/>
          <w:highlight w:val="none"/>
          <w:lang w:eastAsia="zh-CN"/>
        </w:rPr>
      </w:pPr>
      <w:r>
        <w:rPr>
          <w:rFonts w:hint="eastAsia"/>
          <w:color w:val="auto"/>
          <w:highlight w:val="none"/>
          <w:lang w:eastAsia="zh-CN"/>
        </w:rPr>
        <w:t>（</w:t>
      </w:r>
      <w:r>
        <w:rPr>
          <w:rFonts w:hint="eastAsia"/>
          <w:color w:val="auto"/>
          <w:highlight w:val="none"/>
          <w:lang w:val="en-US" w:eastAsia="zh-CN"/>
        </w:rPr>
        <w:t>备注：</w:t>
      </w:r>
      <w:r>
        <w:rPr>
          <w:rFonts w:hint="eastAsia"/>
          <w:color w:val="auto"/>
          <w:highlight w:val="none"/>
          <w:lang w:eastAsia="zh-CN"/>
        </w:rPr>
        <w:t>评分标准及分值设置由项目业主根据建设项目情况自行确定且应当客观化，以确保评分结果的公正性。）</w:t>
      </w:r>
    </w:p>
    <w:p w14:paraId="075D09EA">
      <w:pPr>
        <w:keepNext w:val="0"/>
        <w:keepLines w:val="0"/>
        <w:pageBreakBefore w:val="0"/>
        <w:widowControl w:val="0"/>
        <w:kinsoku/>
        <w:wordWrap/>
        <w:overflowPunct/>
        <w:topLinePunct w:val="0"/>
        <w:autoSpaceDE/>
        <w:autoSpaceDN/>
        <w:bidi w:val="0"/>
        <w:adjustRightInd/>
        <w:snapToGrid/>
        <w:spacing w:line="360" w:lineRule="exact"/>
        <w:textAlignment w:val="auto"/>
        <w:outlineLvl w:val="1"/>
        <w:rPr>
          <w:b/>
          <w:color w:val="auto"/>
          <w:highlight w:val="none"/>
        </w:rPr>
      </w:pPr>
      <w:bookmarkStart w:id="192" w:name="第03章评标办法综合评估法01"/>
      <w:bookmarkEnd w:id="192"/>
      <w:bookmarkStart w:id="193" w:name="_Toc8951"/>
      <w:r>
        <w:rPr>
          <w:rFonts w:hint="eastAsia"/>
          <w:b/>
          <w:color w:val="auto"/>
          <w:highlight w:val="none"/>
        </w:rPr>
        <w:t>1　评标方法</w:t>
      </w:r>
      <w:bookmarkEnd w:id="193"/>
    </w:p>
    <w:p w14:paraId="330A5BD3">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本节全文引用《标准施工招标文件》</w:t>
      </w:r>
      <w:r>
        <w:rPr>
          <w:rFonts w:hint="eastAsia"/>
          <w:color w:val="auto"/>
          <w:highlight w:val="none"/>
          <w:lang w:eastAsia="zh-CN"/>
        </w:rPr>
        <w:t>（</w:t>
      </w:r>
      <w:r>
        <w:rPr>
          <w:rFonts w:hint="eastAsia"/>
          <w:color w:val="auto"/>
          <w:highlight w:val="none"/>
        </w:rPr>
        <w:t>2007年版</w:t>
      </w:r>
      <w:r>
        <w:rPr>
          <w:rFonts w:hint="eastAsia"/>
          <w:color w:val="auto"/>
          <w:highlight w:val="none"/>
          <w:lang w:eastAsia="zh-CN"/>
        </w:rPr>
        <w:t>）</w:t>
      </w:r>
      <w:r>
        <w:rPr>
          <w:rFonts w:hint="eastAsia"/>
          <w:color w:val="auto"/>
          <w:highlight w:val="none"/>
        </w:rPr>
        <w:t>相应条款。</w:t>
      </w:r>
    </w:p>
    <w:p w14:paraId="0F5863A5">
      <w:pPr>
        <w:keepNext w:val="0"/>
        <w:keepLines w:val="0"/>
        <w:pageBreakBefore w:val="0"/>
        <w:widowControl w:val="0"/>
        <w:kinsoku/>
        <w:wordWrap/>
        <w:overflowPunct/>
        <w:topLinePunct w:val="0"/>
        <w:autoSpaceDE/>
        <w:autoSpaceDN/>
        <w:bidi w:val="0"/>
        <w:adjustRightInd/>
        <w:snapToGrid/>
        <w:spacing w:line="360" w:lineRule="exact"/>
        <w:textAlignment w:val="auto"/>
        <w:outlineLvl w:val="1"/>
        <w:rPr>
          <w:b/>
          <w:color w:val="auto"/>
          <w:highlight w:val="none"/>
        </w:rPr>
      </w:pPr>
      <w:bookmarkStart w:id="194" w:name="第03章评标办法综合评估法02"/>
      <w:bookmarkEnd w:id="194"/>
      <w:bookmarkStart w:id="195" w:name="_Toc12457"/>
      <w:r>
        <w:rPr>
          <w:rFonts w:hint="eastAsia"/>
          <w:b/>
          <w:color w:val="auto"/>
          <w:highlight w:val="none"/>
        </w:rPr>
        <w:t>2　评审标准</w:t>
      </w:r>
      <w:bookmarkEnd w:id="195"/>
    </w:p>
    <w:p w14:paraId="30A83AE9">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本节全文引用《标准施工招标文件》</w:t>
      </w:r>
      <w:r>
        <w:rPr>
          <w:rFonts w:hint="eastAsia"/>
          <w:color w:val="auto"/>
          <w:highlight w:val="none"/>
          <w:lang w:eastAsia="zh-CN"/>
        </w:rPr>
        <w:t>（</w:t>
      </w:r>
      <w:r>
        <w:rPr>
          <w:rFonts w:hint="eastAsia"/>
          <w:color w:val="auto"/>
          <w:highlight w:val="none"/>
        </w:rPr>
        <w:t>2007年版</w:t>
      </w:r>
      <w:r>
        <w:rPr>
          <w:rFonts w:hint="eastAsia"/>
          <w:color w:val="auto"/>
          <w:highlight w:val="none"/>
          <w:lang w:eastAsia="zh-CN"/>
        </w:rPr>
        <w:t>）</w:t>
      </w:r>
      <w:r>
        <w:rPr>
          <w:rFonts w:hint="eastAsia"/>
          <w:color w:val="auto"/>
          <w:highlight w:val="none"/>
        </w:rPr>
        <w:t>相应条款，并补充以下内容：</w:t>
      </w:r>
    </w:p>
    <w:p w14:paraId="5AFBC77F">
      <w:pPr>
        <w:keepNext w:val="0"/>
        <w:keepLines w:val="0"/>
        <w:pageBreakBefore w:val="0"/>
        <w:widowControl w:val="0"/>
        <w:kinsoku/>
        <w:wordWrap/>
        <w:overflowPunct/>
        <w:topLinePunct w:val="0"/>
        <w:autoSpaceDE/>
        <w:autoSpaceDN/>
        <w:bidi w:val="0"/>
        <w:adjustRightInd/>
        <w:snapToGrid/>
        <w:spacing w:line="360" w:lineRule="exact"/>
        <w:textAlignment w:val="auto"/>
        <w:outlineLvl w:val="2"/>
        <w:rPr>
          <w:color w:val="auto"/>
          <w:highlight w:val="none"/>
        </w:rPr>
      </w:pPr>
      <w:r>
        <w:rPr>
          <w:rFonts w:hint="eastAsia"/>
          <w:color w:val="auto"/>
          <w:highlight w:val="none"/>
        </w:rPr>
        <w:t>　</w:t>
      </w:r>
      <w:bookmarkStart w:id="196" w:name="_Toc12172"/>
      <w:bookmarkStart w:id="197" w:name="_Toc3285"/>
      <w:bookmarkStart w:id="198" w:name="_Toc15606"/>
      <w:bookmarkStart w:id="199" w:name="_Toc12770"/>
      <w:bookmarkStart w:id="200" w:name="_Toc30290"/>
      <w:bookmarkStart w:id="201" w:name="_Toc10594"/>
      <w:r>
        <w:rPr>
          <w:rFonts w:hint="eastAsia"/>
          <w:color w:val="auto"/>
          <w:highlight w:val="none"/>
        </w:rPr>
        <w:t>2.1　初步评审标准</w:t>
      </w:r>
      <w:bookmarkEnd w:id="196"/>
      <w:bookmarkEnd w:id="197"/>
      <w:bookmarkEnd w:id="198"/>
      <w:bookmarkEnd w:id="199"/>
      <w:bookmarkEnd w:id="200"/>
      <w:bookmarkEnd w:id="201"/>
    </w:p>
    <w:p w14:paraId="1C1DABDF">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2.1.1　形式评审标准：</w:t>
      </w:r>
      <w:r>
        <w:rPr>
          <w:rFonts w:hint="eastAsia"/>
          <w:b/>
          <w:color w:val="auto"/>
          <w:highlight w:val="none"/>
        </w:rPr>
        <w:t>见评标办法前附表</w:t>
      </w:r>
      <w:r>
        <w:rPr>
          <w:rFonts w:hint="eastAsia"/>
          <w:b/>
          <w:color w:val="auto"/>
          <w:highlight w:val="none"/>
          <w:lang w:eastAsia="zh-CN"/>
        </w:rPr>
        <w:t>；</w:t>
      </w:r>
    </w:p>
    <w:p w14:paraId="3B940802">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2.1.2　资格评审标准</w:t>
      </w:r>
      <w:r>
        <w:rPr>
          <w:rFonts w:hint="eastAsia"/>
          <w:color w:val="auto"/>
          <w:highlight w:val="none"/>
          <w:lang w:eastAsia="zh-CN"/>
        </w:rPr>
        <w:t>（</w:t>
      </w:r>
      <w:r>
        <w:rPr>
          <w:rFonts w:hint="eastAsia"/>
          <w:color w:val="auto"/>
          <w:highlight w:val="none"/>
        </w:rPr>
        <w:t>适用于未进行资格预审的</w:t>
      </w:r>
      <w:r>
        <w:rPr>
          <w:rFonts w:hint="eastAsia"/>
          <w:color w:val="auto"/>
          <w:highlight w:val="none"/>
          <w:lang w:eastAsia="zh-CN"/>
        </w:rPr>
        <w:t>）</w:t>
      </w:r>
      <w:r>
        <w:rPr>
          <w:rFonts w:hint="eastAsia"/>
          <w:color w:val="auto"/>
          <w:highlight w:val="none"/>
        </w:rPr>
        <w:t>：</w:t>
      </w:r>
      <w:r>
        <w:rPr>
          <w:rFonts w:hint="eastAsia"/>
          <w:b/>
          <w:color w:val="auto"/>
          <w:highlight w:val="none"/>
        </w:rPr>
        <w:t>见评标办法前附表</w:t>
      </w:r>
      <w:r>
        <w:rPr>
          <w:rFonts w:hint="eastAsia"/>
          <w:b/>
          <w:color w:val="auto"/>
          <w:highlight w:val="none"/>
          <w:lang w:eastAsia="zh-CN"/>
        </w:rPr>
        <w:t>；</w:t>
      </w:r>
    </w:p>
    <w:p w14:paraId="183FAFB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color w:val="auto"/>
          <w:highlight w:val="none"/>
          <w:lang w:eastAsia="zh-CN"/>
        </w:rPr>
      </w:pPr>
      <w:r>
        <w:rPr>
          <w:rFonts w:hint="eastAsia"/>
          <w:color w:val="auto"/>
          <w:highlight w:val="none"/>
        </w:rPr>
        <w:t>　　2.1.3　响应性评审标准：</w:t>
      </w:r>
      <w:r>
        <w:rPr>
          <w:rFonts w:hint="eastAsia"/>
          <w:b/>
          <w:color w:val="auto"/>
          <w:highlight w:val="none"/>
        </w:rPr>
        <w:t>见评标办法前附表</w:t>
      </w:r>
      <w:r>
        <w:rPr>
          <w:rFonts w:hint="eastAsia"/>
          <w:b/>
          <w:color w:val="auto"/>
          <w:highlight w:val="none"/>
          <w:lang w:eastAsia="zh-CN"/>
        </w:rPr>
        <w:t>。</w:t>
      </w:r>
    </w:p>
    <w:p w14:paraId="7BB13D66">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2.2.4　评分标准</w:t>
      </w:r>
    </w:p>
    <w:p w14:paraId="0D5B2D3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color w:val="auto"/>
          <w:highlight w:val="none"/>
        </w:rPr>
      </w:pPr>
      <w:bookmarkStart w:id="202" w:name="第03章评标办法综合评估法03"/>
      <w:bookmarkEnd w:id="202"/>
      <w:r>
        <w:rPr>
          <w:color w:val="auto"/>
          <w:highlight w:val="none"/>
        </w:rPr>
        <w:t>（1）</w:t>
      </w:r>
      <w:r>
        <w:rPr>
          <w:rFonts w:hint="eastAsia"/>
          <w:color w:val="auto"/>
          <w:highlight w:val="none"/>
        </w:rPr>
        <w:t>信誉</w:t>
      </w:r>
      <w:r>
        <w:rPr>
          <w:color w:val="auto"/>
          <w:highlight w:val="none"/>
        </w:rPr>
        <w:t>评分标准：见评标办法前附表；</w:t>
      </w:r>
    </w:p>
    <w:p w14:paraId="48EF552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color w:val="auto"/>
          <w:highlight w:val="none"/>
        </w:rPr>
      </w:pPr>
      <w:r>
        <w:rPr>
          <w:color w:val="auto"/>
          <w:highlight w:val="none"/>
        </w:rPr>
        <w:t>（2）</w:t>
      </w:r>
      <w:r>
        <w:rPr>
          <w:rFonts w:hint="eastAsia"/>
          <w:color w:val="auto"/>
          <w:highlight w:val="none"/>
        </w:rPr>
        <w:t>企业业绩和资信</w:t>
      </w:r>
      <w:r>
        <w:rPr>
          <w:color w:val="auto"/>
          <w:highlight w:val="none"/>
        </w:rPr>
        <w:t>评分标准：见评标办法前附表；</w:t>
      </w:r>
    </w:p>
    <w:p w14:paraId="00831C6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color w:val="auto"/>
          <w:highlight w:val="none"/>
        </w:rPr>
      </w:pPr>
      <w:r>
        <w:rPr>
          <w:color w:val="auto"/>
          <w:highlight w:val="none"/>
        </w:rPr>
        <w:t>（3）</w:t>
      </w:r>
      <w:r>
        <w:rPr>
          <w:rFonts w:hint="eastAsia"/>
          <w:color w:val="auto"/>
          <w:highlight w:val="none"/>
        </w:rPr>
        <w:t>施工组织设计</w:t>
      </w:r>
      <w:r>
        <w:rPr>
          <w:color w:val="auto"/>
          <w:highlight w:val="none"/>
        </w:rPr>
        <w:t>评分标准：见评标办法前附表；</w:t>
      </w:r>
    </w:p>
    <w:p w14:paraId="3F14548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color w:val="auto"/>
          <w:highlight w:val="none"/>
        </w:rPr>
      </w:pPr>
      <w:r>
        <w:rPr>
          <w:color w:val="auto"/>
          <w:highlight w:val="none"/>
        </w:rPr>
        <w:t>（4）</w:t>
      </w:r>
      <w:r>
        <w:rPr>
          <w:rFonts w:hint="eastAsia"/>
          <w:color w:val="auto"/>
          <w:highlight w:val="none"/>
        </w:rPr>
        <w:t>投标报价</w:t>
      </w:r>
      <w:r>
        <w:rPr>
          <w:color w:val="auto"/>
          <w:highlight w:val="none"/>
        </w:rPr>
        <w:t>评分标准：见评标办法前附表。</w:t>
      </w:r>
    </w:p>
    <w:p w14:paraId="1EDD4725">
      <w:pPr>
        <w:keepNext w:val="0"/>
        <w:keepLines w:val="0"/>
        <w:pageBreakBefore w:val="0"/>
        <w:widowControl w:val="0"/>
        <w:kinsoku/>
        <w:wordWrap/>
        <w:overflowPunct/>
        <w:topLinePunct w:val="0"/>
        <w:autoSpaceDE/>
        <w:autoSpaceDN/>
        <w:bidi w:val="0"/>
        <w:adjustRightInd/>
        <w:snapToGrid/>
        <w:spacing w:line="360" w:lineRule="exact"/>
        <w:textAlignment w:val="auto"/>
        <w:outlineLvl w:val="1"/>
        <w:rPr>
          <w:b/>
          <w:color w:val="auto"/>
          <w:highlight w:val="none"/>
        </w:rPr>
      </w:pPr>
      <w:bookmarkStart w:id="203" w:name="_Toc24823"/>
      <w:r>
        <w:rPr>
          <w:rFonts w:hint="eastAsia"/>
          <w:b/>
          <w:color w:val="auto"/>
          <w:highlight w:val="none"/>
        </w:rPr>
        <w:t>3　评标程序</w:t>
      </w:r>
      <w:bookmarkEnd w:id="203"/>
    </w:p>
    <w:p w14:paraId="466B5C49">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本节全文引用《标准施工招标文件》</w:t>
      </w:r>
      <w:r>
        <w:rPr>
          <w:rFonts w:hint="eastAsia"/>
          <w:color w:val="auto"/>
          <w:highlight w:val="none"/>
          <w:lang w:eastAsia="zh-CN"/>
        </w:rPr>
        <w:t>（</w:t>
      </w:r>
      <w:r>
        <w:rPr>
          <w:rFonts w:hint="eastAsia"/>
          <w:color w:val="auto"/>
          <w:highlight w:val="none"/>
        </w:rPr>
        <w:t>2007年版</w:t>
      </w:r>
      <w:r>
        <w:rPr>
          <w:rFonts w:hint="eastAsia"/>
          <w:color w:val="auto"/>
          <w:highlight w:val="none"/>
          <w:lang w:eastAsia="zh-CN"/>
        </w:rPr>
        <w:t>）</w:t>
      </w:r>
      <w:r>
        <w:rPr>
          <w:rFonts w:hint="eastAsia"/>
          <w:color w:val="auto"/>
          <w:highlight w:val="none"/>
        </w:rPr>
        <w:t>相应条款，并补充以下内容：</w:t>
      </w:r>
    </w:p>
    <w:p w14:paraId="471E979F">
      <w:pPr>
        <w:keepNext w:val="0"/>
        <w:keepLines w:val="0"/>
        <w:pageBreakBefore w:val="0"/>
        <w:widowControl w:val="0"/>
        <w:kinsoku/>
        <w:wordWrap/>
        <w:overflowPunct/>
        <w:topLinePunct w:val="0"/>
        <w:autoSpaceDE/>
        <w:autoSpaceDN/>
        <w:bidi w:val="0"/>
        <w:adjustRightInd/>
        <w:snapToGrid/>
        <w:spacing w:line="360" w:lineRule="exact"/>
        <w:textAlignment w:val="auto"/>
        <w:outlineLvl w:val="2"/>
        <w:rPr>
          <w:color w:val="auto"/>
          <w:highlight w:val="none"/>
        </w:rPr>
      </w:pPr>
      <w:r>
        <w:rPr>
          <w:rFonts w:hint="eastAsia"/>
          <w:color w:val="auto"/>
          <w:highlight w:val="none"/>
        </w:rPr>
        <w:t>　</w:t>
      </w:r>
      <w:bookmarkStart w:id="204" w:name="_Toc32424"/>
      <w:bookmarkStart w:id="205" w:name="_Toc28734"/>
      <w:bookmarkStart w:id="206" w:name="_Toc27778"/>
      <w:bookmarkStart w:id="207" w:name="_Toc337"/>
      <w:bookmarkStart w:id="208" w:name="_Toc12888"/>
      <w:r>
        <w:rPr>
          <w:rFonts w:hint="eastAsia"/>
          <w:color w:val="auto"/>
          <w:highlight w:val="none"/>
        </w:rPr>
        <w:t>3.4　评标结果</w:t>
      </w:r>
      <w:bookmarkEnd w:id="204"/>
      <w:bookmarkEnd w:id="205"/>
      <w:bookmarkEnd w:id="206"/>
      <w:bookmarkEnd w:id="207"/>
      <w:bookmarkEnd w:id="208"/>
    </w:p>
    <w:p w14:paraId="71FADC5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highlight w:val="none"/>
        </w:rPr>
      </w:pPr>
      <w:r>
        <w:rPr>
          <w:rFonts w:hint="eastAsia"/>
          <w:color w:val="auto"/>
          <w:highlight w:val="none"/>
        </w:rPr>
        <w:t>　　3.4.1　评标委员会依据本章第2.2条评分标准进行评分，按评标办法前附表的约定计算投标人最终得分，根据得分由高到低的顺序推荐3名中标候选人，并标明推荐顺序。</w:t>
      </w:r>
    </w:p>
    <w:p w14:paraId="51356752">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color w:val="auto"/>
          <w:highlight w:val="none"/>
          <w:lang w:eastAsia="zh-CN"/>
        </w:rPr>
      </w:pPr>
      <w:r>
        <w:rPr>
          <w:rFonts w:hint="eastAsia"/>
          <w:color w:val="auto"/>
          <w:highlight w:val="none"/>
          <w:lang w:eastAsia="zh-CN"/>
        </w:rPr>
        <w:t>3.4.2 评标委员会完成评标后，应当向招标人提交书面评标报告。</w:t>
      </w:r>
    </w:p>
    <w:p w14:paraId="0640FB8F">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cs="Times New Roman"/>
          <w:color w:val="auto"/>
          <w:highlight w:val="none"/>
          <w:lang w:eastAsia="zh-CN"/>
        </w:rPr>
      </w:pPr>
      <w:r>
        <w:rPr>
          <w:rFonts w:hint="eastAsia" w:cs="Times New Roman"/>
          <w:color w:val="auto"/>
          <w:highlight w:val="none"/>
          <w:lang w:eastAsia="zh-CN"/>
        </w:rPr>
        <w:t>3.4.3经评标委员会评分畸高、畸低的（评分值偏差达到±30%及以上），评标委员会应当当场修改评标结果或形成畸高、畸低的书面意见，并在评标报告中记载。</w:t>
      </w:r>
    </w:p>
    <w:p w14:paraId="72593B93">
      <w:pPr>
        <w:rPr>
          <w:color w:val="auto"/>
          <w:highlight w:val="none"/>
        </w:rPr>
      </w:pPr>
    </w:p>
    <w:p w14:paraId="0CF1B954">
      <w:pPr>
        <w:rPr>
          <w:color w:val="auto"/>
          <w:highlight w:val="none"/>
        </w:rPr>
      </w:pPr>
      <w:r>
        <w:rPr>
          <w:color w:val="auto"/>
          <w:highlight w:val="none"/>
        </w:rPr>
        <w:br w:type="page"/>
      </w:r>
      <w:r>
        <w:rPr>
          <w:rFonts w:hint="eastAsia"/>
          <w:color w:val="auto"/>
          <w:highlight w:val="none"/>
        </w:rPr>
        <w:t>附件一：</w:t>
      </w:r>
    </w:p>
    <w:p w14:paraId="03031206">
      <w:pPr>
        <w:rPr>
          <w:color w:val="auto"/>
          <w:highlight w:val="none"/>
        </w:rPr>
      </w:pPr>
    </w:p>
    <w:p w14:paraId="4A5AE2AE">
      <w:pPr>
        <w:jc w:val="center"/>
        <w:outlineLvl w:val="1"/>
        <w:rPr>
          <w:rFonts w:ascii="黑体" w:hAnsi="黑体" w:eastAsia="黑体"/>
          <w:b/>
          <w:color w:val="auto"/>
          <w:sz w:val="32"/>
          <w:szCs w:val="32"/>
          <w:highlight w:val="none"/>
        </w:rPr>
      </w:pPr>
      <w:bookmarkStart w:id="209" w:name="第03章评标办法综合评估法04附件01"/>
      <w:bookmarkEnd w:id="209"/>
      <w:bookmarkStart w:id="210" w:name="_Toc26673"/>
      <w:bookmarkStart w:id="211" w:name="_Toc1527"/>
      <w:bookmarkStart w:id="212" w:name="_Toc12326"/>
      <w:bookmarkStart w:id="213" w:name="_Toc17465"/>
      <w:bookmarkStart w:id="214" w:name="_Toc12217"/>
      <w:r>
        <w:rPr>
          <w:rFonts w:hint="eastAsia" w:ascii="黑体" w:hAnsi="黑体" w:eastAsia="黑体"/>
          <w:b/>
          <w:color w:val="auto"/>
          <w:sz w:val="32"/>
          <w:szCs w:val="32"/>
          <w:highlight w:val="none"/>
        </w:rPr>
        <w:t>投标文件澄清通知</w:t>
      </w:r>
      <w:bookmarkEnd w:id="210"/>
      <w:bookmarkEnd w:id="211"/>
      <w:bookmarkEnd w:id="212"/>
      <w:bookmarkEnd w:id="213"/>
      <w:bookmarkEnd w:id="214"/>
    </w:p>
    <w:p w14:paraId="38EDED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编号：　　</w:t>
      </w:r>
    </w:p>
    <w:p w14:paraId="52B40D35">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w:t>
      </w:r>
      <w:r>
        <w:rPr>
          <w:rFonts w:hint="eastAsia"/>
          <w:color w:val="auto"/>
          <w:highlight w:val="none"/>
          <w:lang w:eastAsia="zh-CN"/>
        </w:rPr>
        <w:t>（</w:t>
      </w:r>
      <w:r>
        <w:rPr>
          <w:rFonts w:hint="eastAsia"/>
          <w:color w:val="auto"/>
          <w:highlight w:val="none"/>
        </w:rPr>
        <w:t>投标人名称</w:t>
      </w:r>
      <w:r>
        <w:rPr>
          <w:rFonts w:hint="eastAsia"/>
          <w:color w:val="auto"/>
          <w:highlight w:val="none"/>
          <w:lang w:eastAsia="zh-CN"/>
        </w:rPr>
        <w:t>）</w:t>
      </w:r>
      <w:r>
        <w:rPr>
          <w:rFonts w:hint="eastAsia"/>
          <w:color w:val="auto"/>
          <w:highlight w:val="none"/>
        </w:rPr>
        <w:t>：</w:t>
      </w:r>
    </w:p>
    <w:p w14:paraId="15B181A3">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w:t>
      </w:r>
      <w:r>
        <w:rPr>
          <w:rFonts w:hint="eastAsia"/>
          <w:color w:val="auto"/>
          <w:highlight w:val="none"/>
          <w:u w:val="single"/>
        </w:rPr>
        <w:t>　　　　　　</w:t>
      </w:r>
      <w:r>
        <w:rPr>
          <w:rFonts w:hint="eastAsia"/>
          <w:color w:val="auto"/>
          <w:highlight w:val="none"/>
          <w:lang w:eastAsia="zh-CN"/>
        </w:rPr>
        <w:t>（</w:t>
      </w:r>
      <w:r>
        <w:rPr>
          <w:rFonts w:hint="eastAsia"/>
          <w:color w:val="auto"/>
          <w:highlight w:val="none"/>
        </w:rPr>
        <w:t>项目名称</w:t>
      </w:r>
      <w:r>
        <w:rPr>
          <w:rFonts w:hint="eastAsia"/>
          <w:color w:val="auto"/>
          <w:highlight w:val="none"/>
          <w:lang w:eastAsia="zh-CN"/>
        </w:rPr>
        <w:t>）</w:t>
      </w:r>
      <w:r>
        <w:rPr>
          <w:rFonts w:hint="eastAsia"/>
          <w:color w:val="auto"/>
          <w:highlight w:val="none"/>
          <w:u w:val="single"/>
        </w:rPr>
        <w:t>　　　　　　　</w:t>
      </w:r>
      <w:r>
        <w:rPr>
          <w:rFonts w:hint="eastAsia"/>
          <w:color w:val="auto"/>
          <w:highlight w:val="none"/>
          <w:lang w:eastAsia="zh-CN"/>
        </w:rPr>
        <w:t>（</w:t>
      </w:r>
      <w:r>
        <w:rPr>
          <w:rFonts w:hint="eastAsia"/>
          <w:color w:val="auto"/>
          <w:highlight w:val="none"/>
        </w:rPr>
        <w:t>标段名称</w:t>
      </w:r>
      <w:r>
        <w:rPr>
          <w:rFonts w:hint="eastAsia"/>
          <w:color w:val="auto"/>
          <w:highlight w:val="none"/>
          <w:lang w:eastAsia="zh-CN"/>
        </w:rPr>
        <w:t>）</w:t>
      </w:r>
      <w:r>
        <w:rPr>
          <w:rFonts w:hint="eastAsia"/>
          <w:color w:val="auto"/>
          <w:highlight w:val="none"/>
        </w:rPr>
        <w:t>评标委员会对你方的投标文件进行了仔细的审查，现需你方对下列问题以书面形式予以澄清：</w:t>
      </w:r>
    </w:p>
    <w:p w14:paraId="163EE7C2">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1.……</w:t>
      </w:r>
    </w:p>
    <w:p w14:paraId="514B88E4">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2.……</w:t>
      </w:r>
    </w:p>
    <w:p w14:paraId="456A66F6">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w:t>
      </w:r>
    </w:p>
    <w:p w14:paraId="6341283D">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请将上述问题的澄清函于　　　　年　　月　　日　　时前</w:t>
      </w:r>
      <w:r>
        <w:rPr>
          <w:rFonts w:hint="eastAsia"/>
          <w:color w:val="auto"/>
          <w:highlight w:val="none"/>
          <w:lang w:val="en-US" w:eastAsia="zh-CN"/>
        </w:rPr>
        <w:t>在         交易平台回复</w:t>
      </w:r>
      <w:r>
        <w:rPr>
          <w:rFonts w:hint="eastAsia"/>
          <w:color w:val="auto"/>
          <w:highlight w:val="none"/>
        </w:rPr>
        <w:t>。</w:t>
      </w:r>
    </w:p>
    <w:p w14:paraId="3F02ED3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color w:val="auto"/>
          <w:highlight w:val="none"/>
          <w:lang w:eastAsia="zh-CN"/>
        </w:rPr>
      </w:pPr>
      <w:r>
        <w:rPr>
          <w:rFonts w:hint="eastAsia"/>
          <w:color w:val="auto"/>
          <w:highlight w:val="none"/>
        </w:rPr>
        <w:t>　　　　　　　　　　　　　　　　　　　　　　　　评标委员会负责人：　　　　　　</w:t>
      </w:r>
      <w:r>
        <w:rPr>
          <w:rFonts w:hint="eastAsia"/>
          <w:color w:val="auto"/>
          <w:highlight w:val="none"/>
          <w:lang w:eastAsia="zh-CN"/>
        </w:rPr>
        <w:t>（</w:t>
      </w:r>
      <w:r>
        <w:rPr>
          <w:rFonts w:hint="eastAsia"/>
          <w:color w:val="auto"/>
          <w:highlight w:val="none"/>
        </w:rPr>
        <w:t>签字</w:t>
      </w:r>
      <w:r>
        <w:rPr>
          <w:rFonts w:hint="eastAsia"/>
          <w:color w:val="auto"/>
          <w:highlight w:val="none"/>
          <w:lang w:eastAsia="zh-CN"/>
        </w:rPr>
        <w:t>）</w:t>
      </w:r>
    </w:p>
    <w:p w14:paraId="46453F41">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年　　月　　日</w:t>
      </w:r>
    </w:p>
    <w:p w14:paraId="6CF4662D">
      <w:pPr>
        <w:rPr>
          <w:color w:val="auto"/>
          <w:highlight w:val="none"/>
        </w:rPr>
      </w:pPr>
    </w:p>
    <w:p w14:paraId="331B5490">
      <w:pPr>
        <w:rPr>
          <w:color w:val="auto"/>
          <w:highlight w:val="none"/>
        </w:rPr>
      </w:pPr>
    </w:p>
    <w:p w14:paraId="478AC781">
      <w:pPr>
        <w:rPr>
          <w:color w:val="auto"/>
          <w:highlight w:val="none"/>
        </w:rPr>
      </w:pPr>
      <w:r>
        <w:rPr>
          <w:rFonts w:hint="eastAsia"/>
          <w:color w:val="auto"/>
          <w:highlight w:val="none"/>
        </w:rPr>
        <w:t>附件二：</w:t>
      </w:r>
    </w:p>
    <w:p w14:paraId="039CB11C">
      <w:pPr>
        <w:rPr>
          <w:color w:val="auto"/>
          <w:highlight w:val="none"/>
        </w:rPr>
      </w:pPr>
    </w:p>
    <w:p w14:paraId="5BBAF1F7">
      <w:pPr>
        <w:jc w:val="center"/>
        <w:rPr>
          <w:rFonts w:ascii="黑体" w:hAnsi="黑体" w:eastAsia="黑体"/>
          <w:b/>
          <w:color w:val="auto"/>
          <w:sz w:val="32"/>
          <w:szCs w:val="32"/>
          <w:highlight w:val="none"/>
        </w:rPr>
      </w:pPr>
      <w:bookmarkStart w:id="215" w:name="第03章评标办法综合评估法04附件02"/>
      <w:bookmarkEnd w:id="215"/>
      <w:r>
        <w:rPr>
          <w:rFonts w:hint="eastAsia" w:ascii="黑体" w:hAnsi="黑体" w:eastAsia="黑体"/>
          <w:b/>
          <w:color w:val="auto"/>
          <w:sz w:val="32"/>
          <w:szCs w:val="32"/>
          <w:highlight w:val="none"/>
        </w:rPr>
        <w:t>投标文件澄清函</w:t>
      </w:r>
    </w:p>
    <w:p w14:paraId="2D7B99A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编号：　　</w:t>
      </w:r>
    </w:p>
    <w:p w14:paraId="7B47CF24">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w:t>
      </w:r>
      <w:r>
        <w:rPr>
          <w:rFonts w:hint="eastAsia"/>
          <w:color w:val="auto"/>
          <w:highlight w:val="none"/>
          <w:lang w:eastAsia="zh-CN"/>
        </w:rPr>
        <w:t>（</w:t>
      </w:r>
      <w:r>
        <w:rPr>
          <w:rFonts w:hint="eastAsia"/>
          <w:color w:val="auto"/>
          <w:highlight w:val="none"/>
        </w:rPr>
        <w:t>项目名称</w:t>
      </w:r>
      <w:r>
        <w:rPr>
          <w:rFonts w:hint="eastAsia"/>
          <w:color w:val="auto"/>
          <w:highlight w:val="none"/>
          <w:lang w:eastAsia="zh-CN"/>
        </w:rPr>
        <w:t>）</w:t>
      </w:r>
      <w:r>
        <w:rPr>
          <w:rFonts w:hint="eastAsia"/>
          <w:color w:val="auto"/>
          <w:highlight w:val="none"/>
        </w:rPr>
        <w:t>　　　　</w:t>
      </w:r>
      <w:r>
        <w:rPr>
          <w:rFonts w:hint="eastAsia"/>
          <w:color w:val="auto"/>
          <w:highlight w:val="none"/>
          <w:lang w:eastAsia="zh-CN"/>
        </w:rPr>
        <w:t>（</w:t>
      </w:r>
      <w:r>
        <w:rPr>
          <w:rFonts w:hint="eastAsia"/>
          <w:color w:val="auto"/>
          <w:highlight w:val="none"/>
        </w:rPr>
        <w:t>标段名称</w:t>
      </w:r>
      <w:r>
        <w:rPr>
          <w:rFonts w:hint="eastAsia"/>
          <w:color w:val="auto"/>
          <w:highlight w:val="none"/>
          <w:lang w:eastAsia="zh-CN"/>
        </w:rPr>
        <w:t>）</w:t>
      </w:r>
      <w:r>
        <w:rPr>
          <w:rFonts w:hint="eastAsia"/>
          <w:color w:val="auto"/>
          <w:highlight w:val="none"/>
        </w:rPr>
        <w:t>评标委员会：</w:t>
      </w:r>
    </w:p>
    <w:p w14:paraId="5C36280B">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投标文件澄清通知</w:t>
      </w:r>
      <w:r>
        <w:rPr>
          <w:rFonts w:hint="eastAsia"/>
          <w:color w:val="auto"/>
          <w:highlight w:val="none"/>
          <w:lang w:eastAsia="zh-CN"/>
        </w:rPr>
        <w:t>（</w:t>
      </w:r>
      <w:r>
        <w:rPr>
          <w:rFonts w:hint="eastAsia"/>
          <w:color w:val="auto"/>
          <w:highlight w:val="none"/>
        </w:rPr>
        <w:t>编号：　　　　</w:t>
      </w:r>
      <w:r>
        <w:rPr>
          <w:rFonts w:hint="eastAsia"/>
          <w:color w:val="auto"/>
          <w:highlight w:val="none"/>
          <w:lang w:eastAsia="zh-CN"/>
        </w:rPr>
        <w:t>）</w:t>
      </w:r>
      <w:r>
        <w:rPr>
          <w:rFonts w:hint="eastAsia"/>
          <w:color w:val="auto"/>
          <w:highlight w:val="none"/>
        </w:rPr>
        <w:t>已收悉，现就有关问题澄清如下：</w:t>
      </w:r>
    </w:p>
    <w:p w14:paraId="0A9535BD">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1.……</w:t>
      </w:r>
    </w:p>
    <w:p w14:paraId="6B1A467D">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2.……</w:t>
      </w:r>
    </w:p>
    <w:p w14:paraId="3E186E84">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w:t>
      </w:r>
    </w:p>
    <w:p w14:paraId="6EAF13A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color w:val="auto"/>
          <w:highlight w:val="none"/>
          <w:lang w:eastAsia="zh-CN"/>
        </w:rPr>
      </w:pPr>
      <w:r>
        <w:rPr>
          <w:rFonts w:hint="eastAsia"/>
          <w:color w:val="auto"/>
          <w:highlight w:val="none"/>
        </w:rPr>
        <w:t>　　　　　　　　　　　　　　　　　　　　　　　　投标人：　　　　　　　</w:t>
      </w:r>
      <w:r>
        <w:rPr>
          <w:rFonts w:hint="eastAsia"/>
          <w:color w:val="auto"/>
          <w:highlight w:val="none"/>
          <w:lang w:eastAsia="zh-CN"/>
        </w:rPr>
        <w:t>（</w:t>
      </w:r>
      <w:r>
        <w:rPr>
          <w:rFonts w:hint="eastAsia"/>
          <w:color w:val="auto"/>
          <w:highlight w:val="none"/>
        </w:rPr>
        <w:t>盖单位章</w:t>
      </w:r>
      <w:r>
        <w:rPr>
          <w:rFonts w:hint="eastAsia"/>
          <w:color w:val="auto"/>
          <w:highlight w:val="none"/>
          <w:lang w:eastAsia="zh-CN"/>
        </w:rPr>
        <w:t>）</w:t>
      </w:r>
    </w:p>
    <w:p w14:paraId="699CE2E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color w:val="auto"/>
          <w:highlight w:val="none"/>
          <w:lang w:eastAsia="zh-CN"/>
        </w:rPr>
      </w:pPr>
      <w:r>
        <w:rPr>
          <w:rFonts w:hint="eastAsia"/>
          <w:color w:val="auto"/>
          <w:highlight w:val="none"/>
        </w:rPr>
        <w:t>　　　　　　　　　　　　　　　　　　　　　　法定代表人或其委托代理人：　　　　　</w:t>
      </w:r>
      <w:r>
        <w:rPr>
          <w:rFonts w:hint="eastAsia"/>
          <w:color w:val="auto"/>
          <w:highlight w:val="none"/>
          <w:lang w:eastAsia="zh-CN"/>
        </w:rPr>
        <w:t>（</w:t>
      </w:r>
      <w:r>
        <w:rPr>
          <w:rFonts w:hint="eastAsia"/>
          <w:color w:val="auto"/>
          <w:highlight w:val="none"/>
        </w:rPr>
        <w:t>签字</w:t>
      </w:r>
      <w:r>
        <w:rPr>
          <w:rFonts w:hint="eastAsia"/>
          <w:color w:val="auto"/>
          <w:highlight w:val="none"/>
          <w:lang w:eastAsia="zh-CN"/>
        </w:rPr>
        <w:t>）</w:t>
      </w:r>
    </w:p>
    <w:p w14:paraId="3F933DC8">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年　　月　　日</w:t>
      </w:r>
    </w:p>
    <w:p w14:paraId="16E89FB9">
      <w:pPr>
        <w:rPr>
          <w:color w:val="auto"/>
          <w:highlight w:val="none"/>
        </w:rPr>
      </w:pPr>
    </w:p>
    <w:p w14:paraId="534641AE">
      <w:pPr>
        <w:rPr>
          <w:color w:val="auto"/>
          <w:highlight w:val="none"/>
        </w:rPr>
      </w:pPr>
    </w:p>
    <w:p w14:paraId="0CC16206">
      <w:pPr>
        <w:rPr>
          <w:color w:val="auto"/>
          <w:highlight w:val="none"/>
        </w:rPr>
      </w:pPr>
      <w:r>
        <w:rPr>
          <w:color w:val="auto"/>
          <w:highlight w:val="none"/>
        </w:rPr>
        <w:br w:type="page"/>
      </w:r>
    </w:p>
    <w:p w14:paraId="00E86A16">
      <w:pPr>
        <w:jc w:val="center"/>
        <w:outlineLvl w:val="0"/>
        <w:rPr>
          <w:rFonts w:hint="eastAsia" w:hAnsi="黑体" w:eastAsia="黑体"/>
          <w:b/>
          <w:color w:val="auto"/>
          <w:sz w:val="32"/>
          <w:szCs w:val="32"/>
          <w:highlight w:val="none"/>
        </w:rPr>
      </w:pPr>
      <w:bookmarkStart w:id="216" w:name="第04章合同条款及格式"/>
      <w:bookmarkEnd w:id="216"/>
      <w:bookmarkStart w:id="217" w:name="_Toc21269"/>
      <w:bookmarkStart w:id="218" w:name="_Toc18012"/>
      <w:bookmarkStart w:id="219" w:name="_Toc10509"/>
      <w:bookmarkStart w:id="220" w:name="_Toc18415"/>
      <w:r>
        <w:rPr>
          <w:rFonts w:hint="eastAsia" w:hAnsi="黑体" w:eastAsia="黑体"/>
          <w:b/>
          <w:color w:val="auto"/>
          <w:sz w:val="32"/>
          <w:szCs w:val="32"/>
          <w:highlight w:val="none"/>
        </w:rPr>
        <w:t>第4章　合同条款及格式</w:t>
      </w:r>
      <w:bookmarkEnd w:id="217"/>
      <w:bookmarkEnd w:id="218"/>
      <w:bookmarkEnd w:id="219"/>
      <w:bookmarkEnd w:id="220"/>
    </w:p>
    <w:p w14:paraId="6C62120A">
      <w:pPr>
        <w:jc w:val="center"/>
        <w:rPr>
          <w:rFonts w:hint="eastAsia" w:hAnsi="黑体" w:eastAsia="黑体"/>
          <w:b/>
          <w:color w:val="auto"/>
          <w:sz w:val="32"/>
          <w:szCs w:val="32"/>
          <w:highlight w:val="none"/>
        </w:rPr>
      </w:pPr>
    </w:p>
    <w:p w14:paraId="158D0D66">
      <w:pPr>
        <w:jc w:val="center"/>
        <w:rPr>
          <w:rFonts w:hint="eastAsia" w:hAnsi="黑体" w:eastAsia="黑体"/>
          <w:b/>
          <w:color w:val="auto"/>
          <w:sz w:val="32"/>
          <w:szCs w:val="32"/>
          <w:highlight w:val="none"/>
        </w:rPr>
      </w:pPr>
    </w:p>
    <w:p w14:paraId="1A641C45">
      <w:pPr>
        <w:jc w:val="center"/>
        <w:rPr>
          <w:rFonts w:hint="eastAsia" w:hAnsi="黑体" w:eastAsia="黑体"/>
          <w:b/>
          <w:color w:val="auto"/>
          <w:sz w:val="32"/>
          <w:szCs w:val="32"/>
          <w:highlight w:val="none"/>
        </w:rPr>
      </w:pPr>
    </w:p>
    <w:p w14:paraId="2DE54FEB">
      <w:pPr>
        <w:jc w:val="center"/>
        <w:rPr>
          <w:rFonts w:hint="eastAsia" w:hAnsi="黑体" w:eastAsia="黑体"/>
          <w:b/>
          <w:color w:val="auto"/>
          <w:sz w:val="32"/>
          <w:szCs w:val="32"/>
          <w:highlight w:val="none"/>
        </w:rPr>
      </w:pPr>
    </w:p>
    <w:p w14:paraId="32D1BC0D">
      <w:pPr>
        <w:jc w:val="center"/>
        <w:rPr>
          <w:rFonts w:hint="eastAsia" w:hAnsi="黑体" w:eastAsia="黑体"/>
          <w:b/>
          <w:color w:val="auto"/>
          <w:sz w:val="32"/>
          <w:szCs w:val="32"/>
          <w:highlight w:val="none"/>
        </w:rPr>
      </w:pPr>
    </w:p>
    <w:p w14:paraId="6D707902">
      <w:pPr>
        <w:jc w:val="center"/>
        <w:rPr>
          <w:rFonts w:hint="eastAsia" w:hAnsi="黑体" w:eastAsia="黑体"/>
          <w:b/>
          <w:color w:val="auto"/>
          <w:sz w:val="32"/>
          <w:szCs w:val="32"/>
          <w:highlight w:val="none"/>
        </w:rPr>
      </w:pPr>
    </w:p>
    <w:p w14:paraId="20366AAC">
      <w:pPr>
        <w:jc w:val="center"/>
        <w:rPr>
          <w:rFonts w:hint="eastAsia" w:hAnsi="黑体" w:eastAsia="黑体"/>
          <w:b/>
          <w:color w:val="auto"/>
          <w:sz w:val="32"/>
          <w:szCs w:val="32"/>
          <w:highlight w:val="none"/>
        </w:rPr>
      </w:pPr>
    </w:p>
    <w:p w14:paraId="369CB2A5">
      <w:pPr>
        <w:spacing w:line="400" w:lineRule="exact"/>
        <w:ind w:firstLine="420" w:firstLineChars="200"/>
        <w:jc w:val="left"/>
        <w:rPr>
          <w:rFonts w:hint="eastAsia" w:hAnsi="Times New Roman" w:eastAsia="宋体"/>
          <w:b w:val="0"/>
          <w:color w:val="auto"/>
          <w:sz w:val="21"/>
          <w:szCs w:val="24"/>
          <w:highlight w:val="none"/>
        </w:rPr>
      </w:pPr>
    </w:p>
    <w:p w14:paraId="19FEE55D">
      <w:pPr>
        <w:spacing w:line="400" w:lineRule="exact"/>
        <w:ind w:firstLine="420" w:firstLineChars="200"/>
        <w:jc w:val="left"/>
        <w:rPr>
          <w:rFonts w:hint="eastAsia" w:hAnsi="Times New Roman" w:eastAsia="宋体"/>
          <w:b w:val="0"/>
          <w:color w:val="auto"/>
          <w:sz w:val="21"/>
          <w:szCs w:val="24"/>
          <w:highlight w:val="none"/>
        </w:rPr>
        <w:sectPr>
          <w:footerReference r:id="rId3" w:type="default"/>
          <w:pgSz w:w="11906" w:h="16838"/>
          <w:pgMar w:top="1418" w:right="1361" w:bottom="1418" w:left="1418" w:header="851" w:footer="992" w:gutter="0"/>
          <w:pgNumType w:fmt="decimal" w:start="1"/>
          <w:cols w:space="720" w:num="1"/>
          <w:docGrid w:type="lines" w:linePitch="312" w:charSpace="0"/>
        </w:sectPr>
      </w:pPr>
    </w:p>
    <w:p w14:paraId="6E33E021">
      <w:pPr>
        <w:pStyle w:val="44"/>
        <w:ind w:firstLine="3080" w:firstLineChars="1100"/>
        <w:jc w:val="both"/>
        <w:rPr>
          <w:rFonts w:hint="eastAsia" w:ascii="Times New Roman" w:hAnsi="Times New Roman" w:eastAsia="宋体"/>
          <w:b w:val="0"/>
          <w:color w:val="auto"/>
          <w:sz w:val="28"/>
          <w:szCs w:val="20"/>
          <w:highlight w:val="none"/>
        </w:rPr>
      </w:pPr>
      <w:bookmarkStart w:id="221" w:name="_Toc152042388"/>
      <w:bookmarkStart w:id="222" w:name="_Toc144974578"/>
      <w:bookmarkStart w:id="223" w:name="_Toc179632628"/>
      <w:bookmarkStart w:id="224" w:name="_Toc152045610"/>
      <w:bookmarkStart w:id="225" w:name="_Toc12698"/>
      <w:bookmarkStart w:id="226" w:name="_Toc30202"/>
      <w:bookmarkStart w:id="227" w:name="_Toc21043"/>
      <w:r>
        <w:rPr>
          <w:rFonts w:hint="eastAsia" w:ascii="Times New Roman" w:hAnsi="Times New Roman" w:eastAsia="宋体"/>
          <w:color w:val="auto"/>
          <w:sz w:val="28"/>
          <w:szCs w:val="20"/>
          <w:highlight w:val="none"/>
        </w:rPr>
        <w:t>第一部分 合同协议书</w:t>
      </w:r>
    </w:p>
    <w:p w14:paraId="02AA831B">
      <w:pPr>
        <w:spacing w:line="400" w:lineRule="exact"/>
        <w:ind w:firstLine="420" w:firstLineChars="200"/>
        <w:rPr>
          <w:rFonts w:hint="eastAsia" w:ascii="Times New Roman" w:hAnsi="Times New Roman" w:eastAsia="宋体"/>
          <w:b w:val="0"/>
          <w:color w:val="auto"/>
          <w:sz w:val="21"/>
          <w:szCs w:val="24"/>
          <w:highlight w:val="none"/>
        </w:rPr>
      </w:pPr>
    </w:p>
    <w:p w14:paraId="3A5DC6C8">
      <w:pPr>
        <w:spacing w:line="400" w:lineRule="exact"/>
        <w:ind w:firstLine="420" w:firstLineChars="200"/>
        <w:rPr>
          <w:rFonts w:hint="eastAsia" w:ascii="Times New Roman" w:hAnsi="Times New Roman" w:eastAsia="宋体"/>
          <w:b w:val="0"/>
          <w:color w:val="auto"/>
          <w:sz w:val="21"/>
          <w:szCs w:val="24"/>
          <w:highlight w:val="none"/>
          <w:u w:val="none"/>
        </w:rPr>
      </w:pPr>
      <w:r>
        <w:rPr>
          <w:rFonts w:hint="eastAsia" w:ascii="Times New Roman" w:hAnsi="Times New Roman" w:eastAsia="宋体"/>
          <w:b w:val="0"/>
          <w:color w:val="auto"/>
          <w:sz w:val="21"/>
          <w:szCs w:val="24"/>
          <w:highlight w:val="none"/>
        </w:rPr>
        <w:t>发包人（全称）：</w:t>
      </w:r>
      <w:r>
        <w:rPr>
          <w:rFonts w:hint="eastAsia" w:ascii="Times New Roman" w:hAnsi="Times New Roman" w:eastAsia="宋体"/>
          <w:b w:val="0"/>
          <w:color w:val="auto"/>
          <w:sz w:val="21"/>
          <w:szCs w:val="24"/>
          <w:highlight w:val="none"/>
          <w:u w:val="none"/>
        </w:rPr>
        <w:t>                       </w:t>
      </w:r>
    </w:p>
    <w:p w14:paraId="32F7DC9F">
      <w:pPr>
        <w:spacing w:line="400" w:lineRule="exact"/>
        <w:ind w:firstLine="420" w:firstLineChars="200"/>
        <w:rPr>
          <w:rFonts w:hint="eastAsia" w:ascii="Times New Roman" w:hAnsi="Times New Roman" w:eastAsia="宋体"/>
          <w:b w:val="0"/>
          <w:color w:val="auto"/>
          <w:sz w:val="21"/>
          <w:szCs w:val="24"/>
          <w:highlight w:val="none"/>
          <w:u w:val="none"/>
        </w:rPr>
      </w:pPr>
      <w:r>
        <w:rPr>
          <w:rFonts w:hint="eastAsia" w:ascii="Times New Roman" w:hAnsi="Times New Roman" w:eastAsia="宋体"/>
          <w:b w:val="0"/>
          <w:color w:val="auto"/>
          <w:sz w:val="21"/>
          <w:szCs w:val="24"/>
          <w:highlight w:val="none"/>
        </w:rPr>
        <w:t>承包人（全称）：</w:t>
      </w:r>
      <w:r>
        <w:rPr>
          <w:rFonts w:hint="eastAsia" w:ascii="Times New Roman" w:hAnsi="Times New Roman" w:eastAsia="宋体"/>
          <w:b w:val="0"/>
          <w:color w:val="auto"/>
          <w:sz w:val="21"/>
          <w:szCs w:val="24"/>
          <w:highlight w:val="none"/>
          <w:u w:val="none"/>
        </w:rPr>
        <w:t>                      </w:t>
      </w:r>
    </w:p>
    <w:p w14:paraId="1762EF57">
      <w:pPr>
        <w:spacing w:line="400" w:lineRule="exact"/>
        <w:ind w:firstLine="420" w:firstLineChars="200"/>
        <w:rPr>
          <w:rFonts w:hint="eastAsia" w:ascii="Times New Roman" w:hAnsi="Times New Roman" w:eastAsia="宋体"/>
          <w:color w:val="auto"/>
          <w:sz w:val="21"/>
          <w:szCs w:val="24"/>
          <w:highlight w:val="none"/>
        </w:rPr>
      </w:pPr>
      <w:r>
        <w:rPr>
          <w:rFonts w:hint="eastAsia" w:ascii="Times New Roman" w:hAnsi="Times New Roman" w:eastAsia="宋体"/>
          <w:color w:val="auto"/>
          <w:sz w:val="21"/>
          <w:szCs w:val="24"/>
          <w:highlight w:val="none"/>
        </w:rPr>
        <w:t>根据《中华人民共和国</w:t>
      </w:r>
      <w:r>
        <w:rPr>
          <w:rFonts w:hint="eastAsia"/>
          <w:color w:val="auto"/>
          <w:sz w:val="21"/>
          <w:szCs w:val="24"/>
          <w:highlight w:val="none"/>
          <w:lang w:val="en-US" w:eastAsia="zh-CN"/>
        </w:rPr>
        <w:t>民</w:t>
      </w:r>
      <w:r>
        <w:rPr>
          <w:rFonts w:hint="eastAsia" w:ascii="Times New Roman" w:hAnsi="Times New Roman" w:eastAsia="宋体"/>
          <w:color w:val="auto"/>
          <w:sz w:val="21"/>
          <w:szCs w:val="24"/>
          <w:highlight w:val="none"/>
        </w:rPr>
        <w:t>法</w:t>
      </w:r>
      <w:r>
        <w:rPr>
          <w:rFonts w:hint="eastAsia"/>
          <w:color w:val="auto"/>
          <w:sz w:val="21"/>
          <w:szCs w:val="24"/>
          <w:highlight w:val="none"/>
          <w:lang w:val="en-US" w:eastAsia="zh-CN"/>
        </w:rPr>
        <w:t>典</w:t>
      </w:r>
      <w:r>
        <w:rPr>
          <w:rFonts w:hint="eastAsia" w:ascii="Times New Roman" w:hAnsi="Times New Roman" w:eastAsia="宋体"/>
          <w:color w:val="auto"/>
          <w:sz w:val="21"/>
          <w:szCs w:val="24"/>
          <w:highlight w:val="none"/>
        </w:rPr>
        <w:t>》、及有关法律规定，遵循平等、自愿、公平和诚实信用的原则，双方就</w:t>
      </w:r>
      <w:r>
        <w:rPr>
          <w:rFonts w:hint="eastAsia" w:ascii="Times New Roman" w:hAnsi="Times New Roman" w:eastAsia="宋体"/>
          <w:color w:val="auto"/>
          <w:sz w:val="21"/>
          <w:szCs w:val="24"/>
          <w:highlight w:val="none"/>
          <w:u w:val="none"/>
        </w:rPr>
        <w:t xml:space="preserve">                       </w:t>
      </w:r>
      <w:r>
        <w:rPr>
          <w:rFonts w:hint="eastAsia" w:ascii="Times New Roman" w:hAnsi="Times New Roman" w:eastAsia="宋体"/>
          <w:color w:val="auto"/>
          <w:sz w:val="21"/>
          <w:szCs w:val="24"/>
          <w:highlight w:val="none"/>
        </w:rPr>
        <w:t>工程施工及有关事项协商一致，共同达成如下协议：</w:t>
      </w:r>
    </w:p>
    <w:p w14:paraId="470AAE95">
      <w:pPr>
        <w:spacing w:before="120" w:after="120" w:line="400" w:lineRule="exact"/>
        <w:ind w:firstLine="420" w:firstLineChars="200"/>
        <w:rPr>
          <w:rFonts w:hint="eastAsia" w:ascii="Times New Roman" w:hAnsi="Times New Roman" w:eastAsia="宋体"/>
          <w:bCs w:val="0"/>
          <w:color w:val="auto"/>
          <w:sz w:val="21"/>
          <w:szCs w:val="24"/>
          <w:highlight w:val="none"/>
        </w:rPr>
      </w:pPr>
      <w:bookmarkStart w:id="228" w:name="_Toc351203481"/>
      <w:r>
        <w:rPr>
          <w:rFonts w:hint="eastAsia" w:ascii="Times New Roman" w:hAnsi="Times New Roman" w:eastAsia="宋体"/>
          <w:b w:val="0"/>
          <w:color w:val="auto"/>
          <w:sz w:val="21"/>
          <w:szCs w:val="24"/>
          <w:highlight w:val="none"/>
        </w:rPr>
        <w:t>一、工程概况</w:t>
      </w:r>
      <w:bookmarkEnd w:id="228"/>
    </w:p>
    <w:p w14:paraId="2EAE3471">
      <w:pPr>
        <w:spacing w:line="400" w:lineRule="exact"/>
        <w:ind w:firstLine="420" w:firstLineChars="200"/>
        <w:rPr>
          <w:rFonts w:hint="eastAsia" w:ascii="Times New Roman" w:hAnsi="Times New Roman" w:eastAsia="宋体"/>
          <w:color w:val="auto"/>
          <w:sz w:val="21"/>
          <w:szCs w:val="24"/>
          <w:highlight w:val="none"/>
          <w:u w:val="none"/>
        </w:rPr>
      </w:pPr>
      <w:r>
        <w:rPr>
          <w:rFonts w:hint="eastAsia" w:ascii="Times New Roman" w:hAnsi="Times New Roman" w:eastAsia="宋体"/>
          <w:bCs w:val="0"/>
          <w:color w:val="auto"/>
          <w:sz w:val="21"/>
          <w:szCs w:val="24"/>
          <w:highlight w:val="none"/>
        </w:rPr>
        <w:t>1.工程名称</w:t>
      </w:r>
      <w:r>
        <w:rPr>
          <w:rFonts w:hint="eastAsia" w:ascii="Times New Roman" w:hAnsi="Times New Roman" w:eastAsia="宋体"/>
          <w:color w:val="auto"/>
          <w:sz w:val="21"/>
          <w:szCs w:val="24"/>
          <w:highlight w:val="none"/>
        </w:rPr>
        <w:t>：</w:t>
      </w:r>
      <w:r>
        <w:rPr>
          <w:rFonts w:hint="eastAsia" w:ascii="Times New Roman" w:hAnsi="Times New Roman" w:eastAsia="宋体"/>
          <w:color w:val="auto"/>
          <w:sz w:val="21"/>
          <w:szCs w:val="24"/>
          <w:highlight w:val="none"/>
          <w:u w:val="none"/>
        </w:rPr>
        <w:t xml:space="preserve">       </w:t>
      </w:r>
      <w:r>
        <w:rPr>
          <w:rFonts w:hint="eastAsia" w:ascii="Times New Roman" w:hAnsi="Times New Roman" w:eastAsia="宋体"/>
          <w:color w:val="auto"/>
          <w:sz w:val="21"/>
          <w:szCs w:val="24"/>
          <w:highlight w:val="none"/>
        </w:rPr>
        <w:t>。</w:t>
      </w:r>
    </w:p>
    <w:p w14:paraId="4145FAAA">
      <w:pPr>
        <w:spacing w:line="400" w:lineRule="exact"/>
        <w:ind w:firstLine="420" w:firstLineChars="200"/>
        <w:rPr>
          <w:rFonts w:hint="eastAsia" w:ascii="Times New Roman" w:hAnsi="Times New Roman" w:eastAsia="宋体"/>
          <w:bCs w:val="0"/>
          <w:color w:val="auto"/>
          <w:sz w:val="21"/>
          <w:szCs w:val="24"/>
          <w:highlight w:val="none"/>
        </w:rPr>
      </w:pPr>
      <w:r>
        <w:rPr>
          <w:rFonts w:hint="eastAsia" w:ascii="Times New Roman" w:hAnsi="Times New Roman" w:eastAsia="宋体"/>
          <w:bCs w:val="0"/>
          <w:color w:val="auto"/>
          <w:sz w:val="21"/>
          <w:szCs w:val="24"/>
          <w:highlight w:val="none"/>
        </w:rPr>
        <w:t>2.工程地点：</w:t>
      </w:r>
      <w:r>
        <w:rPr>
          <w:rFonts w:hint="eastAsia" w:ascii="Times New Roman" w:hAnsi="Times New Roman" w:eastAsia="宋体"/>
          <w:color w:val="auto"/>
          <w:sz w:val="21"/>
          <w:szCs w:val="24"/>
          <w:highlight w:val="none"/>
          <w:u w:val="none"/>
        </w:rPr>
        <w:t xml:space="preserve">       </w:t>
      </w:r>
      <w:r>
        <w:rPr>
          <w:rFonts w:hint="eastAsia" w:ascii="Times New Roman" w:hAnsi="Times New Roman" w:eastAsia="宋体"/>
          <w:color w:val="auto"/>
          <w:sz w:val="21"/>
          <w:szCs w:val="24"/>
          <w:highlight w:val="none"/>
        </w:rPr>
        <w:t>。</w:t>
      </w:r>
    </w:p>
    <w:p w14:paraId="45F94AEE">
      <w:pPr>
        <w:spacing w:line="400" w:lineRule="exact"/>
        <w:ind w:firstLine="420" w:firstLineChars="200"/>
        <w:rPr>
          <w:rFonts w:hint="eastAsia" w:ascii="Times New Roman" w:hAnsi="Times New Roman" w:eastAsia="宋体"/>
          <w:bCs w:val="0"/>
          <w:color w:val="auto"/>
          <w:sz w:val="21"/>
          <w:szCs w:val="24"/>
          <w:highlight w:val="none"/>
        </w:rPr>
      </w:pPr>
      <w:r>
        <w:rPr>
          <w:rFonts w:hint="eastAsia" w:ascii="Times New Roman" w:hAnsi="Times New Roman" w:eastAsia="宋体"/>
          <w:bCs w:val="0"/>
          <w:color w:val="auto"/>
          <w:sz w:val="21"/>
          <w:szCs w:val="24"/>
          <w:highlight w:val="none"/>
        </w:rPr>
        <w:t>3.工程立项批准文号：</w:t>
      </w:r>
      <w:r>
        <w:rPr>
          <w:rFonts w:hint="eastAsia" w:ascii="Times New Roman" w:hAnsi="Times New Roman" w:eastAsia="宋体"/>
          <w:color w:val="auto"/>
          <w:sz w:val="21"/>
          <w:szCs w:val="24"/>
          <w:highlight w:val="none"/>
          <w:u w:val="none"/>
        </w:rPr>
        <w:t xml:space="preserve">       </w:t>
      </w:r>
      <w:r>
        <w:rPr>
          <w:rFonts w:hint="eastAsia" w:ascii="Times New Roman" w:hAnsi="Times New Roman" w:eastAsia="宋体"/>
          <w:bCs w:val="0"/>
          <w:color w:val="auto"/>
          <w:sz w:val="21"/>
          <w:szCs w:val="24"/>
          <w:highlight w:val="none"/>
        </w:rPr>
        <w:t>。</w:t>
      </w:r>
    </w:p>
    <w:p w14:paraId="31067379">
      <w:pPr>
        <w:spacing w:line="400" w:lineRule="exact"/>
        <w:ind w:firstLine="420" w:firstLineChars="200"/>
        <w:rPr>
          <w:rFonts w:hint="eastAsia" w:ascii="Times New Roman" w:hAnsi="Times New Roman" w:eastAsia="宋体"/>
          <w:bCs w:val="0"/>
          <w:color w:val="auto"/>
          <w:sz w:val="21"/>
          <w:szCs w:val="24"/>
          <w:highlight w:val="none"/>
        </w:rPr>
      </w:pPr>
      <w:r>
        <w:rPr>
          <w:rFonts w:hint="eastAsia" w:ascii="Times New Roman" w:hAnsi="Times New Roman" w:eastAsia="宋体"/>
          <w:bCs w:val="0"/>
          <w:color w:val="auto"/>
          <w:sz w:val="21"/>
          <w:szCs w:val="24"/>
          <w:highlight w:val="none"/>
        </w:rPr>
        <w:t>4.资金来源：</w:t>
      </w:r>
      <w:r>
        <w:rPr>
          <w:rFonts w:hint="eastAsia" w:ascii="Times New Roman" w:hAnsi="Times New Roman" w:eastAsia="宋体"/>
          <w:color w:val="auto"/>
          <w:sz w:val="21"/>
          <w:szCs w:val="24"/>
          <w:highlight w:val="none"/>
          <w:u w:val="none"/>
        </w:rPr>
        <w:t xml:space="preserve">       </w:t>
      </w:r>
      <w:r>
        <w:rPr>
          <w:rFonts w:hint="eastAsia" w:ascii="Times New Roman" w:hAnsi="Times New Roman" w:eastAsia="宋体"/>
          <w:bCs w:val="0"/>
          <w:color w:val="auto"/>
          <w:sz w:val="21"/>
          <w:szCs w:val="24"/>
          <w:highlight w:val="none"/>
        </w:rPr>
        <w:t>。</w:t>
      </w:r>
    </w:p>
    <w:p w14:paraId="45657942">
      <w:pPr>
        <w:spacing w:line="400" w:lineRule="exact"/>
        <w:ind w:firstLine="420" w:firstLineChars="200"/>
        <w:rPr>
          <w:rFonts w:hint="eastAsia" w:ascii="Times New Roman" w:hAnsi="Times New Roman" w:eastAsia="宋体"/>
          <w:bCs w:val="0"/>
          <w:color w:val="auto"/>
          <w:sz w:val="21"/>
          <w:szCs w:val="24"/>
          <w:highlight w:val="none"/>
        </w:rPr>
      </w:pPr>
      <w:r>
        <w:rPr>
          <w:rFonts w:hint="eastAsia" w:ascii="Times New Roman" w:hAnsi="Times New Roman" w:eastAsia="宋体"/>
          <w:bCs w:val="0"/>
          <w:color w:val="auto"/>
          <w:sz w:val="21"/>
          <w:szCs w:val="24"/>
          <w:highlight w:val="none"/>
        </w:rPr>
        <w:t>5.工程内容：</w:t>
      </w:r>
      <w:r>
        <w:rPr>
          <w:rFonts w:hint="eastAsia" w:ascii="Times New Roman" w:hAnsi="Times New Roman" w:eastAsia="宋体"/>
          <w:color w:val="auto"/>
          <w:sz w:val="21"/>
          <w:szCs w:val="24"/>
          <w:highlight w:val="none"/>
          <w:u w:val="none"/>
        </w:rPr>
        <w:t xml:space="preserve">       </w:t>
      </w:r>
      <w:r>
        <w:rPr>
          <w:rFonts w:hint="eastAsia" w:ascii="Times New Roman" w:hAnsi="Times New Roman" w:eastAsia="宋体"/>
          <w:bCs w:val="0"/>
          <w:color w:val="auto"/>
          <w:sz w:val="21"/>
          <w:szCs w:val="24"/>
          <w:highlight w:val="none"/>
        </w:rPr>
        <w:t>。</w:t>
      </w:r>
    </w:p>
    <w:p w14:paraId="4A50BED3">
      <w:pPr>
        <w:spacing w:line="400" w:lineRule="exact"/>
        <w:ind w:firstLine="420" w:firstLineChars="200"/>
        <w:rPr>
          <w:rFonts w:hint="eastAsia" w:ascii="Times New Roman" w:hAnsi="Times New Roman" w:eastAsia="宋体"/>
          <w:bCs w:val="0"/>
          <w:color w:val="auto"/>
          <w:sz w:val="21"/>
          <w:szCs w:val="24"/>
          <w:highlight w:val="none"/>
        </w:rPr>
      </w:pPr>
      <w:r>
        <w:rPr>
          <w:rFonts w:hint="eastAsia" w:ascii="Times New Roman" w:hAnsi="Times New Roman" w:eastAsia="宋体"/>
          <w:color w:val="auto"/>
          <w:sz w:val="21"/>
          <w:szCs w:val="24"/>
          <w:highlight w:val="none"/>
        </w:rPr>
        <w:t>群体工程应附《承包人承揽工程项目一览表》（附件1）。</w:t>
      </w:r>
    </w:p>
    <w:p w14:paraId="10B53395">
      <w:pPr>
        <w:spacing w:line="400" w:lineRule="exact"/>
        <w:ind w:firstLine="420" w:firstLineChars="200"/>
        <w:rPr>
          <w:rFonts w:hint="eastAsia" w:ascii="Times New Roman" w:hAnsi="Times New Roman" w:eastAsia="宋体"/>
          <w:bCs w:val="0"/>
          <w:color w:val="auto"/>
          <w:sz w:val="21"/>
          <w:szCs w:val="24"/>
          <w:highlight w:val="none"/>
        </w:rPr>
      </w:pPr>
      <w:r>
        <w:rPr>
          <w:rFonts w:hint="eastAsia" w:ascii="Times New Roman" w:hAnsi="Times New Roman" w:eastAsia="宋体"/>
          <w:bCs w:val="0"/>
          <w:color w:val="auto"/>
          <w:sz w:val="21"/>
          <w:szCs w:val="24"/>
          <w:highlight w:val="none"/>
        </w:rPr>
        <w:t>6.工程承包范围：</w:t>
      </w:r>
    </w:p>
    <w:p w14:paraId="1CC7D32D">
      <w:pPr>
        <w:spacing w:line="400" w:lineRule="exact"/>
        <w:ind w:firstLine="420" w:firstLineChars="200"/>
        <w:rPr>
          <w:rFonts w:hint="eastAsia" w:ascii="Times New Roman" w:hAnsi="Times New Roman" w:eastAsia="宋体"/>
          <w:color w:val="auto"/>
          <w:sz w:val="21"/>
          <w:szCs w:val="24"/>
          <w:highlight w:val="none"/>
        </w:rPr>
      </w:pPr>
      <w:r>
        <w:rPr>
          <w:rFonts w:hint="eastAsia" w:ascii="Times New Roman" w:hAnsi="Times New Roman" w:eastAsia="宋体"/>
          <w:color w:val="auto"/>
          <w:sz w:val="21"/>
          <w:szCs w:val="24"/>
          <w:highlight w:val="none"/>
          <w:u w:val="none"/>
        </w:rPr>
        <w:t>   </w:t>
      </w:r>
    </w:p>
    <w:p w14:paraId="1E640EEC">
      <w:pPr>
        <w:spacing w:line="400" w:lineRule="exact"/>
        <w:ind w:firstLine="420" w:firstLineChars="200"/>
        <w:rPr>
          <w:rFonts w:hint="eastAsia" w:ascii="Times New Roman" w:hAnsi="Times New Roman" w:eastAsia="宋体"/>
          <w:color w:val="auto"/>
          <w:sz w:val="21"/>
          <w:szCs w:val="24"/>
          <w:highlight w:val="none"/>
        </w:rPr>
      </w:pPr>
      <w:r>
        <w:rPr>
          <w:rFonts w:hint="eastAsia" w:ascii="Times New Roman" w:hAnsi="Times New Roman" w:eastAsia="宋体"/>
          <w:color w:val="auto"/>
          <w:sz w:val="21"/>
          <w:szCs w:val="24"/>
          <w:highlight w:val="none"/>
          <w:u w:val="none"/>
        </w:rPr>
        <w:t> </w:t>
      </w:r>
      <w:r>
        <w:rPr>
          <w:rFonts w:hint="eastAsia" w:ascii="Times New Roman" w:hAnsi="Times New Roman" w:eastAsia="宋体"/>
          <w:color w:val="auto"/>
          <w:sz w:val="21"/>
          <w:szCs w:val="24"/>
          <w:highlight w:val="none"/>
        </w:rPr>
        <w:t>。</w:t>
      </w:r>
    </w:p>
    <w:p w14:paraId="0F0AF756">
      <w:pPr>
        <w:spacing w:before="120" w:after="120" w:line="400" w:lineRule="exact"/>
        <w:ind w:firstLine="420" w:firstLineChars="200"/>
        <w:rPr>
          <w:rFonts w:hint="eastAsia" w:ascii="Times New Roman" w:hAnsi="Times New Roman" w:eastAsia="宋体"/>
          <w:b w:val="0"/>
          <w:color w:val="auto"/>
          <w:sz w:val="21"/>
          <w:szCs w:val="24"/>
          <w:highlight w:val="none"/>
        </w:rPr>
      </w:pPr>
      <w:bookmarkStart w:id="229" w:name="_Toc351203482"/>
      <w:r>
        <w:rPr>
          <w:rFonts w:hint="eastAsia" w:ascii="Times New Roman" w:hAnsi="Times New Roman" w:eastAsia="宋体"/>
          <w:b w:val="0"/>
          <w:color w:val="auto"/>
          <w:sz w:val="21"/>
          <w:szCs w:val="24"/>
          <w:highlight w:val="none"/>
        </w:rPr>
        <w:t>二、合同工期</w:t>
      </w:r>
      <w:bookmarkEnd w:id="229"/>
    </w:p>
    <w:p w14:paraId="625022EF">
      <w:pPr>
        <w:spacing w:line="400" w:lineRule="exact"/>
        <w:ind w:firstLine="420" w:firstLineChars="200"/>
        <w:rPr>
          <w:rFonts w:hint="eastAsia" w:ascii="Times New Roman" w:hAnsi="Times New Roman" w:eastAsia="宋体"/>
          <w:color w:val="auto"/>
          <w:sz w:val="21"/>
          <w:szCs w:val="24"/>
          <w:highlight w:val="none"/>
        </w:rPr>
      </w:pPr>
      <w:r>
        <w:rPr>
          <w:rFonts w:hint="eastAsia" w:ascii="Times New Roman" w:hAnsi="Times New Roman" w:eastAsia="宋体"/>
          <w:color w:val="auto"/>
          <w:sz w:val="21"/>
          <w:szCs w:val="24"/>
          <w:highlight w:val="none"/>
        </w:rPr>
        <w:t>计划开工日期：</w:t>
      </w:r>
      <w:r>
        <w:rPr>
          <w:rFonts w:hint="eastAsia" w:ascii="Times New Roman" w:hAnsi="Times New Roman" w:eastAsia="宋体"/>
          <w:color w:val="auto"/>
          <w:sz w:val="21"/>
          <w:szCs w:val="24"/>
          <w:highlight w:val="none"/>
          <w:u w:val="none"/>
        </w:rPr>
        <w:t></w:t>
      </w:r>
      <w:r>
        <w:rPr>
          <w:rFonts w:hint="eastAsia" w:ascii="Times New Roman" w:hAnsi="Times New Roman" w:eastAsia="宋体"/>
          <w:color w:val="auto"/>
          <w:sz w:val="21"/>
          <w:szCs w:val="24"/>
          <w:highlight w:val="none"/>
        </w:rPr>
        <w:t>年</w:t>
      </w:r>
      <w:r>
        <w:rPr>
          <w:rFonts w:hint="eastAsia" w:ascii="Times New Roman" w:hAnsi="Times New Roman" w:eastAsia="宋体"/>
          <w:color w:val="auto"/>
          <w:sz w:val="21"/>
          <w:szCs w:val="24"/>
          <w:highlight w:val="none"/>
          <w:u w:val="none"/>
        </w:rPr>
        <w:t></w:t>
      </w:r>
      <w:r>
        <w:rPr>
          <w:rFonts w:hint="eastAsia" w:ascii="Times New Roman" w:hAnsi="Times New Roman" w:eastAsia="宋体"/>
          <w:color w:val="auto"/>
          <w:sz w:val="21"/>
          <w:szCs w:val="24"/>
          <w:highlight w:val="none"/>
        </w:rPr>
        <w:t>月</w:t>
      </w:r>
      <w:r>
        <w:rPr>
          <w:rFonts w:hint="eastAsia" w:ascii="Times New Roman" w:hAnsi="Times New Roman" w:eastAsia="宋体"/>
          <w:color w:val="auto"/>
          <w:sz w:val="21"/>
          <w:szCs w:val="24"/>
          <w:highlight w:val="none"/>
          <w:u w:val="none"/>
        </w:rPr>
        <w:t></w:t>
      </w:r>
      <w:r>
        <w:rPr>
          <w:rFonts w:hint="eastAsia" w:ascii="Times New Roman" w:hAnsi="Times New Roman" w:eastAsia="宋体"/>
          <w:color w:val="auto"/>
          <w:sz w:val="21"/>
          <w:szCs w:val="24"/>
          <w:highlight w:val="none"/>
        </w:rPr>
        <w:t>日。</w:t>
      </w:r>
    </w:p>
    <w:p w14:paraId="46A6B6B1">
      <w:pPr>
        <w:spacing w:line="400" w:lineRule="exact"/>
        <w:ind w:firstLine="420" w:firstLineChars="200"/>
        <w:rPr>
          <w:rFonts w:hint="eastAsia" w:ascii="Times New Roman" w:hAnsi="Times New Roman" w:eastAsia="宋体"/>
          <w:color w:val="auto"/>
          <w:sz w:val="21"/>
          <w:szCs w:val="24"/>
          <w:highlight w:val="none"/>
        </w:rPr>
      </w:pPr>
      <w:r>
        <w:rPr>
          <w:rFonts w:hint="eastAsia" w:ascii="Times New Roman" w:hAnsi="Times New Roman" w:eastAsia="宋体"/>
          <w:color w:val="auto"/>
          <w:sz w:val="21"/>
          <w:szCs w:val="24"/>
          <w:highlight w:val="none"/>
        </w:rPr>
        <w:t>计划竣工日期：</w:t>
      </w:r>
      <w:r>
        <w:rPr>
          <w:rFonts w:hint="eastAsia" w:ascii="Times New Roman" w:hAnsi="Times New Roman" w:eastAsia="宋体"/>
          <w:color w:val="auto"/>
          <w:sz w:val="21"/>
          <w:szCs w:val="24"/>
          <w:highlight w:val="none"/>
          <w:u w:val="none"/>
        </w:rPr>
        <w:t></w:t>
      </w:r>
      <w:r>
        <w:rPr>
          <w:rFonts w:hint="eastAsia" w:ascii="Times New Roman" w:hAnsi="Times New Roman" w:eastAsia="宋体"/>
          <w:color w:val="auto"/>
          <w:sz w:val="21"/>
          <w:szCs w:val="24"/>
          <w:highlight w:val="none"/>
        </w:rPr>
        <w:t>年</w:t>
      </w:r>
      <w:r>
        <w:rPr>
          <w:rFonts w:hint="eastAsia" w:ascii="Times New Roman" w:hAnsi="Times New Roman" w:eastAsia="宋体"/>
          <w:color w:val="auto"/>
          <w:sz w:val="21"/>
          <w:szCs w:val="24"/>
          <w:highlight w:val="none"/>
          <w:u w:val="none"/>
        </w:rPr>
        <w:t></w:t>
      </w:r>
      <w:r>
        <w:rPr>
          <w:rFonts w:hint="eastAsia" w:ascii="Times New Roman" w:hAnsi="Times New Roman" w:eastAsia="宋体"/>
          <w:color w:val="auto"/>
          <w:sz w:val="21"/>
          <w:szCs w:val="24"/>
          <w:highlight w:val="none"/>
        </w:rPr>
        <w:t>月</w:t>
      </w:r>
      <w:r>
        <w:rPr>
          <w:rFonts w:hint="eastAsia" w:ascii="Times New Roman" w:hAnsi="Times New Roman" w:eastAsia="宋体"/>
          <w:color w:val="auto"/>
          <w:sz w:val="21"/>
          <w:szCs w:val="24"/>
          <w:highlight w:val="none"/>
          <w:u w:val="none"/>
        </w:rPr>
        <w:t></w:t>
      </w:r>
      <w:r>
        <w:rPr>
          <w:rFonts w:hint="eastAsia" w:ascii="Times New Roman" w:hAnsi="Times New Roman" w:eastAsia="宋体"/>
          <w:color w:val="auto"/>
          <w:sz w:val="21"/>
          <w:szCs w:val="24"/>
          <w:highlight w:val="none"/>
        </w:rPr>
        <w:t>日。</w:t>
      </w:r>
    </w:p>
    <w:p w14:paraId="6DB3433C">
      <w:pPr>
        <w:spacing w:line="400" w:lineRule="exact"/>
        <w:ind w:firstLine="420" w:firstLineChars="200"/>
        <w:rPr>
          <w:rFonts w:hint="eastAsia" w:ascii="Times New Roman" w:hAnsi="Times New Roman" w:eastAsia="宋体"/>
          <w:color w:val="auto"/>
          <w:sz w:val="21"/>
          <w:szCs w:val="24"/>
          <w:highlight w:val="none"/>
        </w:rPr>
      </w:pPr>
      <w:r>
        <w:rPr>
          <w:rFonts w:hint="eastAsia" w:ascii="Times New Roman" w:hAnsi="Times New Roman" w:eastAsia="宋体"/>
          <w:color w:val="auto"/>
          <w:sz w:val="21"/>
          <w:szCs w:val="24"/>
          <w:highlight w:val="none"/>
        </w:rPr>
        <w:t>工期总日历天数：</w:t>
      </w:r>
      <w:r>
        <w:rPr>
          <w:rFonts w:hint="eastAsia" w:ascii="Times New Roman" w:hAnsi="Times New Roman" w:eastAsia="宋体"/>
          <w:color w:val="auto"/>
          <w:sz w:val="21"/>
          <w:szCs w:val="24"/>
          <w:highlight w:val="none"/>
          <w:u w:val="none"/>
        </w:rPr>
        <w:t></w:t>
      </w:r>
      <w:r>
        <w:rPr>
          <w:rFonts w:hint="eastAsia" w:ascii="Times New Roman" w:hAnsi="Times New Roman" w:eastAsia="宋体"/>
          <w:color w:val="auto"/>
          <w:sz w:val="21"/>
          <w:szCs w:val="24"/>
          <w:highlight w:val="none"/>
        </w:rPr>
        <w:t>天。工期总日历天数与根据前述计划开竣工日期计算的工期天数不一致的，以工期总日历天数为准。</w:t>
      </w:r>
    </w:p>
    <w:p w14:paraId="7B07FA0C">
      <w:pPr>
        <w:spacing w:before="120" w:after="120" w:line="400" w:lineRule="exact"/>
        <w:ind w:firstLine="420" w:firstLineChars="200"/>
        <w:rPr>
          <w:rFonts w:hint="eastAsia" w:ascii="Times New Roman" w:hAnsi="Times New Roman" w:eastAsia="宋体"/>
          <w:bCs w:val="0"/>
          <w:color w:val="auto"/>
          <w:sz w:val="21"/>
          <w:szCs w:val="24"/>
          <w:highlight w:val="none"/>
        </w:rPr>
      </w:pPr>
      <w:r>
        <w:rPr>
          <w:rFonts w:hint="eastAsia" w:ascii="Times New Roman" w:hAnsi="Times New Roman" w:eastAsia="宋体"/>
          <w:bCs w:val="0"/>
          <w:color w:val="auto"/>
          <w:sz w:val="21"/>
          <w:szCs w:val="24"/>
          <w:highlight w:val="none"/>
        </w:rPr>
        <w:t xml:space="preserve">    </w:t>
      </w:r>
      <w:bookmarkStart w:id="230" w:name="_Toc351203483"/>
      <w:r>
        <w:rPr>
          <w:rFonts w:hint="eastAsia" w:ascii="Times New Roman" w:hAnsi="Times New Roman" w:eastAsia="宋体"/>
          <w:b w:val="0"/>
          <w:color w:val="auto"/>
          <w:sz w:val="21"/>
          <w:szCs w:val="24"/>
          <w:highlight w:val="none"/>
        </w:rPr>
        <w:t>三、质量标准</w:t>
      </w:r>
      <w:bookmarkEnd w:id="230"/>
    </w:p>
    <w:p w14:paraId="41D910E3">
      <w:pPr>
        <w:spacing w:line="400" w:lineRule="exact"/>
        <w:ind w:firstLine="420" w:firstLineChars="200"/>
        <w:rPr>
          <w:rFonts w:hint="eastAsia" w:ascii="Times New Roman" w:hAnsi="Times New Roman" w:eastAsia="宋体"/>
          <w:color w:val="auto"/>
          <w:sz w:val="21"/>
          <w:szCs w:val="24"/>
          <w:highlight w:val="none"/>
        </w:rPr>
      </w:pPr>
      <w:r>
        <w:rPr>
          <w:rFonts w:hint="eastAsia" w:ascii="Times New Roman" w:hAnsi="Times New Roman" w:eastAsia="宋体"/>
          <w:color w:val="auto"/>
          <w:sz w:val="21"/>
          <w:szCs w:val="24"/>
          <w:highlight w:val="none"/>
        </w:rPr>
        <w:t>工程质量符合</w:t>
      </w:r>
      <w:r>
        <w:rPr>
          <w:rFonts w:hint="eastAsia" w:ascii="Times New Roman" w:hAnsi="Times New Roman" w:eastAsia="宋体"/>
          <w:color w:val="auto"/>
          <w:sz w:val="21"/>
          <w:szCs w:val="24"/>
          <w:highlight w:val="none"/>
          <w:u w:val="none"/>
        </w:rPr>
        <w:t></w:t>
      </w:r>
      <w:r>
        <w:rPr>
          <w:rFonts w:hint="eastAsia" w:ascii="Times New Roman" w:hAnsi="Times New Roman" w:eastAsia="宋体"/>
          <w:color w:val="auto"/>
          <w:sz w:val="21"/>
          <w:szCs w:val="24"/>
          <w:highlight w:val="none"/>
        </w:rPr>
        <w:t>标准。</w:t>
      </w:r>
    </w:p>
    <w:p w14:paraId="6DC90755">
      <w:pPr>
        <w:spacing w:before="120" w:after="120" w:line="400" w:lineRule="exact"/>
        <w:ind w:firstLine="420" w:firstLineChars="200"/>
        <w:rPr>
          <w:rFonts w:hint="eastAsia" w:ascii="Times New Roman" w:hAnsi="Times New Roman" w:eastAsia="宋体"/>
          <w:bCs w:val="0"/>
          <w:color w:val="auto"/>
          <w:sz w:val="21"/>
          <w:szCs w:val="24"/>
          <w:highlight w:val="none"/>
        </w:rPr>
      </w:pPr>
      <w:r>
        <w:rPr>
          <w:rFonts w:hint="eastAsia" w:ascii="Times New Roman" w:hAnsi="Times New Roman" w:eastAsia="宋体"/>
          <w:bCs w:val="0"/>
          <w:color w:val="auto"/>
          <w:sz w:val="21"/>
          <w:szCs w:val="24"/>
          <w:highlight w:val="none"/>
        </w:rPr>
        <w:t xml:space="preserve">   </w:t>
      </w:r>
      <w:r>
        <w:rPr>
          <w:rFonts w:hint="eastAsia" w:ascii="Times New Roman" w:hAnsi="Times New Roman" w:eastAsia="宋体"/>
          <w:b w:val="0"/>
          <w:color w:val="auto"/>
          <w:sz w:val="21"/>
          <w:szCs w:val="24"/>
          <w:highlight w:val="none"/>
        </w:rPr>
        <w:t xml:space="preserve"> </w:t>
      </w:r>
      <w:bookmarkStart w:id="231" w:name="_Toc351203484"/>
      <w:r>
        <w:rPr>
          <w:rFonts w:hint="eastAsia" w:ascii="Times New Roman" w:hAnsi="Times New Roman" w:eastAsia="宋体"/>
          <w:b w:val="0"/>
          <w:color w:val="auto"/>
          <w:sz w:val="21"/>
          <w:szCs w:val="24"/>
          <w:highlight w:val="none"/>
        </w:rPr>
        <w:t>四、签约合同价与合同价格形式</w:t>
      </w:r>
      <w:bookmarkEnd w:id="231"/>
      <w:r>
        <w:rPr>
          <w:rFonts w:hint="eastAsia" w:ascii="Times New Roman" w:hAnsi="Times New Roman" w:eastAsia="宋体"/>
          <w:b w:val="0"/>
          <w:color w:val="auto"/>
          <w:sz w:val="21"/>
          <w:szCs w:val="24"/>
          <w:highlight w:val="none"/>
        </w:rPr>
        <w:tab/>
      </w:r>
    </w:p>
    <w:p w14:paraId="6A4A6573">
      <w:pPr>
        <w:spacing w:line="400" w:lineRule="exact"/>
        <w:ind w:firstLine="420" w:firstLineChars="200"/>
        <w:rPr>
          <w:rFonts w:hint="eastAsia" w:ascii="Times New Roman" w:hAnsi="Times New Roman" w:eastAsia="宋体"/>
          <w:color w:val="auto"/>
          <w:sz w:val="21"/>
          <w:szCs w:val="24"/>
          <w:highlight w:val="none"/>
        </w:rPr>
      </w:pPr>
      <w:r>
        <w:rPr>
          <w:rFonts w:hint="eastAsia" w:ascii="Times New Roman" w:hAnsi="Times New Roman" w:eastAsia="宋体"/>
          <w:color w:val="auto"/>
          <w:sz w:val="21"/>
          <w:szCs w:val="24"/>
          <w:highlight w:val="none"/>
        </w:rPr>
        <w:t>1.签约合同价为：</w:t>
      </w:r>
    </w:p>
    <w:p w14:paraId="1FAC8186">
      <w:pPr>
        <w:spacing w:line="400" w:lineRule="exact"/>
        <w:ind w:firstLine="420" w:firstLineChars="200"/>
        <w:rPr>
          <w:rFonts w:hint="eastAsia" w:ascii="Times New Roman" w:hAnsi="Times New Roman" w:eastAsia="宋体"/>
          <w:color w:val="auto"/>
          <w:sz w:val="21"/>
          <w:szCs w:val="24"/>
          <w:highlight w:val="none"/>
        </w:rPr>
      </w:pPr>
      <w:r>
        <w:rPr>
          <w:rFonts w:hint="eastAsia" w:ascii="Times New Roman" w:hAnsi="Times New Roman" w:eastAsia="宋体"/>
          <w:color w:val="auto"/>
          <w:sz w:val="21"/>
          <w:szCs w:val="24"/>
          <w:highlight w:val="none"/>
        </w:rPr>
        <w:t>人民币（大写）</w:t>
      </w:r>
      <w:r>
        <w:rPr>
          <w:rFonts w:hint="eastAsia" w:ascii="Times New Roman" w:hAnsi="Times New Roman" w:eastAsia="宋体"/>
          <w:color w:val="auto"/>
          <w:sz w:val="21"/>
          <w:szCs w:val="24"/>
          <w:highlight w:val="none"/>
          <w:u w:val="none"/>
        </w:rPr>
        <w:t xml:space="preserve">                 </w:t>
      </w:r>
      <w:r>
        <w:rPr>
          <w:rFonts w:hint="eastAsia" w:ascii="Times New Roman" w:hAnsi="Times New Roman" w:eastAsia="宋体"/>
          <w:color w:val="auto"/>
          <w:sz w:val="21"/>
          <w:szCs w:val="24"/>
          <w:highlight w:val="none"/>
        </w:rPr>
        <w:t>(¥</w:t>
      </w:r>
      <w:r>
        <w:rPr>
          <w:rFonts w:hint="eastAsia" w:ascii="Times New Roman" w:hAnsi="Times New Roman" w:eastAsia="宋体"/>
          <w:color w:val="auto"/>
          <w:sz w:val="21"/>
          <w:szCs w:val="24"/>
          <w:highlight w:val="none"/>
          <w:u w:val="none"/>
        </w:rPr>
        <w:t xml:space="preserve">            </w:t>
      </w:r>
      <w:r>
        <w:rPr>
          <w:rFonts w:hint="eastAsia" w:ascii="Times New Roman" w:hAnsi="Times New Roman" w:eastAsia="宋体"/>
          <w:color w:val="auto"/>
          <w:sz w:val="21"/>
          <w:szCs w:val="24"/>
          <w:highlight w:val="none"/>
        </w:rPr>
        <w:t>元)；</w:t>
      </w:r>
    </w:p>
    <w:p w14:paraId="30251C91">
      <w:pPr>
        <w:spacing w:line="400" w:lineRule="exact"/>
        <w:ind w:firstLine="420" w:firstLineChars="200"/>
        <w:rPr>
          <w:rFonts w:hint="eastAsia" w:ascii="Times New Roman" w:hAnsi="Times New Roman" w:eastAsia="宋体"/>
          <w:color w:val="auto"/>
          <w:sz w:val="21"/>
          <w:szCs w:val="24"/>
          <w:highlight w:val="none"/>
        </w:rPr>
      </w:pPr>
      <w:r>
        <w:rPr>
          <w:rFonts w:hint="eastAsia" w:ascii="Times New Roman" w:hAnsi="Times New Roman" w:eastAsia="宋体"/>
          <w:color w:val="auto"/>
          <w:sz w:val="21"/>
          <w:szCs w:val="24"/>
          <w:highlight w:val="none"/>
        </w:rPr>
        <w:t>其中：</w:t>
      </w:r>
    </w:p>
    <w:p w14:paraId="0F36092C">
      <w:pPr>
        <w:spacing w:line="400" w:lineRule="exact"/>
        <w:ind w:firstLine="420" w:firstLineChars="200"/>
        <w:rPr>
          <w:rFonts w:hint="eastAsia" w:ascii="Times New Roman" w:hAnsi="Times New Roman" w:eastAsia="宋体"/>
          <w:color w:val="auto"/>
          <w:sz w:val="21"/>
          <w:szCs w:val="24"/>
          <w:highlight w:val="none"/>
        </w:rPr>
      </w:pPr>
      <w:r>
        <w:rPr>
          <w:rFonts w:hint="eastAsia" w:ascii="Times New Roman" w:hAnsi="Times New Roman" w:eastAsia="宋体"/>
          <w:color w:val="auto"/>
          <w:sz w:val="21"/>
          <w:szCs w:val="24"/>
          <w:highlight w:val="none"/>
        </w:rPr>
        <w:t>（1）安全文明施工费：</w:t>
      </w:r>
    </w:p>
    <w:p w14:paraId="11D6837F">
      <w:pPr>
        <w:spacing w:line="400" w:lineRule="exact"/>
        <w:ind w:firstLine="420" w:firstLineChars="200"/>
        <w:rPr>
          <w:rFonts w:hint="eastAsia" w:ascii="Times New Roman" w:hAnsi="Times New Roman" w:eastAsia="宋体"/>
          <w:color w:val="auto"/>
          <w:sz w:val="21"/>
          <w:szCs w:val="24"/>
          <w:highlight w:val="none"/>
        </w:rPr>
      </w:pPr>
      <w:r>
        <w:rPr>
          <w:rFonts w:hint="eastAsia" w:ascii="Times New Roman" w:hAnsi="Times New Roman" w:eastAsia="宋体"/>
          <w:color w:val="auto"/>
          <w:sz w:val="21"/>
          <w:szCs w:val="24"/>
          <w:highlight w:val="none"/>
        </w:rPr>
        <w:t>人民币（大写）</w:t>
      </w:r>
      <w:r>
        <w:rPr>
          <w:rFonts w:hint="eastAsia" w:ascii="Times New Roman" w:hAnsi="Times New Roman" w:eastAsia="宋体"/>
          <w:color w:val="auto"/>
          <w:sz w:val="21"/>
          <w:szCs w:val="24"/>
          <w:highlight w:val="none"/>
          <w:u w:val="none"/>
        </w:rPr>
        <w:t xml:space="preserve">              </w:t>
      </w:r>
      <w:r>
        <w:rPr>
          <w:rFonts w:hint="eastAsia" w:ascii="Times New Roman" w:hAnsi="Times New Roman" w:eastAsia="宋体"/>
          <w:color w:val="auto"/>
          <w:sz w:val="21"/>
          <w:szCs w:val="24"/>
          <w:highlight w:val="none"/>
        </w:rPr>
        <w:t xml:space="preserve"> (¥</w:t>
      </w:r>
      <w:r>
        <w:rPr>
          <w:rFonts w:hint="eastAsia" w:ascii="Times New Roman" w:hAnsi="Times New Roman" w:eastAsia="宋体"/>
          <w:color w:val="auto"/>
          <w:sz w:val="21"/>
          <w:szCs w:val="24"/>
          <w:highlight w:val="none"/>
          <w:u w:val="none"/>
        </w:rPr>
        <w:t xml:space="preserve">          </w:t>
      </w:r>
      <w:r>
        <w:rPr>
          <w:rFonts w:hint="eastAsia" w:ascii="Times New Roman" w:hAnsi="Times New Roman" w:eastAsia="宋体"/>
          <w:color w:val="auto"/>
          <w:sz w:val="21"/>
          <w:szCs w:val="24"/>
          <w:highlight w:val="none"/>
        </w:rPr>
        <w:t>元)；</w:t>
      </w:r>
    </w:p>
    <w:p w14:paraId="78C4CBC3">
      <w:pPr>
        <w:spacing w:line="400" w:lineRule="exact"/>
        <w:ind w:firstLine="420" w:firstLineChars="200"/>
        <w:rPr>
          <w:rFonts w:hint="eastAsia" w:ascii="Times New Roman" w:hAnsi="Times New Roman" w:eastAsia="宋体"/>
          <w:color w:val="auto"/>
          <w:sz w:val="21"/>
          <w:szCs w:val="24"/>
          <w:highlight w:val="none"/>
        </w:rPr>
      </w:pPr>
      <w:r>
        <w:rPr>
          <w:rFonts w:hint="eastAsia" w:ascii="Times New Roman" w:hAnsi="Times New Roman" w:eastAsia="宋体"/>
          <w:color w:val="auto"/>
          <w:sz w:val="21"/>
          <w:szCs w:val="24"/>
          <w:highlight w:val="none"/>
        </w:rPr>
        <w:t>（2）材料和工程设备暂估价金额：</w:t>
      </w:r>
    </w:p>
    <w:p w14:paraId="3A9CD383">
      <w:pPr>
        <w:spacing w:line="400" w:lineRule="exact"/>
        <w:ind w:firstLine="420" w:firstLineChars="200"/>
        <w:rPr>
          <w:rFonts w:hint="eastAsia" w:ascii="Times New Roman" w:hAnsi="Times New Roman" w:eastAsia="宋体"/>
          <w:color w:val="auto"/>
          <w:sz w:val="21"/>
          <w:szCs w:val="24"/>
          <w:highlight w:val="none"/>
        </w:rPr>
      </w:pPr>
      <w:r>
        <w:rPr>
          <w:rFonts w:hint="eastAsia" w:ascii="Times New Roman" w:hAnsi="Times New Roman" w:eastAsia="宋体"/>
          <w:color w:val="auto"/>
          <w:sz w:val="21"/>
          <w:szCs w:val="24"/>
          <w:highlight w:val="none"/>
        </w:rPr>
        <w:t>人民币（大写）</w:t>
      </w:r>
      <w:r>
        <w:rPr>
          <w:rFonts w:hint="eastAsia" w:ascii="Times New Roman" w:hAnsi="Times New Roman" w:eastAsia="宋体"/>
          <w:color w:val="auto"/>
          <w:sz w:val="21"/>
          <w:szCs w:val="24"/>
          <w:highlight w:val="none"/>
          <w:u w:val="none"/>
        </w:rPr>
        <w:t xml:space="preserve">              </w:t>
      </w:r>
      <w:r>
        <w:rPr>
          <w:rFonts w:hint="eastAsia" w:ascii="Times New Roman" w:hAnsi="Times New Roman" w:eastAsia="宋体"/>
          <w:color w:val="auto"/>
          <w:sz w:val="21"/>
          <w:szCs w:val="24"/>
          <w:highlight w:val="none"/>
        </w:rPr>
        <w:t xml:space="preserve"> (¥</w:t>
      </w:r>
      <w:r>
        <w:rPr>
          <w:rFonts w:hint="eastAsia" w:ascii="Times New Roman" w:hAnsi="Times New Roman" w:eastAsia="宋体"/>
          <w:color w:val="auto"/>
          <w:sz w:val="21"/>
          <w:szCs w:val="24"/>
          <w:highlight w:val="none"/>
          <w:u w:val="none"/>
        </w:rPr>
        <w:t xml:space="preserve">          </w:t>
      </w:r>
      <w:r>
        <w:rPr>
          <w:rFonts w:hint="eastAsia" w:ascii="Times New Roman" w:hAnsi="Times New Roman" w:eastAsia="宋体"/>
          <w:color w:val="auto"/>
          <w:sz w:val="21"/>
          <w:szCs w:val="24"/>
          <w:highlight w:val="none"/>
        </w:rPr>
        <w:t>元)；</w:t>
      </w:r>
    </w:p>
    <w:p w14:paraId="32776480">
      <w:pPr>
        <w:spacing w:line="400" w:lineRule="exact"/>
        <w:ind w:firstLine="420" w:firstLineChars="200"/>
        <w:rPr>
          <w:rFonts w:hint="eastAsia" w:ascii="Times New Roman" w:hAnsi="Times New Roman" w:eastAsia="宋体"/>
          <w:color w:val="auto"/>
          <w:sz w:val="21"/>
          <w:szCs w:val="24"/>
          <w:highlight w:val="none"/>
        </w:rPr>
      </w:pPr>
      <w:r>
        <w:rPr>
          <w:rFonts w:hint="eastAsia" w:ascii="Times New Roman" w:hAnsi="Times New Roman" w:eastAsia="宋体"/>
          <w:color w:val="auto"/>
          <w:sz w:val="21"/>
          <w:szCs w:val="24"/>
          <w:highlight w:val="none"/>
        </w:rPr>
        <w:t>（3）专业工程暂估价金额：</w:t>
      </w:r>
    </w:p>
    <w:p w14:paraId="20B22BB0">
      <w:pPr>
        <w:spacing w:line="400" w:lineRule="exact"/>
        <w:ind w:firstLine="420" w:firstLineChars="200"/>
        <w:rPr>
          <w:rFonts w:hint="eastAsia" w:ascii="Times New Roman" w:hAnsi="Times New Roman" w:eastAsia="宋体"/>
          <w:color w:val="auto"/>
          <w:sz w:val="21"/>
          <w:szCs w:val="24"/>
          <w:highlight w:val="none"/>
        </w:rPr>
      </w:pPr>
      <w:r>
        <w:rPr>
          <w:rFonts w:hint="eastAsia" w:ascii="Times New Roman" w:hAnsi="Times New Roman" w:eastAsia="宋体"/>
          <w:color w:val="auto"/>
          <w:sz w:val="21"/>
          <w:szCs w:val="24"/>
          <w:highlight w:val="none"/>
        </w:rPr>
        <w:t>人民币（大写）</w:t>
      </w:r>
      <w:r>
        <w:rPr>
          <w:rFonts w:hint="eastAsia" w:ascii="Times New Roman" w:hAnsi="Times New Roman" w:eastAsia="宋体"/>
          <w:color w:val="auto"/>
          <w:sz w:val="21"/>
          <w:szCs w:val="24"/>
          <w:highlight w:val="none"/>
          <w:u w:val="none"/>
        </w:rPr>
        <w:t xml:space="preserve">              </w:t>
      </w:r>
      <w:r>
        <w:rPr>
          <w:rFonts w:hint="eastAsia" w:ascii="Times New Roman" w:hAnsi="Times New Roman" w:eastAsia="宋体"/>
          <w:color w:val="auto"/>
          <w:sz w:val="21"/>
          <w:szCs w:val="24"/>
          <w:highlight w:val="none"/>
        </w:rPr>
        <w:t xml:space="preserve"> (¥</w:t>
      </w:r>
      <w:r>
        <w:rPr>
          <w:rFonts w:hint="eastAsia" w:ascii="Times New Roman" w:hAnsi="Times New Roman" w:eastAsia="宋体"/>
          <w:color w:val="auto"/>
          <w:sz w:val="21"/>
          <w:szCs w:val="24"/>
          <w:highlight w:val="none"/>
          <w:u w:val="none"/>
        </w:rPr>
        <w:t xml:space="preserve">          </w:t>
      </w:r>
      <w:r>
        <w:rPr>
          <w:rFonts w:hint="eastAsia" w:ascii="Times New Roman" w:hAnsi="Times New Roman" w:eastAsia="宋体"/>
          <w:color w:val="auto"/>
          <w:sz w:val="21"/>
          <w:szCs w:val="24"/>
          <w:highlight w:val="none"/>
        </w:rPr>
        <w:t>元)；</w:t>
      </w:r>
    </w:p>
    <w:p w14:paraId="38D31081">
      <w:pPr>
        <w:spacing w:line="400" w:lineRule="exact"/>
        <w:ind w:firstLine="420" w:firstLineChars="200"/>
        <w:rPr>
          <w:rFonts w:hint="eastAsia" w:ascii="Times New Roman" w:hAnsi="Times New Roman" w:eastAsia="宋体"/>
          <w:color w:val="auto"/>
          <w:sz w:val="21"/>
          <w:szCs w:val="24"/>
          <w:highlight w:val="none"/>
        </w:rPr>
      </w:pPr>
      <w:r>
        <w:rPr>
          <w:rFonts w:hint="eastAsia" w:ascii="Times New Roman" w:hAnsi="Times New Roman" w:eastAsia="宋体"/>
          <w:color w:val="auto"/>
          <w:sz w:val="21"/>
          <w:szCs w:val="24"/>
          <w:highlight w:val="none"/>
        </w:rPr>
        <w:t>（4）暂列金额：</w:t>
      </w:r>
    </w:p>
    <w:p w14:paraId="7FF6970A">
      <w:pPr>
        <w:spacing w:line="400" w:lineRule="exact"/>
        <w:ind w:firstLine="420" w:firstLineChars="200"/>
        <w:rPr>
          <w:rFonts w:hint="eastAsia" w:ascii="Times New Roman" w:hAnsi="Times New Roman" w:eastAsia="宋体"/>
          <w:color w:val="auto"/>
          <w:sz w:val="21"/>
          <w:szCs w:val="24"/>
          <w:highlight w:val="none"/>
        </w:rPr>
      </w:pPr>
      <w:r>
        <w:rPr>
          <w:rFonts w:hint="eastAsia" w:ascii="Times New Roman" w:hAnsi="Times New Roman" w:eastAsia="宋体"/>
          <w:color w:val="auto"/>
          <w:sz w:val="21"/>
          <w:szCs w:val="24"/>
          <w:highlight w:val="none"/>
        </w:rPr>
        <w:t>人民币（大写）</w:t>
      </w:r>
      <w:r>
        <w:rPr>
          <w:rFonts w:hint="eastAsia" w:ascii="Times New Roman" w:hAnsi="Times New Roman" w:eastAsia="宋体"/>
          <w:color w:val="auto"/>
          <w:sz w:val="21"/>
          <w:szCs w:val="24"/>
          <w:highlight w:val="none"/>
          <w:u w:val="none"/>
        </w:rPr>
        <w:t xml:space="preserve">              </w:t>
      </w:r>
      <w:r>
        <w:rPr>
          <w:rFonts w:hint="eastAsia" w:ascii="Times New Roman" w:hAnsi="Times New Roman" w:eastAsia="宋体"/>
          <w:color w:val="auto"/>
          <w:sz w:val="21"/>
          <w:szCs w:val="24"/>
          <w:highlight w:val="none"/>
        </w:rPr>
        <w:t xml:space="preserve"> (¥</w:t>
      </w:r>
      <w:r>
        <w:rPr>
          <w:rFonts w:hint="eastAsia" w:ascii="Times New Roman" w:hAnsi="Times New Roman" w:eastAsia="宋体"/>
          <w:color w:val="auto"/>
          <w:sz w:val="21"/>
          <w:szCs w:val="24"/>
          <w:highlight w:val="none"/>
          <w:u w:val="none"/>
        </w:rPr>
        <w:t xml:space="preserve">          </w:t>
      </w:r>
      <w:r>
        <w:rPr>
          <w:rFonts w:hint="eastAsia" w:ascii="Times New Roman" w:hAnsi="Times New Roman" w:eastAsia="宋体"/>
          <w:color w:val="auto"/>
          <w:sz w:val="21"/>
          <w:szCs w:val="24"/>
          <w:highlight w:val="none"/>
        </w:rPr>
        <w:t>元)。</w:t>
      </w:r>
    </w:p>
    <w:p w14:paraId="68331BDE">
      <w:pPr>
        <w:spacing w:line="400" w:lineRule="exact"/>
        <w:ind w:firstLine="420" w:firstLineChars="200"/>
        <w:rPr>
          <w:rFonts w:hint="eastAsia" w:ascii="Times New Roman" w:hAnsi="Times New Roman" w:eastAsia="宋体"/>
          <w:color w:val="auto"/>
          <w:sz w:val="21"/>
          <w:szCs w:val="24"/>
          <w:highlight w:val="none"/>
        </w:rPr>
      </w:pPr>
      <w:r>
        <w:rPr>
          <w:rFonts w:hint="eastAsia" w:ascii="Times New Roman" w:hAnsi="Times New Roman" w:eastAsia="宋体"/>
          <w:color w:val="auto"/>
          <w:sz w:val="21"/>
          <w:szCs w:val="24"/>
          <w:highlight w:val="none"/>
        </w:rPr>
        <w:t>2.合同价格形式：</w:t>
      </w:r>
      <w:r>
        <w:rPr>
          <w:rFonts w:hint="eastAsia" w:ascii="Times New Roman" w:hAnsi="Times New Roman" w:eastAsia="宋体"/>
          <w:color w:val="auto"/>
          <w:sz w:val="21"/>
          <w:szCs w:val="24"/>
          <w:highlight w:val="none"/>
          <w:u w:val="none"/>
        </w:rPr>
        <w:t>                      </w:t>
      </w:r>
      <w:r>
        <w:rPr>
          <w:rFonts w:hint="eastAsia" w:ascii="Times New Roman" w:hAnsi="Times New Roman" w:eastAsia="宋体"/>
          <w:color w:val="auto"/>
          <w:sz w:val="21"/>
          <w:szCs w:val="24"/>
          <w:highlight w:val="none"/>
        </w:rPr>
        <w:t>。</w:t>
      </w:r>
    </w:p>
    <w:p w14:paraId="44200F06">
      <w:pPr>
        <w:spacing w:before="120" w:after="120" w:line="400" w:lineRule="exact"/>
        <w:ind w:firstLine="420" w:firstLineChars="200"/>
        <w:rPr>
          <w:rFonts w:hint="eastAsia" w:ascii="Times New Roman" w:hAnsi="Times New Roman" w:eastAsia="宋体"/>
          <w:b w:val="0"/>
          <w:color w:val="auto"/>
          <w:sz w:val="21"/>
          <w:szCs w:val="24"/>
          <w:highlight w:val="none"/>
        </w:rPr>
      </w:pPr>
      <w:r>
        <w:rPr>
          <w:rFonts w:hint="eastAsia" w:ascii="Times New Roman" w:hAnsi="Times New Roman" w:eastAsia="宋体"/>
          <w:bCs w:val="0"/>
          <w:color w:val="auto"/>
          <w:sz w:val="21"/>
          <w:szCs w:val="24"/>
          <w:highlight w:val="none"/>
        </w:rPr>
        <w:t xml:space="preserve">   </w:t>
      </w:r>
      <w:r>
        <w:rPr>
          <w:rFonts w:hint="eastAsia" w:ascii="Times New Roman" w:hAnsi="Times New Roman" w:eastAsia="宋体"/>
          <w:b w:val="0"/>
          <w:color w:val="auto"/>
          <w:sz w:val="21"/>
          <w:szCs w:val="24"/>
          <w:highlight w:val="none"/>
        </w:rPr>
        <w:t xml:space="preserve"> </w:t>
      </w:r>
      <w:bookmarkStart w:id="232" w:name="_Toc351203485"/>
      <w:r>
        <w:rPr>
          <w:rFonts w:hint="eastAsia" w:ascii="Times New Roman" w:hAnsi="Times New Roman" w:eastAsia="宋体"/>
          <w:b w:val="0"/>
          <w:color w:val="auto"/>
          <w:sz w:val="21"/>
          <w:szCs w:val="24"/>
          <w:highlight w:val="none"/>
        </w:rPr>
        <w:t>五、</w:t>
      </w:r>
      <w:bookmarkEnd w:id="232"/>
      <w:r>
        <w:rPr>
          <w:rFonts w:hint="eastAsia" w:ascii="Times New Roman" w:hAnsi="Times New Roman" w:eastAsia="宋体"/>
          <w:b w:val="0"/>
          <w:color w:val="auto"/>
          <w:sz w:val="21"/>
          <w:szCs w:val="24"/>
          <w:highlight w:val="none"/>
        </w:rPr>
        <w:t>项目经理</w:t>
      </w:r>
    </w:p>
    <w:p w14:paraId="15332154">
      <w:pPr>
        <w:spacing w:line="400" w:lineRule="exact"/>
        <w:ind w:firstLine="420" w:firstLineChars="200"/>
        <w:rPr>
          <w:rFonts w:hint="eastAsia" w:ascii="Times New Roman" w:hAnsi="Times New Roman" w:eastAsia="宋体"/>
          <w:color w:val="auto"/>
          <w:sz w:val="21"/>
          <w:szCs w:val="24"/>
          <w:highlight w:val="none"/>
        </w:rPr>
      </w:pPr>
      <w:r>
        <w:rPr>
          <w:rFonts w:hint="eastAsia" w:ascii="Times New Roman" w:hAnsi="Times New Roman" w:eastAsia="宋体"/>
          <w:color w:val="auto"/>
          <w:sz w:val="21"/>
          <w:szCs w:val="24"/>
          <w:highlight w:val="none"/>
        </w:rPr>
        <w:t>承包人项目经理：</w:t>
      </w:r>
      <w:r>
        <w:rPr>
          <w:rFonts w:hint="eastAsia" w:ascii="Times New Roman" w:hAnsi="Times New Roman" w:eastAsia="宋体"/>
          <w:color w:val="auto"/>
          <w:sz w:val="21"/>
          <w:szCs w:val="24"/>
          <w:highlight w:val="none"/>
          <w:u w:val="none"/>
        </w:rPr>
        <w:t>                     </w:t>
      </w:r>
      <w:r>
        <w:rPr>
          <w:rFonts w:hint="eastAsia" w:ascii="Times New Roman" w:hAnsi="Times New Roman" w:eastAsia="宋体"/>
          <w:color w:val="auto"/>
          <w:sz w:val="21"/>
          <w:szCs w:val="24"/>
          <w:highlight w:val="none"/>
        </w:rPr>
        <w:t>。</w:t>
      </w:r>
    </w:p>
    <w:p w14:paraId="31176AD5">
      <w:pPr>
        <w:spacing w:before="120" w:after="120" w:line="400" w:lineRule="exact"/>
        <w:ind w:firstLine="420" w:firstLineChars="200"/>
        <w:rPr>
          <w:rFonts w:hint="eastAsia" w:ascii="Times New Roman" w:hAnsi="Times New Roman" w:eastAsia="宋体"/>
          <w:bCs w:val="0"/>
          <w:color w:val="auto"/>
          <w:sz w:val="21"/>
          <w:szCs w:val="24"/>
          <w:highlight w:val="none"/>
        </w:rPr>
      </w:pPr>
      <w:r>
        <w:rPr>
          <w:rFonts w:hint="eastAsia" w:ascii="Times New Roman" w:hAnsi="Times New Roman" w:eastAsia="宋体"/>
          <w:bCs w:val="0"/>
          <w:color w:val="auto"/>
          <w:sz w:val="21"/>
          <w:szCs w:val="24"/>
          <w:highlight w:val="none"/>
        </w:rPr>
        <w:t xml:space="preserve">   </w:t>
      </w:r>
      <w:r>
        <w:rPr>
          <w:rFonts w:hint="eastAsia" w:ascii="Times New Roman" w:hAnsi="Times New Roman" w:eastAsia="宋体"/>
          <w:b w:val="0"/>
          <w:color w:val="auto"/>
          <w:sz w:val="21"/>
          <w:szCs w:val="24"/>
          <w:highlight w:val="none"/>
        </w:rPr>
        <w:t xml:space="preserve"> </w:t>
      </w:r>
      <w:bookmarkStart w:id="233" w:name="_Toc351203486"/>
      <w:r>
        <w:rPr>
          <w:rFonts w:hint="eastAsia" w:ascii="Times New Roman" w:hAnsi="Times New Roman" w:eastAsia="宋体"/>
          <w:b w:val="0"/>
          <w:color w:val="auto"/>
          <w:sz w:val="21"/>
          <w:szCs w:val="24"/>
          <w:highlight w:val="none"/>
        </w:rPr>
        <w:t>六、合同文件构成</w:t>
      </w:r>
      <w:bookmarkEnd w:id="233"/>
    </w:p>
    <w:p w14:paraId="2E2139AC">
      <w:pPr>
        <w:spacing w:line="400" w:lineRule="exact"/>
        <w:ind w:firstLine="420" w:firstLineChars="200"/>
        <w:rPr>
          <w:rFonts w:hint="eastAsia" w:ascii="Times New Roman" w:hAnsi="Times New Roman" w:eastAsia="宋体"/>
          <w:bCs w:val="0"/>
          <w:color w:val="auto"/>
          <w:sz w:val="21"/>
          <w:szCs w:val="24"/>
          <w:highlight w:val="none"/>
        </w:rPr>
      </w:pPr>
      <w:r>
        <w:rPr>
          <w:rFonts w:hint="eastAsia" w:ascii="Times New Roman" w:hAnsi="Times New Roman" w:eastAsia="宋体"/>
          <w:bCs w:val="0"/>
          <w:color w:val="auto"/>
          <w:sz w:val="21"/>
          <w:szCs w:val="24"/>
          <w:highlight w:val="none"/>
        </w:rPr>
        <w:t>本协议书与下列文件一起构成合同文件：</w:t>
      </w:r>
    </w:p>
    <w:p w14:paraId="0DF98089">
      <w:pPr>
        <w:autoSpaceDE/>
        <w:autoSpaceDN/>
        <w:adjustRightInd/>
        <w:spacing w:line="400" w:lineRule="exact"/>
        <w:ind w:firstLine="420" w:firstLineChars="200"/>
        <w:jc w:val="left"/>
        <w:rPr>
          <w:rFonts w:hint="eastAsia" w:ascii="Times New Roman" w:hAnsi="Times New Roman" w:eastAsia="宋体"/>
          <w:color w:val="auto"/>
          <w:sz w:val="21"/>
          <w:szCs w:val="24"/>
          <w:highlight w:val="none"/>
        </w:rPr>
      </w:pPr>
      <w:r>
        <w:rPr>
          <w:rFonts w:hint="eastAsia" w:ascii="Times New Roman" w:hAnsi="Times New Roman" w:eastAsia="宋体"/>
          <w:color w:val="auto"/>
          <w:sz w:val="21"/>
          <w:szCs w:val="24"/>
          <w:highlight w:val="none"/>
        </w:rPr>
        <w:t>（1）中标通知书（如果有）；</w:t>
      </w:r>
    </w:p>
    <w:p w14:paraId="2564B3B8">
      <w:pPr>
        <w:autoSpaceDE/>
        <w:autoSpaceDN/>
        <w:adjustRightInd/>
        <w:spacing w:line="400" w:lineRule="exact"/>
        <w:ind w:firstLine="420" w:firstLineChars="200"/>
        <w:jc w:val="left"/>
        <w:rPr>
          <w:rFonts w:hint="eastAsia" w:ascii="Times New Roman" w:hAnsi="Times New Roman" w:eastAsia="宋体"/>
          <w:color w:val="auto"/>
          <w:sz w:val="21"/>
          <w:szCs w:val="24"/>
          <w:highlight w:val="none"/>
        </w:rPr>
      </w:pPr>
      <w:r>
        <w:rPr>
          <w:rFonts w:hint="eastAsia" w:ascii="Times New Roman" w:hAnsi="Times New Roman" w:eastAsia="宋体"/>
          <w:color w:val="auto"/>
          <w:sz w:val="21"/>
          <w:szCs w:val="24"/>
          <w:highlight w:val="none"/>
        </w:rPr>
        <w:t xml:space="preserve">（2）投标函及其附录（如果有）； </w:t>
      </w:r>
    </w:p>
    <w:p w14:paraId="15CB6ADC">
      <w:pPr>
        <w:autoSpaceDE/>
        <w:autoSpaceDN/>
        <w:adjustRightInd/>
        <w:spacing w:line="400" w:lineRule="exact"/>
        <w:ind w:firstLine="420" w:firstLineChars="200"/>
        <w:jc w:val="left"/>
        <w:rPr>
          <w:rFonts w:hint="eastAsia" w:ascii="Times New Roman" w:hAnsi="Times New Roman" w:eastAsia="宋体"/>
          <w:color w:val="auto"/>
          <w:sz w:val="21"/>
          <w:szCs w:val="24"/>
          <w:highlight w:val="none"/>
        </w:rPr>
      </w:pPr>
      <w:r>
        <w:rPr>
          <w:rFonts w:hint="eastAsia" w:ascii="Times New Roman" w:hAnsi="Times New Roman" w:eastAsia="宋体"/>
          <w:color w:val="auto"/>
          <w:sz w:val="21"/>
          <w:szCs w:val="24"/>
          <w:highlight w:val="none"/>
        </w:rPr>
        <w:t>（3）专用合同条款及其附件；</w:t>
      </w:r>
    </w:p>
    <w:p w14:paraId="315178EB">
      <w:pPr>
        <w:autoSpaceDE/>
        <w:autoSpaceDN/>
        <w:adjustRightInd/>
        <w:spacing w:line="400" w:lineRule="exact"/>
        <w:ind w:firstLine="420" w:firstLineChars="200"/>
        <w:jc w:val="left"/>
        <w:rPr>
          <w:rFonts w:hint="eastAsia" w:ascii="Times New Roman" w:hAnsi="Times New Roman" w:eastAsia="宋体"/>
          <w:color w:val="auto"/>
          <w:sz w:val="21"/>
          <w:szCs w:val="24"/>
          <w:highlight w:val="none"/>
        </w:rPr>
      </w:pPr>
      <w:r>
        <w:rPr>
          <w:rFonts w:hint="eastAsia" w:ascii="Times New Roman" w:hAnsi="Times New Roman" w:eastAsia="宋体"/>
          <w:color w:val="auto"/>
          <w:sz w:val="21"/>
          <w:szCs w:val="24"/>
          <w:highlight w:val="none"/>
        </w:rPr>
        <w:t>（4）通用合同条款；</w:t>
      </w:r>
    </w:p>
    <w:p w14:paraId="26FD6385">
      <w:pPr>
        <w:autoSpaceDE/>
        <w:autoSpaceDN/>
        <w:adjustRightInd/>
        <w:spacing w:line="400" w:lineRule="exact"/>
        <w:ind w:firstLine="420" w:firstLineChars="200"/>
        <w:jc w:val="left"/>
        <w:rPr>
          <w:rFonts w:hint="eastAsia" w:ascii="Times New Roman" w:hAnsi="Times New Roman" w:eastAsia="宋体"/>
          <w:color w:val="auto"/>
          <w:sz w:val="21"/>
          <w:szCs w:val="24"/>
          <w:highlight w:val="none"/>
        </w:rPr>
      </w:pPr>
      <w:r>
        <w:rPr>
          <w:rFonts w:hint="eastAsia" w:ascii="Times New Roman" w:hAnsi="Times New Roman" w:eastAsia="宋体"/>
          <w:color w:val="auto"/>
          <w:sz w:val="21"/>
          <w:szCs w:val="24"/>
          <w:highlight w:val="none"/>
        </w:rPr>
        <w:t>（5）技术标准和要求；</w:t>
      </w:r>
    </w:p>
    <w:p w14:paraId="3FAA1300">
      <w:pPr>
        <w:autoSpaceDE/>
        <w:autoSpaceDN/>
        <w:adjustRightInd/>
        <w:spacing w:line="400" w:lineRule="exact"/>
        <w:ind w:firstLine="420" w:firstLineChars="200"/>
        <w:jc w:val="left"/>
        <w:rPr>
          <w:rFonts w:hint="eastAsia" w:ascii="Times New Roman" w:hAnsi="Times New Roman" w:eastAsia="宋体"/>
          <w:color w:val="auto"/>
          <w:sz w:val="21"/>
          <w:szCs w:val="24"/>
          <w:highlight w:val="none"/>
        </w:rPr>
      </w:pPr>
      <w:r>
        <w:rPr>
          <w:rFonts w:hint="eastAsia" w:ascii="Times New Roman" w:hAnsi="Times New Roman" w:eastAsia="宋体"/>
          <w:color w:val="auto"/>
          <w:sz w:val="21"/>
          <w:szCs w:val="24"/>
          <w:highlight w:val="none"/>
        </w:rPr>
        <w:t>（6）图纸；</w:t>
      </w:r>
    </w:p>
    <w:p w14:paraId="1834C0A6">
      <w:pPr>
        <w:autoSpaceDE/>
        <w:autoSpaceDN/>
        <w:adjustRightInd/>
        <w:spacing w:line="400" w:lineRule="exact"/>
        <w:ind w:firstLine="420" w:firstLineChars="200"/>
        <w:jc w:val="left"/>
        <w:rPr>
          <w:rFonts w:hint="eastAsia" w:ascii="Times New Roman" w:hAnsi="Times New Roman" w:eastAsia="宋体"/>
          <w:color w:val="auto"/>
          <w:sz w:val="21"/>
          <w:szCs w:val="24"/>
          <w:highlight w:val="none"/>
        </w:rPr>
      </w:pPr>
      <w:r>
        <w:rPr>
          <w:rFonts w:hint="eastAsia" w:ascii="Times New Roman" w:hAnsi="Times New Roman" w:eastAsia="宋体"/>
          <w:color w:val="auto"/>
          <w:sz w:val="21"/>
          <w:szCs w:val="24"/>
          <w:highlight w:val="none"/>
        </w:rPr>
        <w:t>（7）已标价工程量清单或预算书；</w:t>
      </w:r>
    </w:p>
    <w:p w14:paraId="5714F29A">
      <w:pPr>
        <w:autoSpaceDE/>
        <w:autoSpaceDN/>
        <w:adjustRightInd/>
        <w:spacing w:line="400" w:lineRule="exact"/>
        <w:ind w:firstLine="420" w:firstLineChars="200"/>
        <w:jc w:val="left"/>
        <w:rPr>
          <w:rFonts w:hint="eastAsia" w:ascii="Times New Roman" w:hAnsi="Times New Roman" w:eastAsia="宋体"/>
          <w:color w:val="auto"/>
          <w:sz w:val="21"/>
          <w:szCs w:val="24"/>
          <w:highlight w:val="none"/>
        </w:rPr>
      </w:pPr>
      <w:r>
        <w:rPr>
          <w:rFonts w:hint="eastAsia" w:ascii="Times New Roman" w:hAnsi="Times New Roman" w:eastAsia="宋体"/>
          <w:color w:val="auto"/>
          <w:sz w:val="21"/>
          <w:szCs w:val="24"/>
          <w:highlight w:val="none"/>
        </w:rPr>
        <w:t>（8）其他合同文件。</w:t>
      </w:r>
    </w:p>
    <w:p w14:paraId="6FDA22FE">
      <w:pPr>
        <w:autoSpaceDE/>
        <w:autoSpaceDN/>
        <w:adjustRightInd/>
        <w:spacing w:line="400" w:lineRule="exact"/>
        <w:ind w:firstLine="420" w:firstLineChars="200"/>
        <w:jc w:val="left"/>
        <w:rPr>
          <w:rFonts w:hint="eastAsia" w:ascii="Times New Roman" w:hAnsi="Times New Roman" w:eastAsia="宋体"/>
          <w:color w:val="auto"/>
          <w:sz w:val="21"/>
          <w:szCs w:val="24"/>
          <w:highlight w:val="none"/>
        </w:rPr>
      </w:pPr>
      <w:r>
        <w:rPr>
          <w:rFonts w:hint="eastAsia" w:ascii="Times New Roman" w:hAnsi="Times New Roman" w:eastAsia="宋体"/>
          <w:color w:val="auto"/>
          <w:sz w:val="21"/>
          <w:szCs w:val="24"/>
          <w:highlight w:val="none"/>
        </w:rPr>
        <w:t>在合同订立及履行过程中形成的与合同有关的文件均构成合同文件组成部分。</w:t>
      </w:r>
    </w:p>
    <w:p w14:paraId="6B3FDA88">
      <w:pPr>
        <w:autoSpaceDE/>
        <w:autoSpaceDN/>
        <w:adjustRightInd/>
        <w:spacing w:line="400" w:lineRule="exact"/>
        <w:ind w:firstLine="420" w:firstLineChars="200"/>
        <w:jc w:val="left"/>
        <w:rPr>
          <w:rFonts w:hint="eastAsia" w:ascii="Times New Roman" w:hAnsi="Times New Roman" w:eastAsia="宋体"/>
          <w:color w:val="auto"/>
          <w:sz w:val="21"/>
          <w:szCs w:val="24"/>
          <w:highlight w:val="none"/>
        </w:rPr>
      </w:pPr>
      <w:r>
        <w:rPr>
          <w:rFonts w:hint="eastAsia" w:ascii="Times New Roman" w:hAnsi="Times New Roman" w:eastAsia="宋体"/>
          <w:color w:val="auto"/>
          <w:sz w:val="21"/>
          <w:szCs w:val="24"/>
          <w:highlight w:val="none"/>
        </w:rPr>
        <w:t>上述各项合同文件包括合同当事人就该项合同文件所作出的补充和修改，属于同一类内容的文件，应以最新签署的为准。专用合同条款及其附件须经合同当事人签字或盖章。</w:t>
      </w:r>
    </w:p>
    <w:p w14:paraId="30A5F760">
      <w:pPr>
        <w:spacing w:before="120" w:after="120" w:line="400" w:lineRule="exact"/>
        <w:ind w:firstLine="420" w:firstLineChars="200"/>
        <w:rPr>
          <w:rFonts w:hint="eastAsia" w:ascii="Times New Roman" w:hAnsi="Times New Roman" w:eastAsia="宋体"/>
          <w:b w:val="0"/>
          <w:bCs w:val="0"/>
          <w:color w:val="auto"/>
          <w:sz w:val="21"/>
          <w:szCs w:val="24"/>
          <w:highlight w:val="none"/>
        </w:rPr>
      </w:pPr>
      <w:r>
        <w:rPr>
          <w:rFonts w:hint="eastAsia" w:ascii="Times New Roman" w:hAnsi="Times New Roman" w:eastAsia="宋体"/>
          <w:b w:val="0"/>
          <w:bCs w:val="0"/>
          <w:color w:val="auto"/>
          <w:sz w:val="21"/>
          <w:szCs w:val="24"/>
          <w:highlight w:val="none"/>
        </w:rPr>
        <w:t xml:space="preserve">   </w:t>
      </w:r>
      <w:r>
        <w:rPr>
          <w:rFonts w:hint="eastAsia" w:ascii="Times New Roman" w:hAnsi="Times New Roman" w:eastAsia="宋体"/>
          <w:b w:val="0"/>
          <w:color w:val="auto"/>
          <w:sz w:val="21"/>
          <w:szCs w:val="24"/>
          <w:highlight w:val="none"/>
        </w:rPr>
        <w:t xml:space="preserve"> </w:t>
      </w:r>
      <w:bookmarkStart w:id="234" w:name="_Toc351203487"/>
      <w:r>
        <w:rPr>
          <w:rFonts w:hint="eastAsia" w:ascii="Times New Roman" w:hAnsi="Times New Roman" w:eastAsia="宋体"/>
          <w:b w:val="0"/>
          <w:color w:val="auto"/>
          <w:sz w:val="21"/>
          <w:szCs w:val="24"/>
          <w:highlight w:val="none"/>
        </w:rPr>
        <w:t>七、承诺</w:t>
      </w:r>
      <w:bookmarkEnd w:id="234"/>
    </w:p>
    <w:p w14:paraId="4367D87D">
      <w:pPr>
        <w:spacing w:line="400" w:lineRule="exact"/>
        <w:ind w:firstLine="420" w:firstLineChars="200"/>
        <w:rPr>
          <w:rFonts w:hint="eastAsia" w:ascii="Times New Roman" w:hAnsi="Times New Roman" w:eastAsia="宋体"/>
          <w:bCs w:val="0"/>
          <w:color w:val="auto"/>
          <w:sz w:val="21"/>
          <w:szCs w:val="24"/>
          <w:highlight w:val="none"/>
        </w:rPr>
      </w:pPr>
      <w:r>
        <w:rPr>
          <w:rFonts w:hint="eastAsia" w:ascii="Times New Roman" w:hAnsi="Times New Roman" w:eastAsia="宋体"/>
          <w:bCs w:val="0"/>
          <w:color w:val="auto"/>
          <w:sz w:val="21"/>
          <w:szCs w:val="24"/>
          <w:highlight w:val="none"/>
        </w:rPr>
        <w:t>1.发包人承诺按照法律规定履行项目审批手续、筹集工程建设资金并按照合同约定的期限和方式支付合同价款。</w:t>
      </w:r>
    </w:p>
    <w:p w14:paraId="44B9376C">
      <w:pPr>
        <w:spacing w:line="400" w:lineRule="exact"/>
        <w:ind w:firstLine="420" w:firstLineChars="200"/>
        <w:rPr>
          <w:rFonts w:hint="eastAsia" w:ascii="Times New Roman" w:hAnsi="Times New Roman" w:eastAsia="宋体"/>
          <w:bCs w:val="0"/>
          <w:color w:val="auto"/>
          <w:sz w:val="21"/>
          <w:szCs w:val="24"/>
          <w:highlight w:val="none"/>
        </w:rPr>
      </w:pPr>
      <w:r>
        <w:rPr>
          <w:rFonts w:hint="eastAsia" w:ascii="Times New Roman" w:hAnsi="Times New Roman" w:eastAsia="宋体"/>
          <w:bCs w:val="0"/>
          <w:color w:val="auto"/>
          <w:sz w:val="21"/>
          <w:szCs w:val="24"/>
          <w:highlight w:val="none"/>
        </w:rPr>
        <w:t>2.承包人承诺按照法律规定及合同约定组织完成工程施工，确保工程质量和安全，不进行转包及违法分包，并在缺陷责任期及保修期内承担相应的工程维修责任。</w:t>
      </w:r>
    </w:p>
    <w:p w14:paraId="4EE6CBCB">
      <w:pPr>
        <w:spacing w:line="400" w:lineRule="exact"/>
        <w:ind w:firstLine="420" w:firstLineChars="200"/>
        <w:rPr>
          <w:rFonts w:hint="eastAsia" w:ascii="Times New Roman" w:hAnsi="Times New Roman" w:eastAsia="宋体"/>
          <w:bCs w:val="0"/>
          <w:color w:val="auto"/>
          <w:sz w:val="21"/>
          <w:szCs w:val="24"/>
          <w:highlight w:val="none"/>
        </w:rPr>
      </w:pPr>
      <w:r>
        <w:rPr>
          <w:rFonts w:hint="eastAsia" w:ascii="Times New Roman" w:hAnsi="Times New Roman" w:eastAsia="宋体"/>
          <w:bCs w:val="0"/>
          <w:color w:val="auto"/>
          <w:sz w:val="21"/>
          <w:szCs w:val="24"/>
          <w:highlight w:val="none"/>
        </w:rPr>
        <w:t>3.发包人和承包人通过招投标形式签订合同的，双方理解并承诺不再就同一工程另行签订与合同实质性内容相背离的协议。</w:t>
      </w:r>
    </w:p>
    <w:p w14:paraId="59528879">
      <w:pPr>
        <w:spacing w:line="400" w:lineRule="exact"/>
        <w:ind w:firstLine="420" w:firstLineChars="200"/>
        <w:rPr>
          <w:rFonts w:hint="eastAsia" w:ascii="Times New Roman" w:hAnsi="Times New Roman" w:eastAsia="宋体"/>
          <w:bCs w:val="0"/>
          <w:color w:val="auto"/>
          <w:sz w:val="21"/>
          <w:szCs w:val="24"/>
          <w:highlight w:val="none"/>
        </w:rPr>
      </w:pPr>
      <w:bookmarkStart w:id="235" w:name="_Toc351203488"/>
      <w:r>
        <w:rPr>
          <w:rFonts w:hint="eastAsia" w:ascii="Times New Roman" w:hAnsi="Times New Roman" w:eastAsia="宋体"/>
          <w:b w:val="0"/>
          <w:color w:val="auto"/>
          <w:sz w:val="21"/>
          <w:szCs w:val="24"/>
          <w:highlight w:val="none"/>
        </w:rPr>
        <w:t xml:space="preserve">    八、词语含义</w:t>
      </w:r>
      <w:bookmarkEnd w:id="235"/>
    </w:p>
    <w:p w14:paraId="3CFEB703">
      <w:pPr>
        <w:spacing w:line="400" w:lineRule="exact"/>
        <w:ind w:firstLine="420" w:firstLineChars="200"/>
        <w:rPr>
          <w:rFonts w:hint="eastAsia" w:ascii="Times New Roman" w:hAnsi="Times New Roman" w:eastAsia="宋体"/>
          <w:bCs w:val="0"/>
          <w:color w:val="auto"/>
          <w:sz w:val="21"/>
          <w:szCs w:val="24"/>
          <w:highlight w:val="none"/>
        </w:rPr>
      </w:pPr>
      <w:r>
        <w:rPr>
          <w:rFonts w:hint="eastAsia" w:ascii="Times New Roman" w:hAnsi="Times New Roman" w:eastAsia="宋体"/>
          <w:bCs w:val="0"/>
          <w:color w:val="auto"/>
          <w:sz w:val="21"/>
          <w:szCs w:val="24"/>
          <w:highlight w:val="none"/>
        </w:rPr>
        <w:t>本协议书中词语含义与第二部分通用合同条款中赋予的含义相同。</w:t>
      </w:r>
    </w:p>
    <w:p w14:paraId="40A26414">
      <w:pPr>
        <w:spacing w:before="120" w:after="120" w:line="400" w:lineRule="exact"/>
        <w:ind w:firstLine="420" w:firstLineChars="200"/>
        <w:rPr>
          <w:rFonts w:hint="eastAsia" w:ascii="Times New Roman" w:hAnsi="Times New Roman" w:eastAsia="宋体"/>
          <w:bCs w:val="0"/>
          <w:color w:val="auto"/>
          <w:sz w:val="21"/>
          <w:szCs w:val="24"/>
          <w:highlight w:val="none"/>
        </w:rPr>
      </w:pPr>
      <w:r>
        <w:rPr>
          <w:rFonts w:hint="eastAsia" w:ascii="Times New Roman" w:hAnsi="Times New Roman" w:eastAsia="宋体"/>
          <w:bCs w:val="0"/>
          <w:color w:val="auto"/>
          <w:sz w:val="21"/>
          <w:szCs w:val="24"/>
          <w:highlight w:val="none"/>
        </w:rPr>
        <w:t xml:space="preserve">  </w:t>
      </w:r>
      <w:r>
        <w:rPr>
          <w:rFonts w:hint="eastAsia" w:ascii="Times New Roman" w:hAnsi="Times New Roman" w:eastAsia="宋体"/>
          <w:b w:val="0"/>
          <w:color w:val="auto"/>
          <w:sz w:val="21"/>
          <w:szCs w:val="24"/>
          <w:highlight w:val="none"/>
        </w:rPr>
        <w:t xml:space="preserve">  </w:t>
      </w:r>
      <w:bookmarkStart w:id="236" w:name="_Toc351203489"/>
      <w:r>
        <w:rPr>
          <w:rFonts w:hint="eastAsia" w:ascii="Times New Roman" w:hAnsi="Times New Roman" w:eastAsia="宋体"/>
          <w:b w:val="0"/>
          <w:color w:val="auto"/>
          <w:sz w:val="21"/>
          <w:szCs w:val="24"/>
          <w:highlight w:val="none"/>
        </w:rPr>
        <w:t>九、签订时间</w:t>
      </w:r>
      <w:bookmarkEnd w:id="236"/>
    </w:p>
    <w:p w14:paraId="4C54C6C2">
      <w:pPr>
        <w:spacing w:line="400" w:lineRule="exact"/>
        <w:ind w:firstLine="420" w:firstLineChars="200"/>
        <w:rPr>
          <w:rFonts w:hint="eastAsia" w:ascii="Times New Roman" w:hAnsi="Times New Roman" w:eastAsia="宋体"/>
          <w:bCs w:val="0"/>
          <w:color w:val="auto"/>
          <w:sz w:val="21"/>
          <w:szCs w:val="24"/>
          <w:highlight w:val="none"/>
        </w:rPr>
      </w:pPr>
      <w:r>
        <w:rPr>
          <w:rFonts w:hint="eastAsia" w:ascii="Times New Roman" w:hAnsi="Times New Roman" w:eastAsia="宋体"/>
          <w:bCs w:val="0"/>
          <w:color w:val="auto"/>
          <w:sz w:val="21"/>
          <w:szCs w:val="24"/>
          <w:highlight w:val="none"/>
        </w:rPr>
        <w:t>本合同于</w:t>
      </w:r>
      <w:r>
        <w:rPr>
          <w:rFonts w:hint="eastAsia" w:ascii="Times New Roman" w:hAnsi="Times New Roman" w:eastAsia="宋体"/>
          <w:bCs w:val="0"/>
          <w:color w:val="auto"/>
          <w:sz w:val="21"/>
          <w:szCs w:val="24"/>
          <w:highlight w:val="none"/>
          <w:u w:val="none"/>
        </w:rPr>
        <w:t xml:space="preserve">         </w:t>
      </w:r>
      <w:r>
        <w:rPr>
          <w:rFonts w:hint="eastAsia" w:ascii="Times New Roman" w:hAnsi="Times New Roman" w:eastAsia="宋体"/>
          <w:bCs w:val="0"/>
          <w:color w:val="auto"/>
          <w:sz w:val="21"/>
          <w:szCs w:val="24"/>
          <w:highlight w:val="none"/>
        </w:rPr>
        <w:t>年</w:t>
      </w:r>
      <w:r>
        <w:rPr>
          <w:rFonts w:hint="eastAsia" w:ascii="Times New Roman" w:hAnsi="Times New Roman" w:eastAsia="宋体"/>
          <w:bCs w:val="0"/>
          <w:color w:val="auto"/>
          <w:sz w:val="21"/>
          <w:szCs w:val="24"/>
          <w:highlight w:val="none"/>
          <w:u w:val="none"/>
        </w:rPr>
        <w:t xml:space="preserve">    </w:t>
      </w:r>
      <w:r>
        <w:rPr>
          <w:rFonts w:hint="eastAsia" w:ascii="Times New Roman" w:hAnsi="Times New Roman" w:eastAsia="宋体"/>
          <w:bCs w:val="0"/>
          <w:color w:val="auto"/>
          <w:sz w:val="21"/>
          <w:szCs w:val="24"/>
          <w:highlight w:val="none"/>
        </w:rPr>
        <w:t>月</w:t>
      </w:r>
      <w:r>
        <w:rPr>
          <w:rFonts w:hint="eastAsia" w:ascii="Times New Roman" w:hAnsi="Times New Roman" w:eastAsia="宋体"/>
          <w:bCs w:val="0"/>
          <w:color w:val="auto"/>
          <w:sz w:val="21"/>
          <w:szCs w:val="24"/>
          <w:highlight w:val="none"/>
          <w:u w:val="none"/>
        </w:rPr>
        <w:t xml:space="preserve">    </w:t>
      </w:r>
      <w:r>
        <w:rPr>
          <w:rFonts w:hint="eastAsia" w:ascii="Times New Roman" w:hAnsi="Times New Roman" w:eastAsia="宋体"/>
          <w:bCs w:val="0"/>
          <w:color w:val="auto"/>
          <w:sz w:val="21"/>
          <w:szCs w:val="24"/>
          <w:highlight w:val="none"/>
        </w:rPr>
        <w:t>日签订。</w:t>
      </w:r>
    </w:p>
    <w:p w14:paraId="1F870CCA">
      <w:pPr>
        <w:spacing w:before="120" w:after="120" w:line="400" w:lineRule="exact"/>
        <w:ind w:firstLine="420" w:firstLineChars="200"/>
        <w:rPr>
          <w:rFonts w:hint="eastAsia" w:ascii="Times New Roman" w:hAnsi="Times New Roman" w:eastAsia="宋体"/>
          <w:bCs w:val="0"/>
          <w:color w:val="auto"/>
          <w:sz w:val="21"/>
          <w:szCs w:val="24"/>
          <w:highlight w:val="none"/>
        </w:rPr>
      </w:pPr>
      <w:r>
        <w:rPr>
          <w:rFonts w:hint="eastAsia" w:ascii="Times New Roman" w:hAnsi="Times New Roman" w:eastAsia="宋体"/>
          <w:bCs w:val="0"/>
          <w:color w:val="auto"/>
          <w:sz w:val="21"/>
          <w:szCs w:val="24"/>
          <w:highlight w:val="none"/>
        </w:rPr>
        <w:t xml:space="preserve">    </w:t>
      </w:r>
      <w:bookmarkStart w:id="237" w:name="_Toc351203490"/>
      <w:r>
        <w:rPr>
          <w:rFonts w:hint="eastAsia" w:ascii="Times New Roman" w:hAnsi="Times New Roman" w:eastAsia="宋体"/>
          <w:b w:val="0"/>
          <w:color w:val="auto"/>
          <w:sz w:val="21"/>
          <w:szCs w:val="24"/>
          <w:highlight w:val="none"/>
        </w:rPr>
        <w:t>十、签订地点</w:t>
      </w:r>
      <w:bookmarkEnd w:id="237"/>
    </w:p>
    <w:p w14:paraId="5CA72AB3">
      <w:pPr>
        <w:spacing w:line="400" w:lineRule="exact"/>
        <w:ind w:firstLine="420" w:firstLineChars="200"/>
        <w:rPr>
          <w:rFonts w:hint="eastAsia" w:ascii="Times New Roman" w:hAnsi="Times New Roman" w:eastAsia="宋体"/>
          <w:bCs w:val="0"/>
          <w:color w:val="auto"/>
          <w:sz w:val="21"/>
          <w:szCs w:val="24"/>
          <w:highlight w:val="none"/>
        </w:rPr>
      </w:pPr>
      <w:r>
        <w:rPr>
          <w:rFonts w:hint="eastAsia" w:ascii="Times New Roman" w:hAnsi="Times New Roman" w:eastAsia="宋体"/>
          <w:bCs w:val="0"/>
          <w:color w:val="auto"/>
          <w:sz w:val="21"/>
          <w:szCs w:val="24"/>
          <w:highlight w:val="none"/>
        </w:rPr>
        <w:t>本合同在</w:t>
      </w:r>
      <w:r>
        <w:rPr>
          <w:rFonts w:hint="eastAsia" w:ascii="Times New Roman" w:hAnsi="Times New Roman" w:eastAsia="宋体"/>
          <w:bCs w:val="0"/>
          <w:color w:val="auto"/>
          <w:sz w:val="21"/>
          <w:szCs w:val="24"/>
          <w:highlight w:val="none"/>
          <w:u w:val="none"/>
        </w:rPr>
        <w:t xml:space="preserve">                                    </w:t>
      </w:r>
      <w:r>
        <w:rPr>
          <w:rFonts w:hint="eastAsia" w:ascii="Times New Roman" w:hAnsi="Times New Roman" w:eastAsia="宋体"/>
          <w:bCs w:val="0"/>
          <w:color w:val="auto"/>
          <w:sz w:val="21"/>
          <w:szCs w:val="24"/>
          <w:highlight w:val="none"/>
        </w:rPr>
        <w:t>签订。</w:t>
      </w:r>
    </w:p>
    <w:p w14:paraId="2F1E2D1B">
      <w:pPr>
        <w:spacing w:before="120" w:after="120" w:line="400" w:lineRule="exact"/>
        <w:ind w:firstLine="420" w:firstLineChars="200"/>
        <w:rPr>
          <w:rFonts w:hint="eastAsia" w:ascii="Times New Roman" w:hAnsi="Times New Roman" w:eastAsia="宋体"/>
          <w:bCs w:val="0"/>
          <w:color w:val="auto"/>
          <w:sz w:val="21"/>
          <w:szCs w:val="24"/>
          <w:highlight w:val="none"/>
        </w:rPr>
      </w:pPr>
      <w:r>
        <w:rPr>
          <w:rFonts w:hint="eastAsia" w:ascii="Times New Roman" w:hAnsi="Times New Roman" w:eastAsia="宋体"/>
          <w:bCs w:val="0"/>
          <w:color w:val="auto"/>
          <w:sz w:val="21"/>
          <w:szCs w:val="24"/>
          <w:highlight w:val="none"/>
        </w:rPr>
        <w:t xml:space="preserve">    </w:t>
      </w:r>
      <w:bookmarkStart w:id="238" w:name="_Toc351203491"/>
      <w:r>
        <w:rPr>
          <w:rFonts w:hint="eastAsia" w:ascii="Times New Roman" w:hAnsi="Times New Roman" w:eastAsia="宋体"/>
          <w:b w:val="0"/>
          <w:color w:val="auto"/>
          <w:sz w:val="21"/>
          <w:szCs w:val="24"/>
          <w:highlight w:val="none"/>
        </w:rPr>
        <w:t>十一、补充协议</w:t>
      </w:r>
      <w:bookmarkEnd w:id="238"/>
    </w:p>
    <w:p w14:paraId="03439E34">
      <w:pPr>
        <w:spacing w:line="400" w:lineRule="exact"/>
        <w:ind w:firstLine="420" w:firstLineChars="200"/>
        <w:rPr>
          <w:rFonts w:hint="eastAsia" w:ascii="Times New Roman" w:hAnsi="Times New Roman" w:eastAsia="宋体"/>
          <w:b w:val="0"/>
          <w:bCs w:val="0"/>
          <w:color w:val="auto"/>
          <w:sz w:val="21"/>
          <w:szCs w:val="24"/>
          <w:highlight w:val="none"/>
        </w:rPr>
      </w:pPr>
      <w:r>
        <w:rPr>
          <w:rFonts w:hint="eastAsia" w:ascii="Times New Roman" w:hAnsi="Times New Roman" w:eastAsia="宋体"/>
          <w:bCs w:val="0"/>
          <w:color w:val="auto"/>
          <w:sz w:val="21"/>
          <w:szCs w:val="24"/>
          <w:highlight w:val="none"/>
        </w:rPr>
        <w:t>合同未尽事宜，合同当事人另行签订补充协议，补充协议是合同的组成部分。</w:t>
      </w:r>
    </w:p>
    <w:p w14:paraId="55469611">
      <w:pPr>
        <w:spacing w:before="120" w:after="120" w:line="400" w:lineRule="exact"/>
        <w:ind w:firstLine="420" w:firstLineChars="200"/>
        <w:rPr>
          <w:rFonts w:hint="eastAsia" w:ascii="Times New Roman" w:hAnsi="Times New Roman" w:eastAsia="宋体"/>
          <w:bCs w:val="0"/>
          <w:color w:val="auto"/>
          <w:sz w:val="21"/>
          <w:szCs w:val="24"/>
          <w:highlight w:val="none"/>
        </w:rPr>
      </w:pPr>
      <w:r>
        <w:rPr>
          <w:rFonts w:hint="eastAsia" w:ascii="Times New Roman" w:hAnsi="Times New Roman" w:eastAsia="宋体"/>
          <w:bCs w:val="0"/>
          <w:color w:val="auto"/>
          <w:sz w:val="21"/>
          <w:szCs w:val="24"/>
          <w:highlight w:val="none"/>
        </w:rPr>
        <w:t xml:space="preserve">    </w:t>
      </w:r>
      <w:bookmarkStart w:id="239" w:name="_Toc351203492"/>
      <w:r>
        <w:rPr>
          <w:rFonts w:hint="eastAsia" w:ascii="Times New Roman" w:hAnsi="Times New Roman" w:eastAsia="宋体"/>
          <w:b w:val="0"/>
          <w:color w:val="auto"/>
          <w:sz w:val="21"/>
          <w:szCs w:val="24"/>
          <w:highlight w:val="none"/>
        </w:rPr>
        <w:t>十二、合同生效</w:t>
      </w:r>
      <w:bookmarkEnd w:id="239"/>
    </w:p>
    <w:p w14:paraId="72B2E562">
      <w:pPr>
        <w:spacing w:line="400" w:lineRule="exact"/>
        <w:ind w:firstLine="420" w:firstLineChars="200"/>
        <w:rPr>
          <w:rFonts w:hint="eastAsia" w:ascii="Times New Roman" w:hAnsi="Times New Roman" w:eastAsia="宋体"/>
          <w:bCs w:val="0"/>
          <w:color w:val="auto"/>
          <w:sz w:val="21"/>
          <w:szCs w:val="24"/>
          <w:highlight w:val="none"/>
        </w:rPr>
      </w:pPr>
      <w:r>
        <w:rPr>
          <w:rFonts w:hint="eastAsia" w:ascii="Times New Roman" w:hAnsi="Times New Roman" w:eastAsia="宋体"/>
          <w:bCs w:val="0"/>
          <w:color w:val="auto"/>
          <w:sz w:val="21"/>
          <w:szCs w:val="24"/>
          <w:highlight w:val="none"/>
        </w:rPr>
        <w:t>本合同自</w:t>
      </w:r>
      <w:r>
        <w:rPr>
          <w:rFonts w:hint="eastAsia" w:ascii="Times New Roman" w:hAnsi="Times New Roman" w:eastAsia="宋体"/>
          <w:bCs w:val="0"/>
          <w:color w:val="auto"/>
          <w:sz w:val="21"/>
          <w:szCs w:val="24"/>
          <w:highlight w:val="none"/>
          <w:u w:val="none"/>
        </w:rPr>
        <w:t xml:space="preserve">                                   </w:t>
      </w:r>
      <w:r>
        <w:rPr>
          <w:rFonts w:hint="eastAsia" w:ascii="Times New Roman" w:hAnsi="Times New Roman" w:eastAsia="宋体"/>
          <w:bCs w:val="0"/>
          <w:color w:val="auto"/>
          <w:sz w:val="21"/>
          <w:szCs w:val="24"/>
          <w:highlight w:val="none"/>
        </w:rPr>
        <w:t>生效。</w:t>
      </w:r>
    </w:p>
    <w:p w14:paraId="0CE87400">
      <w:pPr>
        <w:spacing w:before="120" w:after="120" w:line="400" w:lineRule="exact"/>
        <w:ind w:firstLine="420" w:firstLineChars="200"/>
        <w:rPr>
          <w:rFonts w:hint="eastAsia" w:ascii="Times New Roman" w:hAnsi="Times New Roman" w:eastAsia="宋体"/>
          <w:bCs w:val="0"/>
          <w:color w:val="auto"/>
          <w:sz w:val="21"/>
          <w:szCs w:val="24"/>
          <w:highlight w:val="none"/>
        </w:rPr>
      </w:pPr>
      <w:r>
        <w:rPr>
          <w:rFonts w:hint="eastAsia" w:ascii="Times New Roman" w:hAnsi="Times New Roman" w:eastAsia="宋体"/>
          <w:bCs w:val="0"/>
          <w:color w:val="auto"/>
          <w:sz w:val="21"/>
          <w:szCs w:val="24"/>
          <w:highlight w:val="none"/>
        </w:rPr>
        <w:t xml:space="preserve">    </w:t>
      </w:r>
      <w:bookmarkStart w:id="240" w:name="_Toc351203493"/>
      <w:r>
        <w:rPr>
          <w:rFonts w:hint="eastAsia" w:ascii="Times New Roman" w:hAnsi="Times New Roman" w:eastAsia="宋体"/>
          <w:b w:val="0"/>
          <w:color w:val="auto"/>
          <w:sz w:val="21"/>
          <w:szCs w:val="24"/>
          <w:highlight w:val="none"/>
        </w:rPr>
        <w:t>十三、合同份数</w:t>
      </w:r>
      <w:bookmarkEnd w:id="240"/>
    </w:p>
    <w:p w14:paraId="487A6AA6">
      <w:pPr>
        <w:spacing w:line="400" w:lineRule="exact"/>
        <w:ind w:firstLine="420" w:firstLineChars="200"/>
        <w:rPr>
          <w:rFonts w:hint="eastAsia" w:ascii="Times New Roman" w:hAnsi="Times New Roman" w:eastAsia="宋体"/>
          <w:bCs w:val="0"/>
          <w:color w:val="auto"/>
          <w:sz w:val="21"/>
          <w:szCs w:val="24"/>
          <w:highlight w:val="none"/>
        </w:rPr>
      </w:pPr>
      <w:r>
        <w:rPr>
          <w:rFonts w:hint="eastAsia" w:ascii="Times New Roman" w:hAnsi="Times New Roman" w:eastAsia="宋体"/>
          <w:bCs w:val="0"/>
          <w:color w:val="auto"/>
          <w:sz w:val="21"/>
          <w:szCs w:val="24"/>
          <w:highlight w:val="none"/>
        </w:rPr>
        <w:t>本合同一式</w:t>
      </w:r>
      <w:r>
        <w:rPr>
          <w:rFonts w:hint="eastAsia" w:ascii="Times New Roman" w:hAnsi="Times New Roman" w:eastAsia="宋体"/>
          <w:bCs w:val="0"/>
          <w:color w:val="auto"/>
          <w:sz w:val="21"/>
          <w:szCs w:val="24"/>
          <w:highlight w:val="none"/>
          <w:u w:val="none"/>
        </w:rPr>
        <w:t xml:space="preserve">    </w:t>
      </w:r>
      <w:r>
        <w:rPr>
          <w:rFonts w:hint="eastAsia" w:ascii="Times New Roman" w:hAnsi="Times New Roman" w:eastAsia="宋体"/>
          <w:bCs w:val="0"/>
          <w:color w:val="auto"/>
          <w:sz w:val="21"/>
          <w:szCs w:val="24"/>
          <w:highlight w:val="none"/>
        </w:rPr>
        <w:t>份，均具有同等法律效力，发包人执</w:t>
      </w:r>
      <w:r>
        <w:rPr>
          <w:rFonts w:hint="eastAsia" w:ascii="Times New Roman" w:hAnsi="Times New Roman" w:eastAsia="宋体"/>
          <w:bCs w:val="0"/>
          <w:color w:val="auto"/>
          <w:sz w:val="21"/>
          <w:szCs w:val="24"/>
          <w:highlight w:val="none"/>
          <w:u w:val="none"/>
        </w:rPr>
        <w:t xml:space="preserve">    </w:t>
      </w:r>
      <w:r>
        <w:rPr>
          <w:rFonts w:hint="eastAsia" w:ascii="Times New Roman" w:hAnsi="Times New Roman" w:eastAsia="宋体"/>
          <w:bCs w:val="0"/>
          <w:color w:val="auto"/>
          <w:sz w:val="21"/>
          <w:szCs w:val="24"/>
          <w:highlight w:val="none"/>
        </w:rPr>
        <w:t>份，承包人执</w:t>
      </w:r>
      <w:r>
        <w:rPr>
          <w:rFonts w:hint="eastAsia" w:ascii="Times New Roman" w:hAnsi="Times New Roman" w:eastAsia="宋体"/>
          <w:bCs w:val="0"/>
          <w:color w:val="auto"/>
          <w:sz w:val="21"/>
          <w:szCs w:val="24"/>
          <w:highlight w:val="none"/>
          <w:u w:val="none"/>
        </w:rPr>
        <w:t xml:space="preserve">    </w:t>
      </w:r>
      <w:r>
        <w:rPr>
          <w:rFonts w:hint="eastAsia" w:ascii="Times New Roman" w:hAnsi="Times New Roman" w:eastAsia="宋体"/>
          <w:bCs w:val="0"/>
          <w:color w:val="auto"/>
          <w:sz w:val="21"/>
          <w:szCs w:val="24"/>
          <w:highlight w:val="none"/>
        </w:rPr>
        <w:t>份。</w:t>
      </w:r>
    </w:p>
    <w:p w14:paraId="67D3C40B">
      <w:pPr>
        <w:spacing w:line="400" w:lineRule="exact"/>
        <w:ind w:firstLine="420" w:firstLineChars="200"/>
        <w:rPr>
          <w:rFonts w:hint="eastAsia" w:ascii="Times New Roman" w:hAnsi="Times New Roman" w:eastAsia="宋体"/>
          <w:bCs w:val="0"/>
          <w:color w:val="auto"/>
          <w:sz w:val="21"/>
          <w:szCs w:val="24"/>
          <w:highlight w:val="none"/>
        </w:rPr>
      </w:pPr>
    </w:p>
    <w:p w14:paraId="328512BD">
      <w:pPr>
        <w:spacing w:line="400" w:lineRule="exact"/>
        <w:ind w:firstLine="420" w:firstLineChars="200"/>
        <w:rPr>
          <w:rFonts w:hint="eastAsia" w:ascii="Times New Roman" w:hAnsi="Times New Roman" w:eastAsia="宋体"/>
          <w:bCs w:val="0"/>
          <w:color w:val="auto"/>
          <w:sz w:val="21"/>
          <w:szCs w:val="24"/>
          <w:highlight w:val="none"/>
        </w:rPr>
      </w:pPr>
    </w:p>
    <w:p w14:paraId="570A9142">
      <w:pPr>
        <w:spacing w:line="400" w:lineRule="exact"/>
        <w:ind w:firstLine="420" w:firstLineChars="200"/>
        <w:rPr>
          <w:rFonts w:hint="eastAsia" w:ascii="Times New Roman" w:hAnsi="Times New Roman" w:eastAsia="宋体"/>
          <w:bCs w:val="0"/>
          <w:color w:val="auto"/>
          <w:sz w:val="21"/>
          <w:szCs w:val="24"/>
          <w:highlight w:val="none"/>
        </w:rPr>
      </w:pPr>
    </w:p>
    <w:p w14:paraId="6A023C70">
      <w:pPr>
        <w:spacing w:line="400" w:lineRule="exact"/>
        <w:ind w:firstLine="420" w:firstLineChars="200"/>
        <w:rPr>
          <w:rFonts w:hint="eastAsia" w:ascii="Times New Roman" w:hAnsi="Times New Roman" w:eastAsia="宋体"/>
          <w:bCs w:val="0"/>
          <w:color w:val="auto"/>
          <w:sz w:val="21"/>
          <w:szCs w:val="24"/>
          <w:highlight w:val="none"/>
        </w:rPr>
      </w:pPr>
    </w:p>
    <w:p w14:paraId="209EEA22">
      <w:pPr>
        <w:spacing w:line="400" w:lineRule="exact"/>
        <w:ind w:firstLine="420" w:firstLineChars="200"/>
        <w:rPr>
          <w:rFonts w:hint="eastAsia" w:ascii="Times New Roman" w:hAnsi="Times New Roman" w:eastAsia="宋体"/>
          <w:bCs w:val="0"/>
          <w:color w:val="auto"/>
          <w:sz w:val="21"/>
          <w:szCs w:val="24"/>
          <w:highlight w:val="none"/>
        </w:rPr>
      </w:pPr>
    </w:p>
    <w:p w14:paraId="19DAA9AD">
      <w:pPr>
        <w:spacing w:line="400" w:lineRule="exact"/>
        <w:ind w:firstLine="420" w:firstLineChars="200"/>
        <w:rPr>
          <w:rFonts w:hint="eastAsia" w:ascii="Times New Roman" w:hAnsi="Times New Roman" w:eastAsia="宋体"/>
          <w:bCs w:val="0"/>
          <w:color w:val="auto"/>
          <w:sz w:val="21"/>
          <w:szCs w:val="24"/>
          <w:highlight w:val="none"/>
        </w:rPr>
      </w:pPr>
    </w:p>
    <w:p w14:paraId="34018B39">
      <w:pPr>
        <w:spacing w:line="400" w:lineRule="exact"/>
        <w:ind w:firstLine="420" w:firstLineChars="200"/>
        <w:rPr>
          <w:rFonts w:hint="eastAsia" w:ascii="Times New Roman" w:hAnsi="Times New Roman" w:eastAsia="宋体"/>
          <w:bCs w:val="0"/>
          <w:color w:val="auto"/>
          <w:sz w:val="21"/>
          <w:szCs w:val="24"/>
          <w:highlight w:val="none"/>
        </w:rPr>
      </w:pPr>
    </w:p>
    <w:p w14:paraId="70FAEAE2">
      <w:pPr>
        <w:spacing w:line="400" w:lineRule="exact"/>
        <w:ind w:firstLine="420" w:firstLineChars="200"/>
        <w:rPr>
          <w:rFonts w:hint="eastAsia" w:ascii="Times New Roman" w:hAnsi="Times New Roman" w:eastAsia="宋体"/>
          <w:color w:val="auto"/>
          <w:sz w:val="21"/>
          <w:szCs w:val="24"/>
          <w:highlight w:val="none"/>
        </w:rPr>
      </w:pPr>
    </w:p>
    <w:p w14:paraId="7B5B0006">
      <w:pPr>
        <w:spacing w:line="400" w:lineRule="exact"/>
        <w:ind w:firstLine="420" w:firstLineChars="200"/>
        <w:rPr>
          <w:rFonts w:hint="eastAsia" w:ascii="Times New Roman" w:hAnsi="Times New Roman" w:eastAsia="宋体"/>
          <w:color w:val="auto"/>
          <w:sz w:val="21"/>
          <w:szCs w:val="24"/>
          <w:highlight w:val="none"/>
        </w:rPr>
      </w:pPr>
      <w:r>
        <w:rPr>
          <w:rFonts w:hint="eastAsia" w:ascii="Times New Roman" w:hAnsi="Times New Roman" w:eastAsia="宋体"/>
          <w:color w:val="auto"/>
          <w:sz w:val="21"/>
          <w:szCs w:val="24"/>
          <w:highlight w:val="none"/>
        </w:rPr>
        <w:t>发包人：  (公章)             承包人：  (公章)</w:t>
      </w:r>
    </w:p>
    <w:p w14:paraId="2982EBEA">
      <w:pPr>
        <w:spacing w:line="400" w:lineRule="exact"/>
        <w:ind w:firstLine="420" w:firstLineChars="200"/>
        <w:rPr>
          <w:rFonts w:hint="eastAsia" w:ascii="Times New Roman" w:hAnsi="Times New Roman" w:eastAsia="宋体"/>
          <w:color w:val="auto"/>
          <w:sz w:val="21"/>
          <w:szCs w:val="24"/>
          <w:highlight w:val="none"/>
          <w:u w:val="none"/>
        </w:rPr>
      </w:pPr>
      <w:r>
        <w:rPr>
          <w:rFonts w:hint="eastAsia" w:ascii="Times New Roman" w:hAnsi="Times New Roman" w:eastAsia="宋体"/>
          <w:color w:val="auto"/>
          <w:sz w:val="21"/>
          <w:szCs w:val="24"/>
          <w:highlight w:val="none"/>
        </w:rPr>
        <w:t xml:space="preserve">                                 </w:t>
      </w:r>
    </w:p>
    <w:p w14:paraId="074B2AF4">
      <w:pPr>
        <w:spacing w:line="400" w:lineRule="exact"/>
        <w:ind w:firstLine="420" w:firstLineChars="200"/>
        <w:rPr>
          <w:rFonts w:hint="eastAsia" w:ascii="Times New Roman" w:hAnsi="Times New Roman" w:eastAsia="宋体"/>
          <w:color w:val="auto"/>
          <w:sz w:val="21"/>
          <w:szCs w:val="24"/>
          <w:highlight w:val="none"/>
        </w:rPr>
      </w:pPr>
      <w:r>
        <w:rPr>
          <w:rFonts w:hint="eastAsia" w:ascii="Times New Roman" w:hAnsi="Times New Roman" w:eastAsia="宋体"/>
          <w:color w:val="auto"/>
          <w:sz w:val="21"/>
          <w:szCs w:val="24"/>
          <w:highlight w:val="none"/>
        </w:rPr>
        <w:t>法定代表人或其委托代理人：  法定代表人或其委托代理人：</w:t>
      </w:r>
    </w:p>
    <w:p w14:paraId="32204F2C">
      <w:pPr>
        <w:spacing w:line="400" w:lineRule="exact"/>
        <w:ind w:firstLine="420" w:firstLineChars="200"/>
        <w:rPr>
          <w:rFonts w:hint="eastAsia" w:ascii="Times New Roman" w:hAnsi="Times New Roman" w:eastAsia="宋体"/>
          <w:color w:val="auto"/>
          <w:sz w:val="21"/>
          <w:szCs w:val="24"/>
          <w:highlight w:val="none"/>
        </w:rPr>
      </w:pPr>
      <w:r>
        <w:rPr>
          <w:rFonts w:hint="eastAsia" w:ascii="Times New Roman" w:hAnsi="Times New Roman" w:eastAsia="宋体"/>
          <w:color w:val="auto"/>
          <w:sz w:val="21"/>
          <w:szCs w:val="24"/>
          <w:highlight w:val="none"/>
        </w:rPr>
        <w:t>（签字）                    （签字）</w:t>
      </w:r>
    </w:p>
    <w:p w14:paraId="3C896647">
      <w:pPr>
        <w:spacing w:line="400" w:lineRule="exact"/>
        <w:ind w:firstLine="420" w:firstLineChars="200"/>
        <w:rPr>
          <w:rFonts w:hint="eastAsia" w:ascii="Times New Roman" w:hAnsi="Times New Roman" w:eastAsia="宋体"/>
          <w:color w:val="auto"/>
          <w:sz w:val="21"/>
          <w:szCs w:val="24"/>
          <w:highlight w:val="none"/>
          <w:u w:val="none"/>
        </w:rPr>
      </w:pPr>
    </w:p>
    <w:p w14:paraId="5EDBBBB4">
      <w:pPr>
        <w:spacing w:line="400" w:lineRule="exact"/>
        <w:ind w:firstLine="420" w:firstLineChars="200"/>
        <w:rPr>
          <w:rFonts w:hint="eastAsia" w:ascii="Times New Roman" w:hAnsi="Times New Roman" w:eastAsia="宋体"/>
          <w:color w:val="auto"/>
          <w:sz w:val="21"/>
          <w:szCs w:val="24"/>
          <w:highlight w:val="none"/>
        </w:rPr>
      </w:pPr>
      <w:r>
        <w:rPr>
          <w:rFonts w:hint="eastAsia" w:ascii="Times New Roman" w:hAnsi="Times New Roman" w:eastAsia="宋体"/>
          <w:color w:val="auto"/>
          <w:sz w:val="21"/>
          <w:szCs w:val="24"/>
          <w:highlight w:val="none"/>
        </w:rPr>
        <w:t>组织机构代码：</w:t>
      </w:r>
      <w:r>
        <w:rPr>
          <w:rFonts w:hint="eastAsia" w:ascii="Times New Roman" w:hAnsi="Times New Roman" w:eastAsia="宋体"/>
          <w:color w:val="auto"/>
          <w:sz w:val="21"/>
          <w:szCs w:val="24"/>
          <w:highlight w:val="none"/>
          <w:u w:val="none"/>
        </w:rPr>
        <w:t xml:space="preserve">       </w:t>
      </w:r>
      <w:r>
        <w:rPr>
          <w:rFonts w:hint="eastAsia" w:ascii="Times New Roman" w:hAnsi="Times New Roman" w:eastAsia="宋体"/>
          <w:color w:val="auto"/>
          <w:sz w:val="21"/>
          <w:szCs w:val="24"/>
          <w:highlight w:val="none"/>
        </w:rPr>
        <w:t xml:space="preserve">  组织机构代码：</w:t>
      </w:r>
      <w:r>
        <w:rPr>
          <w:rFonts w:hint="eastAsia" w:ascii="Times New Roman" w:hAnsi="Times New Roman" w:eastAsia="宋体"/>
          <w:color w:val="auto"/>
          <w:sz w:val="21"/>
          <w:szCs w:val="24"/>
          <w:highlight w:val="none"/>
          <w:u w:val="none"/>
        </w:rPr>
        <w:t xml:space="preserve">          </w:t>
      </w:r>
      <w:r>
        <w:rPr>
          <w:rFonts w:hint="eastAsia" w:ascii="Times New Roman" w:hAnsi="Times New Roman" w:eastAsia="宋体"/>
          <w:color w:val="auto"/>
          <w:sz w:val="21"/>
          <w:szCs w:val="24"/>
          <w:highlight w:val="none"/>
        </w:rPr>
        <w:t xml:space="preserve"> </w:t>
      </w:r>
    </w:p>
    <w:p w14:paraId="63192A90">
      <w:pPr>
        <w:spacing w:line="400" w:lineRule="exact"/>
        <w:ind w:firstLine="420" w:firstLineChars="200"/>
        <w:rPr>
          <w:rFonts w:hint="eastAsia" w:ascii="Times New Roman" w:hAnsi="Times New Roman" w:eastAsia="宋体"/>
          <w:color w:val="auto"/>
          <w:sz w:val="21"/>
          <w:szCs w:val="24"/>
          <w:highlight w:val="none"/>
        </w:rPr>
      </w:pPr>
      <w:r>
        <w:rPr>
          <w:rFonts w:hint="eastAsia" w:ascii="Times New Roman" w:hAnsi="Times New Roman" w:eastAsia="宋体"/>
          <w:color w:val="auto"/>
          <w:sz w:val="21"/>
          <w:szCs w:val="24"/>
          <w:highlight w:val="none"/>
        </w:rPr>
        <w:t>地  址：</w:t>
      </w:r>
      <w:r>
        <w:rPr>
          <w:rFonts w:hint="eastAsia" w:ascii="Times New Roman" w:hAnsi="Times New Roman" w:eastAsia="宋体"/>
          <w:color w:val="auto"/>
          <w:sz w:val="21"/>
          <w:szCs w:val="24"/>
          <w:highlight w:val="none"/>
          <w:u w:val="none"/>
        </w:rPr>
        <w:t xml:space="preserve">     </w:t>
      </w:r>
      <w:r>
        <w:rPr>
          <w:rFonts w:hint="eastAsia" w:ascii="Times New Roman" w:hAnsi="Times New Roman" w:eastAsia="宋体"/>
          <w:color w:val="auto"/>
          <w:sz w:val="21"/>
          <w:szCs w:val="24"/>
          <w:highlight w:val="none"/>
        </w:rPr>
        <w:t xml:space="preserve">  地  址：</w:t>
      </w:r>
      <w:r>
        <w:rPr>
          <w:rFonts w:hint="eastAsia" w:ascii="Times New Roman" w:hAnsi="Times New Roman" w:eastAsia="宋体"/>
          <w:color w:val="auto"/>
          <w:sz w:val="21"/>
          <w:szCs w:val="24"/>
          <w:highlight w:val="none"/>
          <w:u w:val="none"/>
        </w:rPr>
        <w:t xml:space="preserve">        </w:t>
      </w:r>
    </w:p>
    <w:p w14:paraId="38EC4D5E">
      <w:pPr>
        <w:spacing w:line="400" w:lineRule="exact"/>
        <w:ind w:firstLine="420" w:firstLineChars="200"/>
        <w:rPr>
          <w:rFonts w:hint="eastAsia" w:ascii="Times New Roman" w:hAnsi="Times New Roman" w:eastAsia="宋体"/>
          <w:color w:val="auto"/>
          <w:sz w:val="21"/>
          <w:szCs w:val="24"/>
          <w:highlight w:val="none"/>
        </w:rPr>
      </w:pPr>
      <w:r>
        <w:rPr>
          <w:rFonts w:hint="eastAsia" w:ascii="Times New Roman" w:hAnsi="Times New Roman" w:eastAsia="宋体"/>
          <w:color w:val="auto"/>
          <w:sz w:val="21"/>
          <w:szCs w:val="24"/>
          <w:highlight w:val="none"/>
        </w:rPr>
        <w:t>邮政编码：</w:t>
      </w:r>
      <w:r>
        <w:rPr>
          <w:rFonts w:hint="eastAsia" w:ascii="Times New Roman" w:hAnsi="Times New Roman" w:eastAsia="宋体"/>
          <w:color w:val="auto"/>
          <w:sz w:val="21"/>
          <w:szCs w:val="24"/>
          <w:highlight w:val="none"/>
          <w:u w:val="none"/>
        </w:rPr>
        <w:t xml:space="preserve">      </w:t>
      </w:r>
      <w:r>
        <w:rPr>
          <w:rFonts w:hint="eastAsia" w:ascii="Times New Roman" w:hAnsi="Times New Roman" w:eastAsia="宋体"/>
          <w:color w:val="auto"/>
          <w:sz w:val="21"/>
          <w:szCs w:val="24"/>
          <w:highlight w:val="none"/>
        </w:rPr>
        <w:t xml:space="preserve">  邮政编码：</w:t>
      </w:r>
      <w:r>
        <w:rPr>
          <w:rFonts w:hint="eastAsia" w:ascii="Times New Roman" w:hAnsi="Times New Roman" w:eastAsia="宋体"/>
          <w:color w:val="auto"/>
          <w:sz w:val="21"/>
          <w:szCs w:val="24"/>
          <w:highlight w:val="none"/>
          <w:u w:val="none"/>
        </w:rPr>
        <w:t xml:space="preserve">   </w:t>
      </w:r>
    </w:p>
    <w:p w14:paraId="6638E830">
      <w:pPr>
        <w:spacing w:line="400" w:lineRule="exact"/>
        <w:ind w:firstLine="420" w:firstLineChars="200"/>
        <w:rPr>
          <w:rFonts w:hint="eastAsia" w:ascii="Times New Roman" w:hAnsi="Times New Roman" w:eastAsia="宋体"/>
          <w:color w:val="auto"/>
          <w:sz w:val="21"/>
          <w:szCs w:val="24"/>
          <w:highlight w:val="none"/>
        </w:rPr>
      </w:pPr>
      <w:r>
        <w:rPr>
          <w:rFonts w:hint="eastAsia" w:ascii="Times New Roman" w:hAnsi="Times New Roman" w:eastAsia="宋体"/>
          <w:color w:val="auto"/>
          <w:sz w:val="21"/>
          <w:szCs w:val="24"/>
          <w:highlight w:val="none"/>
        </w:rPr>
        <w:t>法定代表人：</w:t>
      </w:r>
      <w:r>
        <w:rPr>
          <w:rFonts w:hint="eastAsia" w:ascii="Times New Roman" w:hAnsi="Times New Roman" w:eastAsia="宋体"/>
          <w:color w:val="auto"/>
          <w:sz w:val="21"/>
          <w:szCs w:val="24"/>
          <w:highlight w:val="none"/>
          <w:u w:val="none"/>
        </w:rPr>
        <w:t xml:space="preserve">           </w:t>
      </w:r>
      <w:r>
        <w:rPr>
          <w:rFonts w:hint="eastAsia" w:ascii="Times New Roman" w:hAnsi="Times New Roman" w:eastAsia="宋体"/>
          <w:color w:val="auto"/>
          <w:sz w:val="21"/>
          <w:szCs w:val="24"/>
          <w:highlight w:val="none"/>
        </w:rPr>
        <w:t xml:space="preserve">  法定代表人：</w:t>
      </w:r>
      <w:r>
        <w:rPr>
          <w:rFonts w:hint="eastAsia" w:ascii="Times New Roman" w:hAnsi="Times New Roman" w:eastAsia="宋体"/>
          <w:color w:val="auto"/>
          <w:sz w:val="21"/>
          <w:szCs w:val="24"/>
          <w:highlight w:val="none"/>
          <w:u w:val="none"/>
        </w:rPr>
        <w:t xml:space="preserve">             </w:t>
      </w:r>
    </w:p>
    <w:p w14:paraId="6E589A72">
      <w:pPr>
        <w:spacing w:line="400" w:lineRule="exact"/>
        <w:ind w:firstLine="420" w:firstLineChars="200"/>
        <w:rPr>
          <w:rFonts w:hint="eastAsia" w:ascii="Times New Roman" w:hAnsi="Times New Roman" w:eastAsia="宋体"/>
          <w:color w:val="auto"/>
          <w:sz w:val="21"/>
          <w:szCs w:val="24"/>
          <w:highlight w:val="none"/>
        </w:rPr>
      </w:pPr>
      <w:r>
        <w:rPr>
          <w:rFonts w:hint="eastAsia" w:ascii="Times New Roman" w:hAnsi="Times New Roman" w:eastAsia="宋体"/>
          <w:color w:val="auto"/>
          <w:sz w:val="21"/>
          <w:szCs w:val="24"/>
          <w:highlight w:val="none"/>
        </w:rPr>
        <w:t>委托代理人：</w:t>
      </w:r>
      <w:r>
        <w:rPr>
          <w:rFonts w:hint="eastAsia" w:ascii="Times New Roman" w:hAnsi="Times New Roman" w:eastAsia="宋体"/>
          <w:color w:val="auto"/>
          <w:sz w:val="21"/>
          <w:szCs w:val="24"/>
          <w:highlight w:val="none"/>
          <w:u w:val="none"/>
        </w:rPr>
        <w:t xml:space="preserve">           </w:t>
      </w:r>
      <w:r>
        <w:rPr>
          <w:rFonts w:hint="eastAsia" w:ascii="Times New Roman" w:hAnsi="Times New Roman" w:eastAsia="宋体"/>
          <w:color w:val="auto"/>
          <w:sz w:val="21"/>
          <w:szCs w:val="24"/>
          <w:highlight w:val="none"/>
        </w:rPr>
        <w:t xml:space="preserve">  委托代理人：</w:t>
      </w:r>
      <w:r>
        <w:rPr>
          <w:rFonts w:hint="eastAsia" w:ascii="Times New Roman" w:hAnsi="Times New Roman" w:eastAsia="宋体"/>
          <w:color w:val="auto"/>
          <w:sz w:val="21"/>
          <w:szCs w:val="24"/>
          <w:highlight w:val="none"/>
          <w:u w:val="none"/>
        </w:rPr>
        <w:t xml:space="preserve">             </w:t>
      </w:r>
    </w:p>
    <w:p w14:paraId="0F834D83">
      <w:pPr>
        <w:spacing w:line="400" w:lineRule="exact"/>
        <w:ind w:firstLine="420" w:firstLineChars="200"/>
        <w:rPr>
          <w:rFonts w:hint="eastAsia" w:ascii="Times New Roman" w:hAnsi="Times New Roman" w:eastAsia="宋体"/>
          <w:color w:val="auto"/>
          <w:sz w:val="21"/>
          <w:szCs w:val="24"/>
          <w:highlight w:val="none"/>
        </w:rPr>
      </w:pPr>
      <w:r>
        <w:rPr>
          <w:rFonts w:hint="eastAsia" w:ascii="Times New Roman" w:hAnsi="Times New Roman" w:eastAsia="宋体"/>
          <w:color w:val="auto"/>
          <w:sz w:val="21"/>
          <w:szCs w:val="24"/>
          <w:highlight w:val="none"/>
        </w:rPr>
        <w:t>电  话：</w:t>
      </w:r>
      <w:r>
        <w:rPr>
          <w:rFonts w:hint="eastAsia" w:ascii="Times New Roman" w:hAnsi="Times New Roman" w:eastAsia="宋体"/>
          <w:color w:val="auto"/>
          <w:sz w:val="21"/>
          <w:szCs w:val="24"/>
          <w:highlight w:val="none"/>
          <w:u w:val="none"/>
        </w:rPr>
        <w:t xml:space="preserve">   </w:t>
      </w:r>
      <w:r>
        <w:rPr>
          <w:rFonts w:hint="eastAsia" w:ascii="Times New Roman" w:hAnsi="Times New Roman" w:eastAsia="宋体"/>
          <w:color w:val="auto"/>
          <w:sz w:val="21"/>
          <w:szCs w:val="24"/>
          <w:highlight w:val="none"/>
        </w:rPr>
        <w:t xml:space="preserve">  电  话：</w:t>
      </w:r>
      <w:r>
        <w:rPr>
          <w:rFonts w:hint="eastAsia" w:ascii="Times New Roman" w:hAnsi="Times New Roman" w:eastAsia="宋体"/>
          <w:color w:val="auto"/>
          <w:sz w:val="21"/>
          <w:szCs w:val="24"/>
          <w:highlight w:val="none"/>
          <w:u w:val="none"/>
        </w:rPr>
        <w:t xml:space="preserve">     </w:t>
      </w:r>
    </w:p>
    <w:p w14:paraId="31AD1A1C">
      <w:pPr>
        <w:spacing w:line="400" w:lineRule="exact"/>
        <w:ind w:firstLine="420" w:firstLineChars="200"/>
        <w:rPr>
          <w:rFonts w:hint="eastAsia" w:ascii="Times New Roman" w:hAnsi="Times New Roman" w:eastAsia="宋体"/>
          <w:color w:val="auto"/>
          <w:sz w:val="21"/>
          <w:szCs w:val="24"/>
          <w:highlight w:val="none"/>
        </w:rPr>
      </w:pPr>
      <w:r>
        <w:rPr>
          <w:rFonts w:hint="eastAsia" w:ascii="Times New Roman" w:hAnsi="Times New Roman" w:eastAsia="宋体"/>
          <w:color w:val="auto"/>
          <w:sz w:val="21"/>
          <w:szCs w:val="24"/>
          <w:highlight w:val="none"/>
        </w:rPr>
        <w:t>传  真：</w:t>
      </w:r>
      <w:r>
        <w:rPr>
          <w:rFonts w:hint="eastAsia" w:ascii="Times New Roman" w:hAnsi="Times New Roman" w:eastAsia="宋体"/>
          <w:color w:val="auto"/>
          <w:sz w:val="21"/>
          <w:szCs w:val="24"/>
          <w:highlight w:val="none"/>
          <w:u w:val="none"/>
        </w:rPr>
        <w:t xml:space="preserve">   </w:t>
      </w:r>
      <w:r>
        <w:rPr>
          <w:rFonts w:hint="eastAsia" w:ascii="Times New Roman" w:hAnsi="Times New Roman" w:eastAsia="宋体"/>
          <w:color w:val="auto"/>
          <w:sz w:val="21"/>
          <w:szCs w:val="24"/>
          <w:highlight w:val="none"/>
        </w:rPr>
        <w:t xml:space="preserve">  传  真：</w:t>
      </w:r>
      <w:r>
        <w:rPr>
          <w:rFonts w:hint="eastAsia" w:ascii="Times New Roman" w:hAnsi="Times New Roman" w:eastAsia="宋体"/>
          <w:color w:val="auto"/>
          <w:sz w:val="21"/>
          <w:szCs w:val="24"/>
          <w:highlight w:val="none"/>
          <w:u w:val="none"/>
        </w:rPr>
        <w:t xml:space="preserve">     </w:t>
      </w:r>
    </w:p>
    <w:p w14:paraId="3D52DEC0">
      <w:pPr>
        <w:spacing w:line="400" w:lineRule="exact"/>
        <w:ind w:firstLine="420" w:firstLineChars="200"/>
        <w:rPr>
          <w:rFonts w:hint="eastAsia" w:ascii="Times New Roman" w:hAnsi="Times New Roman" w:eastAsia="宋体"/>
          <w:color w:val="auto"/>
          <w:sz w:val="21"/>
          <w:szCs w:val="24"/>
          <w:highlight w:val="none"/>
        </w:rPr>
      </w:pPr>
      <w:r>
        <w:rPr>
          <w:rFonts w:hint="eastAsia" w:ascii="Times New Roman" w:hAnsi="Times New Roman" w:eastAsia="宋体"/>
          <w:color w:val="auto"/>
          <w:sz w:val="21"/>
          <w:szCs w:val="24"/>
          <w:highlight w:val="none"/>
        </w:rPr>
        <w:t>电子信箱：</w:t>
      </w:r>
      <w:r>
        <w:rPr>
          <w:rFonts w:hint="eastAsia" w:ascii="Times New Roman" w:hAnsi="Times New Roman" w:eastAsia="宋体"/>
          <w:color w:val="auto"/>
          <w:sz w:val="21"/>
          <w:szCs w:val="24"/>
          <w:highlight w:val="none"/>
          <w:u w:val="none"/>
        </w:rPr>
        <w:t xml:space="preserve">                 </w:t>
      </w:r>
      <w:r>
        <w:rPr>
          <w:rFonts w:hint="eastAsia" w:ascii="Times New Roman" w:hAnsi="Times New Roman" w:eastAsia="宋体"/>
          <w:color w:val="auto"/>
          <w:sz w:val="21"/>
          <w:szCs w:val="24"/>
          <w:highlight w:val="none"/>
        </w:rPr>
        <w:t xml:space="preserve">  电子信箱：</w:t>
      </w:r>
      <w:r>
        <w:rPr>
          <w:rFonts w:hint="eastAsia" w:ascii="Times New Roman" w:hAnsi="Times New Roman" w:eastAsia="宋体"/>
          <w:color w:val="auto"/>
          <w:sz w:val="21"/>
          <w:szCs w:val="24"/>
          <w:highlight w:val="none"/>
          <w:u w:val="none"/>
        </w:rPr>
        <w:t xml:space="preserve">   </w:t>
      </w:r>
    </w:p>
    <w:p w14:paraId="3FE98253">
      <w:pPr>
        <w:spacing w:line="400" w:lineRule="exact"/>
        <w:ind w:firstLine="420" w:firstLineChars="200"/>
        <w:rPr>
          <w:rFonts w:hint="eastAsia" w:ascii="Times New Roman" w:hAnsi="Times New Roman" w:eastAsia="宋体"/>
          <w:color w:val="auto"/>
          <w:sz w:val="21"/>
          <w:szCs w:val="24"/>
          <w:highlight w:val="none"/>
        </w:rPr>
      </w:pPr>
      <w:r>
        <w:rPr>
          <w:rFonts w:hint="eastAsia" w:ascii="Times New Roman" w:hAnsi="Times New Roman" w:eastAsia="宋体"/>
          <w:color w:val="auto"/>
          <w:sz w:val="21"/>
          <w:szCs w:val="24"/>
          <w:highlight w:val="none"/>
        </w:rPr>
        <w:t>开户银行：</w:t>
      </w:r>
      <w:r>
        <w:rPr>
          <w:rFonts w:hint="eastAsia" w:ascii="Times New Roman" w:hAnsi="Times New Roman" w:eastAsia="宋体"/>
          <w:color w:val="auto"/>
          <w:sz w:val="21"/>
          <w:szCs w:val="24"/>
          <w:highlight w:val="none"/>
          <w:u w:val="none"/>
        </w:rPr>
        <w:t xml:space="preserve">   </w:t>
      </w:r>
      <w:r>
        <w:rPr>
          <w:rFonts w:hint="eastAsia" w:ascii="Times New Roman" w:hAnsi="Times New Roman" w:eastAsia="宋体"/>
          <w:color w:val="auto"/>
          <w:sz w:val="21"/>
          <w:szCs w:val="24"/>
          <w:highlight w:val="none"/>
        </w:rPr>
        <w:t xml:space="preserve">  开户银行：</w:t>
      </w:r>
      <w:r>
        <w:rPr>
          <w:rFonts w:hint="eastAsia" w:ascii="Times New Roman" w:hAnsi="Times New Roman" w:eastAsia="宋体"/>
          <w:color w:val="auto"/>
          <w:sz w:val="21"/>
          <w:szCs w:val="24"/>
          <w:highlight w:val="none"/>
          <w:u w:val="none"/>
        </w:rPr>
        <w:t xml:space="preserve">   </w:t>
      </w:r>
    </w:p>
    <w:p w14:paraId="54304F6F">
      <w:pPr>
        <w:spacing w:line="400" w:lineRule="exact"/>
        <w:ind w:firstLine="420" w:firstLineChars="200"/>
        <w:rPr>
          <w:rFonts w:hint="eastAsia" w:ascii="Times New Roman" w:hAnsi="Times New Roman" w:eastAsia="宋体"/>
          <w:color w:val="auto"/>
          <w:sz w:val="21"/>
          <w:szCs w:val="24"/>
          <w:highlight w:val="none"/>
        </w:rPr>
      </w:pPr>
      <w:r>
        <w:rPr>
          <w:rFonts w:hint="eastAsia" w:ascii="Times New Roman" w:hAnsi="Times New Roman" w:eastAsia="宋体"/>
          <w:color w:val="auto"/>
          <w:sz w:val="21"/>
          <w:szCs w:val="24"/>
          <w:highlight w:val="none"/>
        </w:rPr>
        <w:t>账  号：</w:t>
      </w:r>
      <w:r>
        <w:rPr>
          <w:rFonts w:hint="eastAsia" w:ascii="Times New Roman" w:hAnsi="Times New Roman" w:eastAsia="宋体"/>
          <w:color w:val="auto"/>
          <w:sz w:val="21"/>
          <w:szCs w:val="24"/>
          <w:highlight w:val="none"/>
          <w:u w:val="none"/>
        </w:rPr>
        <w:t xml:space="preserve">       </w:t>
      </w:r>
      <w:r>
        <w:rPr>
          <w:rFonts w:hint="eastAsia" w:ascii="Times New Roman" w:hAnsi="Times New Roman" w:eastAsia="宋体"/>
          <w:color w:val="auto"/>
          <w:sz w:val="21"/>
          <w:szCs w:val="24"/>
          <w:highlight w:val="none"/>
        </w:rPr>
        <w:t xml:space="preserve">   账  号：</w:t>
      </w:r>
      <w:r>
        <w:rPr>
          <w:rFonts w:hint="eastAsia" w:ascii="Times New Roman" w:hAnsi="Times New Roman" w:eastAsia="宋体"/>
          <w:color w:val="auto"/>
          <w:sz w:val="21"/>
          <w:szCs w:val="24"/>
          <w:highlight w:val="none"/>
          <w:u w:val="none"/>
        </w:rPr>
        <w:t xml:space="preserve">     </w:t>
      </w:r>
    </w:p>
    <w:p w14:paraId="621AEB55">
      <w:pPr>
        <w:ind w:firstLine="420" w:firstLineChars="200"/>
        <w:jc w:val="center"/>
        <w:rPr>
          <w:rFonts w:hint="eastAsia"/>
          <w:color w:val="auto"/>
          <w:highlight w:val="none"/>
        </w:rPr>
      </w:pPr>
      <w:r>
        <w:rPr>
          <w:rFonts w:hint="eastAsia" w:eastAsia="宋体"/>
          <w:color w:val="auto"/>
          <w:highlight w:val="none"/>
        </w:rPr>
        <w:br w:type="page"/>
      </w:r>
    </w:p>
    <w:p w14:paraId="57A18ADB">
      <w:pPr>
        <w:pStyle w:val="44"/>
        <w:jc w:val="center"/>
        <w:rPr>
          <w:rFonts w:ascii="黑体" w:eastAsia="黑体"/>
          <w:color w:val="auto"/>
          <w:szCs w:val="28"/>
          <w:highlight w:val="none"/>
        </w:rPr>
      </w:pPr>
      <w:r>
        <w:rPr>
          <w:rFonts w:hint="eastAsia"/>
          <w:color w:val="auto"/>
          <w:highlight w:val="none"/>
          <w:lang w:val="en-US" w:eastAsia="zh-CN"/>
        </w:rPr>
        <w:t>第二部分</w:t>
      </w:r>
      <w:r>
        <w:rPr>
          <w:rFonts w:hint="eastAsia"/>
          <w:color w:val="auto"/>
          <w:highlight w:val="none"/>
        </w:rPr>
        <w:t xml:space="preserve"> </w:t>
      </w:r>
      <w:bookmarkEnd w:id="221"/>
      <w:bookmarkEnd w:id="222"/>
      <w:bookmarkEnd w:id="223"/>
      <w:bookmarkEnd w:id="224"/>
      <w:r>
        <w:rPr>
          <w:rFonts w:hint="eastAsia" w:ascii="黑体" w:eastAsia="黑体"/>
          <w:color w:val="auto"/>
          <w:szCs w:val="28"/>
          <w:highlight w:val="none"/>
        </w:rPr>
        <w:t>通用合同条款</w:t>
      </w:r>
      <w:bookmarkEnd w:id="225"/>
      <w:bookmarkEnd w:id="226"/>
      <w:bookmarkEnd w:id="227"/>
    </w:p>
    <w:p w14:paraId="327346E7">
      <w:pPr>
        <w:spacing w:line="400" w:lineRule="exact"/>
        <w:rPr>
          <w:color w:val="auto"/>
          <w:highlight w:val="none"/>
        </w:rPr>
      </w:pPr>
    </w:p>
    <w:p w14:paraId="463398F4">
      <w:pPr>
        <w:pStyle w:val="44"/>
        <w:rPr>
          <w:color w:val="auto"/>
          <w:highlight w:val="none"/>
        </w:rPr>
      </w:pPr>
      <w:bookmarkStart w:id="241" w:name="_Toc152042389"/>
      <w:bookmarkStart w:id="242" w:name="_Toc152045611"/>
      <w:bookmarkStart w:id="243" w:name="_Toc11865"/>
      <w:bookmarkStart w:id="244" w:name="_Toc179632629"/>
      <w:bookmarkStart w:id="245" w:name="_Toc144974579"/>
      <w:bookmarkStart w:id="246" w:name="_Toc9464"/>
      <w:bookmarkStart w:id="247" w:name="_Toc23613"/>
      <w:r>
        <w:rPr>
          <w:rFonts w:hint="eastAsia"/>
          <w:color w:val="auto"/>
          <w:highlight w:val="none"/>
        </w:rPr>
        <w:t>1. 一般约定</w:t>
      </w:r>
      <w:bookmarkEnd w:id="241"/>
      <w:bookmarkEnd w:id="242"/>
      <w:bookmarkEnd w:id="243"/>
      <w:bookmarkEnd w:id="244"/>
      <w:bookmarkEnd w:id="245"/>
      <w:bookmarkEnd w:id="246"/>
      <w:bookmarkEnd w:id="247"/>
    </w:p>
    <w:p w14:paraId="4C370404">
      <w:pPr>
        <w:pStyle w:val="45"/>
        <w:rPr>
          <w:color w:val="auto"/>
          <w:highlight w:val="none"/>
        </w:rPr>
      </w:pPr>
      <w:bookmarkStart w:id="248" w:name="_Toc152042390"/>
      <w:bookmarkStart w:id="249" w:name="_Toc144974580"/>
      <w:bookmarkStart w:id="250" w:name="_Toc179632630"/>
      <w:bookmarkStart w:id="251" w:name="_Toc13201"/>
      <w:bookmarkStart w:id="252" w:name="_Toc152045612"/>
      <w:r>
        <w:rPr>
          <w:rFonts w:hint="eastAsia"/>
          <w:color w:val="auto"/>
          <w:highlight w:val="none"/>
        </w:rPr>
        <w:t>1.1 词语定义</w:t>
      </w:r>
      <w:bookmarkEnd w:id="248"/>
      <w:bookmarkEnd w:id="249"/>
      <w:bookmarkEnd w:id="250"/>
      <w:bookmarkEnd w:id="251"/>
      <w:bookmarkEnd w:id="252"/>
    </w:p>
    <w:p w14:paraId="72864F10">
      <w:pPr>
        <w:spacing w:line="400" w:lineRule="exact"/>
        <w:ind w:firstLine="420" w:firstLineChars="200"/>
        <w:rPr>
          <w:color w:val="auto"/>
          <w:highlight w:val="none"/>
        </w:rPr>
      </w:pPr>
      <w:r>
        <w:rPr>
          <w:rFonts w:hint="eastAsia"/>
          <w:color w:val="auto"/>
          <w:highlight w:val="none"/>
          <w:lang w:val="en-US" w:eastAsia="zh-CN"/>
        </w:rPr>
        <w:t>合同协议书、</w:t>
      </w:r>
      <w:r>
        <w:rPr>
          <w:rFonts w:hint="eastAsia"/>
          <w:color w:val="auto"/>
          <w:highlight w:val="none"/>
        </w:rPr>
        <w:t>通用合同条款、专用合同条款中的下列词语应具有本款所赋予的含义。</w:t>
      </w:r>
    </w:p>
    <w:p w14:paraId="7EAAC4F9">
      <w:pPr>
        <w:spacing w:line="400" w:lineRule="exact"/>
        <w:ind w:firstLine="420" w:firstLineChars="200"/>
        <w:rPr>
          <w:color w:val="auto"/>
          <w:highlight w:val="none"/>
        </w:rPr>
      </w:pPr>
      <w:r>
        <w:rPr>
          <w:rFonts w:hint="eastAsia"/>
          <w:color w:val="auto"/>
          <w:highlight w:val="none"/>
        </w:rPr>
        <w:t xml:space="preserve">1.1.1 </w:t>
      </w:r>
      <w:r>
        <w:rPr>
          <w:rFonts w:hint="eastAsia" w:ascii="黑体" w:eastAsia="黑体"/>
          <w:color w:val="auto"/>
          <w:highlight w:val="none"/>
        </w:rPr>
        <w:t>合同</w:t>
      </w:r>
    </w:p>
    <w:p w14:paraId="4A1A25E6">
      <w:pPr>
        <w:spacing w:line="400" w:lineRule="exact"/>
        <w:ind w:firstLine="718" w:firstLineChars="342"/>
        <w:rPr>
          <w:color w:val="auto"/>
          <w:highlight w:val="none"/>
        </w:rPr>
      </w:pPr>
      <w:r>
        <w:rPr>
          <w:rFonts w:hint="eastAsia"/>
          <w:color w:val="auto"/>
          <w:highlight w:val="none"/>
        </w:rPr>
        <w:t>1.1.1.1 合同文件（或称合同）：指合同协议书、中标通知书、投标函及投标函附录、专用合同条款、通用合同条款、技术标准和要求、图纸、已标价工程量清单，以及其他合同文件。</w:t>
      </w:r>
    </w:p>
    <w:p w14:paraId="642A1BF8">
      <w:pPr>
        <w:spacing w:line="400" w:lineRule="exact"/>
        <w:ind w:firstLine="718" w:firstLineChars="342"/>
        <w:rPr>
          <w:color w:val="auto"/>
          <w:highlight w:val="none"/>
        </w:rPr>
      </w:pPr>
      <w:r>
        <w:rPr>
          <w:rFonts w:hint="eastAsia"/>
          <w:color w:val="auto"/>
          <w:highlight w:val="none"/>
        </w:rPr>
        <w:t>1.1.1.2 合同协议书：指第1.5款所指的合同协议书。</w:t>
      </w:r>
    </w:p>
    <w:p w14:paraId="18877110">
      <w:pPr>
        <w:spacing w:line="400" w:lineRule="exact"/>
        <w:ind w:firstLine="718" w:firstLineChars="342"/>
        <w:rPr>
          <w:color w:val="auto"/>
          <w:highlight w:val="none"/>
        </w:rPr>
      </w:pPr>
      <w:r>
        <w:rPr>
          <w:rFonts w:hint="eastAsia"/>
          <w:color w:val="auto"/>
          <w:highlight w:val="none"/>
        </w:rPr>
        <w:t>1.1.1.3 中标通知书：指发包人通知承包人中标的函件。</w:t>
      </w:r>
    </w:p>
    <w:p w14:paraId="781728BB">
      <w:pPr>
        <w:spacing w:line="400" w:lineRule="exact"/>
        <w:ind w:firstLine="718" w:firstLineChars="342"/>
        <w:rPr>
          <w:dstrike/>
          <w:color w:val="auto"/>
          <w:szCs w:val="21"/>
          <w:highlight w:val="none"/>
        </w:rPr>
      </w:pPr>
      <w:r>
        <w:rPr>
          <w:rFonts w:hint="eastAsia"/>
          <w:color w:val="auto"/>
          <w:highlight w:val="none"/>
        </w:rPr>
        <w:t>1.1.1.4 投标函：指构成合同文件组成部分的由承包人填写并签署的投标函。</w:t>
      </w:r>
    </w:p>
    <w:p w14:paraId="63D1A584">
      <w:pPr>
        <w:spacing w:line="400" w:lineRule="exact"/>
        <w:ind w:firstLine="718" w:firstLineChars="342"/>
        <w:rPr>
          <w:color w:val="auto"/>
          <w:highlight w:val="none"/>
        </w:rPr>
      </w:pPr>
      <w:r>
        <w:rPr>
          <w:rFonts w:hint="eastAsia"/>
          <w:color w:val="auto"/>
          <w:highlight w:val="none"/>
        </w:rPr>
        <w:t>1.1.1.5 投标函附录：指附在投标函后构成合同文件的投标函附录。</w:t>
      </w:r>
    </w:p>
    <w:p w14:paraId="27B3753E">
      <w:pPr>
        <w:spacing w:line="400" w:lineRule="exact"/>
        <w:ind w:firstLine="718" w:firstLineChars="342"/>
        <w:rPr>
          <w:color w:val="auto"/>
          <w:highlight w:val="none"/>
        </w:rPr>
      </w:pPr>
      <w:r>
        <w:rPr>
          <w:rFonts w:hint="eastAsia"/>
          <w:color w:val="auto"/>
          <w:highlight w:val="none"/>
        </w:rPr>
        <w:t>1.1.1.6 技术标准和要求：指构成合同文件组成部分的名为技术标准和要求的文件，包括合同双方当事人约定对其所作的修改或补充。</w:t>
      </w:r>
    </w:p>
    <w:p w14:paraId="54787DC7">
      <w:pPr>
        <w:spacing w:line="400" w:lineRule="exact"/>
        <w:ind w:firstLine="718" w:firstLineChars="342"/>
        <w:rPr>
          <w:color w:val="auto"/>
          <w:highlight w:val="none"/>
        </w:rPr>
      </w:pPr>
      <w:r>
        <w:rPr>
          <w:rFonts w:hint="eastAsia"/>
          <w:color w:val="auto"/>
          <w:highlight w:val="none"/>
        </w:rPr>
        <w:t>1.1.1.7图纸：指包含在合同中的工程图纸，以及由发包人按合同约定提供的任何补充和修改的图纸，包括配套的说明。</w:t>
      </w:r>
    </w:p>
    <w:p w14:paraId="315F4A83">
      <w:pPr>
        <w:spacing w:line="400" w:lineRule="exact"/>
        <w:ind w:firstLine="718" w:firstLineChars="342"/>
        <w:rPr>
          <w:color w:val="auto"/>
          <w:highlight w:val="none"/>
        </w:rPr>
      </w:pPr>
      <w:r>
        <w:rPr>
          <w:rFonts w:hint="eastAsia"/>
          <w:color w:val="auto"/>
          <w:highlight w:val="none"/>
        </w:rPr>
        <w:t>1.1.1.8 已标价工程量清单：指构成合同文件组成部分的由承包人按照规定的格式和要求填写并标明价格的工程量清单。</w:t>
      </w:r>
    </w:p>
    <w:p w14:paraId="12DD536E">
      <w:pPr>
        <w:spacing w:line="400" w:lineRule="exact"/>
        <w:ind w:firstLine="718" w:firstLineChars="342"/>
        <w:rPr>
          <w:color w:val="auto"/>
          <w:highlight w:val="none"/>
        </w:rPr>
      </w:pPr>
      <w:r>
        <w:rPr>
          <w:rFonts w:hint="eastAsia"/>
          <w:color w:val="auto"/>
          <w:highlight w:val="none"/>
        </w:rPr>
        <w:t>1.1.1.9 其他合同文件：指经合同双方当事人确认构成合同文件的其他文件。</w:t>
      </w:r>
    </w:p>
    <w:p w14:paraId="00E84E3E">
      <w:pPr>
        <w:spacing w:line="400" w:lineRule="exact"/>
        <w:ind w:firstLine="420" w:firstLineChars="200"/>
        <w:rPr>
          <w:color w:val="auto"/>
          <w:highlight w:val="none"/>
        </w:rPr>
      </w:pPr>
      <w:r>
        <w:rPr>
          <w:rFonts w:hint="eastAsia"/>
          <w:color w:val="auto"/>
          <w:highlight w:val="none"/>
        </w:rPr>
        <w:t xml:space="preserve">1.1.2 </w:t>
      </w:r>
      <w:r>
        <w:rPr>
          <w:rFonts w:hint="eastAsia" w:ascii="黑体" w:eastAsia="黑体"/>
          <w:color w:val="auto"/>
          <w:highlight w:val="none"/>
        </w:rPr>
        <w:t>合同当事人和人员</w:t>
      </w:r>
    </w:p>
    <w:p w14:paraId="39F425E7">
      <w:pPr>
        <w:spacing w:line="400" w:lineRule="exact"/>
        <w:ind w:firstLine="718" w:firstLineChars="342"/>
        <w:rPr>
          <w:color w:val="auto"/>
          <w:highlight w:val="none"/>
        </w:rPr>
      </w:pPr>
      <w:r>
        <w:rPr>
          <w:rFonts w:hint="eastAsia"/>
          <w:color w:val="auto"/>
          <w:highlight w:val="none"/>
        </w:rPr>
        <w:t>1.1.2.1 合同当事人:指发包人和（或）承包人。</w:t>
      </w:r>
    </w:p>
    <w:p w14:paraId="3303998F">
      <w:pPr>
        <w:spacing w:line="400" w:lineRule="exact"/>
        <w:ind w:firstLine="718" w:firstLineChars="342"/>
        <w:rPr>
          <w:color w:val="auto"/>
          <w:highlight w:val="none"/>
        </w:rPr>
      </w:pPr>
      <w:r>
        <w:rPr>
          <w:rFonts w:hint="eastAsia"/>
          <w:color w:val="auto"/>
          <w:highlight w:val="none"/>
        </w:rPr>
        <w:t>1.1.2.2 发包人：指专用合同条款中指明并与承包人在合同协议书中签字的当事人。</w:t>
      </w:r>
    </w:p>
    <w:p w14:paraId="47B0DD11">
      <w:pPr>
        <w:spacing w:line="400" w:lineRule="exact"/>
        <w:ind w:firstLine="718" w:firstLineChars="342"/>
        <w:rPr>
          <w:color w:val="auto"/>
          <w:highlight w:val="none"/>
        </w:rPr>
      </w:pPr>
      <w:r>
        <w:rPr>
          <w:rFonts w:hint="eastAsia"/>
          <w:color w:val="auto"/>
          <w:highlight w:val="none"/>
        </w:rPr>
        <w:t>1.1.2.3 承包人：指与发包人签订合同协议书的当事人。</w:t>
      </w:r>
    </w:p>
    <w:p w14:paraId="0A6961DF">
      <w:pPr>
        <w:spacing w:line="400" w:lineRule="exact"/>
        <w:ind w:firstLine="718" w:firstLineChars="342"/>
        <w:rPr>
          <w:color w:val="auto"/>
          <w:highlight w:val="none"/>
        </w:rPr>
      </w:pPr>
      <w:r>
        <w:rPr>
          <w:rFonts w:hint="eastAsia"/>
          <w:color w:val="auto"/>
          <w:highlight w:val="none"/>
        </w:rPr>
        <w:t>1.1.2.4 承包人项目经理：指承包人派驻施工场地的全权负责人。</w:t>
      </w:r>
    </w:p>
    <w:p w14:paraId="0E74838A">
      <w:pPr>
        <w:spacing w:line="400" w:lineRule="exact"/>
        <w:ind w:firstLine="718" w:firstLineChars="342"/>
        <w:rPr>
          <w:color w:val="auto"/>
          <w:highlight w:val="none"/>
        </w:rPr>
      </w:pPr>
      <w:r>
        <w:rPr>
          <w:rFonts w:hint="eastAsia"/>
          <w:color w:val="auto"/>
          <w:highlight w:val="none"/>
        </w:rPr>
        <w:t>1.1.2.5 分包人：指从承包人处分包合同中某一部分工程，并与其签订分包合同的分包人。</w:t>
      </w:r>
    </w:p>
    <w:p w14:paraId="26D537D6">
      <w:pPr>
        <w:spacing w:line="400" w:lineRule="exact"/>
        <w:ind w:firstLine="718" w:firstLineChars="342"/>
        <w:rPr>
          <w:color w:val="auto"/>
          <w:highlight w:val="none"/>
        </w:rPr>
      </w:pPr>
      <w:r>
        <w:rPr>
          <w:rFonts w:hint="eastAsia"/>
          <w:color w:val="auto"/>
          <w:highlight w:val="none"/>
        </w:rPr>
        <w:t>1.1.2.6 监理人：指在专用合同条款中指明的，受发包人委托对合同履行实施管理的法人或其他组织。</w:t>
      </w:r>
    </w:p>
    <w:p w14:paraId="5D71C93B">
      <w:pPr>
        <w:spacing w:line="400" w:lineRule="exact"/>
        <w:ind w:firstLine="718" w:firstLineChars="342"/>
        <w:rPr>
          <w:color w:val="auto"/>
          <w:highlight w:val="none"/>
        </w:rPr>
      </w:pPr>
      <w:r>
        <w:rPr>
          <w:rFonts w:hint="eastAsia"/>
          <w:color w:val="auto"/>
          <w:highlight w:val="none"/>
        </w:rPr>
        <w:t>1.1.2.7 总监理工程师（总监）：指由监理人委派常驻施工场地对合同履行实施管理的全权负责人。</w:t>
      </w:r>
    </w:p>
    <w:p w14:paraId="7562966A">
      <w:pPr>
        <w:spacing w:line="400" w:lineRule="exact"/>
        <w:ind w:firstLine="420" w:firstLineChars="200"/>
        <w:rPr>
          <w:color w:val="auto"/>
          <w:highlight w:val="none"/>
        </w:rPr>
      </w:pPr>
      <w:r>
        <w:rPr>
          <w:rFonts w:hint="eastAsia"/>
          <w:color w:val="auto"/>
          <w:highlight w:val="none"/>
        </w:rPr>
        <w:t xml:space="preserve">1.1.3 </w:t>
      </w:r>
      <w:r>
        <w:rPr>
          <w:rFonts w:hint="eastAsia" w:ascii="黑体" w:eastAsia="黑体"/>
          <w:color w:val="auto"/>
          <w:highlight w:val="none"/>
        </w:rPr>
        <w:t>工程和设备</w:t>
      </w:r>
    </w:p>
    <w:p w14:paraId="4173F2DE">
      <w:pPr>
        <w:spacing w:line="400" w:lineRule="exact"/>
        <w:ind w:firstLine="718" w:firstLineChars="342"/>
        <w:rPr>
          <w:color w:val="auto"/>
          <w:highlight w:val="none"/>
        </w:rPr>
      </w:pPr>
      <w:r>
        <w:rPr>
          <w:rFonts w:hint="eastAsia"/>
          <w:color w:val="auto"/>
          <w:highlight w:val="none"/>
        </w:rPr>
        <w:t>1.1.3.1 工程：指永久工程和（或）临时工程。</w:t>
      </w:r>
    </w:p>
    <w:p w14:paraId="30845F42">
      <w:pPr>
        <w:spacing w:line="400" w:lineRule="exact"/>
        <w:ind w:firstLine="718" w:firstLineChars="342"/>
        <w:rPr>
          <w:color w:val="auto"/>
          <w:highlight w:val="none"/>
        </w:rPr>
      </w:pPr>
      <w:r>
        <w:rPr>
          <w:rFonts w:hint="eastAsia"/>
          <w:color w:val="auto"/>
          <w:highlight w:val="none"/>
        </w:rPr>
        <w:t>1.1.3.2 永久工程：指按合同约定建造并移交给发包人的工程，包括工程设备。</w:t>
      </w:r>
    </w:p>
    <w:p w14:paraId="43E5FBDB">
      <w:pPr>
        <w:spacing w:line="400" w:lineRule="exact"/>
        <w:ind w:firstLine="718" w:firstLineChars="342"/>
        <w:rPr>
          <w:color w:val="auto"/>
          <w:highlight w:val="none"/>
        </w:rPr>
      </w:pPr>
      <w:r>
        <w:rPr>
          <w:rFonts w:hint="eastAsia"/>
          <w:color w:val="auto"/>
          <w:highlight w:val="none"/>
        </w:rPr>
        <w:t>1.1.3.3 临时工程：指为完成合同约定的永久工程所修建的各类临时性工程，不包括施工设备。</w:t>
      </w:r>
    </w:p>
    <w:p w14:paraId="43454947">
      <w:pPr>
        <w:spacing w:line="400" w:lineRule="exact"/>
        <w:ind w:firstLine="718" w:firstLineChars="342"/>
        <w:rPr>
          <w:color w:val="auto"/>
          <w:highlight w:val="none"/>
        </w:rPr>
      </w:pPr>
      <w:r>
        <w:rPr>
          <w:rFonts w:hint="eastAsia"/>
          <w:color w:val="auto"/>
          <w:highlight w:val="none"/>
        </w:rPr>
        <w:t>1.1.3.4 单位工程：指专用合同条款中指明特定范围的永久工程。</w:t>
      </w:r>
    </w:p>
    <w:p w14:paraId="5D8859DA">
      <w:pPr>
        <w:spacing w:line="400" w:lineRule="exact"/>
        <w:ind w:firstLine="718" w:firstLineChars="342"/>
        <w:rPr>
          <w:color w:val="auto"/>
          <w:highlight w:val="none"/>
        </w:rPr>
      </w:pPr>
      <w:r>
        <w:rPr>
          <w:rFonts w:hint="eastAsia"/>
          <w:color w:val="auto"/>
          <w:highlight w:val="none"/>
        </w:rPr>
        <w:t>1.1.3.5 工程设备：指构成或计划构成永久工程一部分的机电设备、金属结构设备、仪器装置及其他类似的设备和装置。</w:t>
      </w:r>
    </w:p>
    <w:p w14:paraId="6319E300">
      <w:pPr>
        <w:spacing w:line="400" w:lineRule="exact"/>
        <w:ind w:firstLine="718" w:firstLineChars="342"/>
        <w:rPr>
          <w:color w:val="auto"/>
          <w:highlight w:val="none"/>
        </w:rPr>
      </w:pPr>
      <w:r>
        <w:rPr>
          <w:rFonts w:hint="eastAsia"/>
          <w:color w:val="auto"/>
          <w:highlight w:val="none"/>
        </w:rPr>
        <w:t>1.1.3.6 施工设备：指为完成合同约定的各项工作所需的设备、器具和其他物品，不包括临时工程和材料。</w:t>
      </w:r>
    </w:p>
    <w:p w14:paraId="39C86053">
      <w:pPr>
        <w:spacing w:line="400" w:lineRule="exact"/>
        <w:ind w:firstLine="718" w:firstLineChars="342"/>
        <w:rPr>
          <w:color w:val="auto"/>
          <w:highlight w:val="none"/>
        </w:rPr>
      </w:pPr>
      <w:r>
        <w:rPr>
          <w:rFonts w:hint="eastAsia"/>
          <w:color w:val="auto"/>
          <w:highlight w:val="none"/>
        </w:rPr>
        <w:t>1.1.3.7 临时设施：指为完成合同约定的各项工作所服务的临时性生产和生活设施。</w:t>
      </w:r>
    </w:p>
    <w:p w14:paraId="1C567509">
      <w:pPr>
        <w:spacing w:line="400" w:lineRule="exact"/>
        <w:ind w:firstLine="718" w:firstLineChars="342"/>
        <w:rPr>
          <w:color w:val="auto"/>
          <w:highlight w:val="none"/>
        </w:rPr>
      </w:pPr>
      <w:r>
        <w:rPr>
          <w:rFonts w:hint="eastAsia"/>
          <w:color w:val="auto"/>
          <w:highlight w:val="none"/>
        </w:rPr>
        <w:t>1.1.3.8 承包人设备：指承包人自带的施工设备。</w:t>
      </w:r>
    </w:p>
    <w:p w14:paraId="10C32673">
      <w:pPr>
        <w:spacing w:line="400" w:lineRule="exact"/>
        <w:ind w:firstLine="718" w:firstLineChars="342"/>
        <w:rPr>
          <w:color w:val="auto"/>
          <w:highlight w:val="none"/>
        </w:rPr>
      </w:pPr>
      <w:r>
        <w:rPr>
          <w:rFonts w:hint="eastAsia"/>
          <w:color w:val="auto"/>
          <w:highlight w:val="none"/>
        </w:rPr>
        <w:t>1.1.3.9 施工场地（或称工地、现场）：指用于合同工程施工的场所，以及在合同中指定作为施工场地组成部分的其他场所，包括永久占地和临时占地。</w:t>
      </w:r>
    </w:p>
    <w:p w14:paraId="0B0F3EF3">
      <w:pPr>
        <w:spacing w:line="400" w:lineRule="exact"/>
        <w:ind w:firstLine="718" w:firstLineChars="342"/>
        <w:rPr>
          <w:color w:val="auto"/>
          <w:highlight w:val="none"/>
        </w:rPr>
      </w:pPr>
      <w:r>
        <w:rPr>
          <w:rFonts w:hint="eastAsia"/>
          <w:color w:val="auto"/>
          <w:highlight w:val="none"/>
        </w:rPr>
        <w:t>1.1.3.10 永久占地：指专用合同条款中指明为实施合同工程需永久占用的土地。</w:t>
      </w:r>
    </w:p>
    <w:p w14:paraId="357F7F18">
      <w:pPr>
        <w:spacing w:line="400" w:lineRule="exact"/>
        <w:ind w:firstLine="718" w:firstLineChars="342"/>
        <w:rPr>
          <w:color w:val="auto"/>
          <w:highlight w:val="none"/>
        </w:rPr>
      </w:pPr>
      <w:r>
        <w:rPr>
          <w:rFonts w:hint="eastAsia"/>
          <w:color w:val="auto"/>
          <w:highlight w:val="none"/>
        </w:rPr>
        <w:t>1.1.3.11 临时占地：指专用合同条款中指明为实施合同工程需临时占用的土地。</w:t>
      </w:r>
    </w:p>
    <w:p w14:paraId="4B5C9B80">
      <w:pPr>
        <w:spacing w:line="400" w:lineRule="exact"/>
        <w:ind w:firstLine="420" w:firstLineChars="200"/>
        <w:rPr>
          <w:color w:val="auto"/>
          <w:highlight w:val="none"/>
        </w:rPr>
      </w:pPr>
      <w:r>
        <w:rPr>
          <w:rFonts w:hint="eastAsia"/>
          <w:color w:val="auto"/>
          <w:highlight w:val="none"/>
        </w:rPr>
        <w:t xml:space="preserve">1.1.4 </w:t>
      </w:r>
      <w:r>
        <w:rPr>
          <w:rFonts w:hint="eastAsia" w:ascii="黑体" w:eastAsia="黑体"/>
          <w:color w:val="auto"/>
          <w:highlight w:val="none"/>
        </w:rPr>
        <w:t>日期</w:t>
      </w:r>
    </w:p>
    <w:p w14:paraId="45B2D819">
      <w:pPr>
        <w:spacing w:line="400" w:lineRule="exact"/>
        <w:ind w:firstLine="718" w:firstLineChars="342"/>
        <w:rPr>
          <w:color w:val="auto"/>
          <w:highlight w:val="none"/>
        </w:rPr>
      </w:pPr>
      <w:r>
        <w:rPr>
          <w:rFonts w:hint="eastAsia"/>
          <w:color w:val="auto"/>
          <w:highlight w:val="none"/>
        </w:rPr>
        <w:t>1.1.4.1 开工通知：指监理人按第11.1款通知承包人开工的函件。</w:t>
      </w:r>
    </w:p>
    <w:p w14:paraId="6161CEE4">
      <w:pPr>
        <w:spacing w:line="400" w:lineRule="exact"/>
        <w:ind w:firstLine="718" w:firstLineChars="342"/>
        <w:rPr>
          <w:color w:val="auto"/>
          <w:highlight w:val="none"/>
        </w:rPr>
      </w:pPr>
      <w:r>
        <w:rPr>
          <w:rFonts w:hint="eastAsia"/>
          <w:color w:val="auto"/>
          <w:highlight w:val="none"/>
        </w:rPr>
        <w:t>1.1.4.2 开工日期：指监理人按第11.1款发出的开工通知中写明的开工日期。</w:t>
      </w:r>
    </w:p>
    <w:p w14:paraId="259DF690">
      <w:pPr>
        <w:spacing w:line="400" w:lineRule="exact"/>
        <w:ind w:firstLine="718" w:firstLineChars="342"/>
        <w:rPr>
          <w:color w:val="auto"/>
          <w:highlight w:val="none"/>
        </w:rPr>
      </w:pPr>
      <w:r>
        <w:rPr>
          <w:rFonts w:hint="eastAsia"/>
          <w:color w:val="auto"/>
          <w:highlight w:val="none"/>
        </w:rPr>
        <w:t>1.1.4.3工期：指承包人在投标函中承诺的完成合同工程所需的期限，包括按第11.3款、第11.4款和第11.6款约定所作的变更。</w:t>
      </w:r>
    </w:p>
    <w:p w14:paraId="28622DC1">
      <w:pPr>
        <w:spacing w:line="400" w:lineRule="exact"/>
        <w:ind w:firstLine="718" w:firstLineChars="342"/>
        <w:rPr>
          <w:color w:val="auto"/>
          <w:highlight w:val="none"/>
        </w:rPr>
      </w:pPr>
      <w:r>
        <w:rPr>
          <w:rFonts w:hint="eastAsia"/>
          <w:color w:val="auto"/>
          <w:highlight w:val="none"/>
        </w:rPr>
        <w:t>1.1.4.4 竣工日期：指第1.1.4.3目约定工期届满时的日期。实际竣工日期以工程接收证书中写明的日期为准。</w:t>
      </w:r>
    </w:p>
    <w:p w14:paraId="1C182D49">
      <w:pPr>
        <w:spacing w:line="400" w:lineRule="exact"/>
        <w:ind w:firstLine="718" w:firstLineChars="342"/>
        <w:rPr>
          <w:color w:val="auto"/>
          <w:highlight w:val="none"/>
        </w:rPr>
      </w:pPr>
      <w:r>
        <w:rPr>
          <w:rFonts w:hint="eastAsia"/>
          <w:color w:val="auto"/>
          <w:highlight w:val="none"/>
        </w:rPr>
        <w:t>1.1.4.5 缺陷责任期：指履行第19.2款约定的缺陷责任的期限，具体期限由专用合同条款约定，包括根据第19.3款约定所作的延长。</w:t>
      </w:r>
    </w:p>
    <w:p w14:paraId="39E52A52">
      <w:pPr>
        <w:spacing w:line="400" w:lineRule="exact"/>
        <w:ind w:firstLine="718" w:firstLineChars="342"/>
        <w:rPr>
          <w:color w:val="auto"/>
          <w:highlight w:val="none"/>
        </w:rPr>
      </w:pPr>
      <w:r>
        <w:rPr>
          <w:rFonts w:hint="eastAsia"/>
          <w:color w:val="auto"/>
          <w:highlight w:val="none"/>
        </w:rPr>
        <w:t>1.1.4.6 基准日期：指投标截止时间前28天的日期。</w:t>
      </w:r>
    </w:p>
    <w:p w14:paraId="66F6079E">
      <w:pPr>
        <w:spacing w:line="400" w:lineRule="exact"/>
        <w:ind w:firstLine="718" w:firstLineChars="342"/>
        <w:rPr>
          <w:color w:val="auto"/>
          <w:highlight w:val="none"/>
        </w:rPr>
      </w:pPr>
      <w:r>
        <w:rPr>
          <w:rFonts w:hint="eastAsia"/>
          <w:color w:val="auto"/>
          <w:highlight w:val="none"/>
        </w:rPr>
        <w:t>1.1.4.7 天：除特别指明外，指日历天。合同中按天计算时间的，开始当天不计入，从次日开始计算。期限最后一天的截止时间为当天24:00。</w:t>
      </w:r>
    </w:p>
    <w:p w14:paraId="02639C19">
      <w:pPr>
        <w:spacing w:line="400" w:lineRule="exact"/>
        <w:ind w:firstLine="420" w:firstLineChars="200"/>
        <w:rPr>
          <w:color w:val="auto"/>
          <w:highlight w:val="none"/>
        </w:rPr>
      </w:pPr>
      <w:r>
        <w:rPr>
          <w:rFonts w:hint="eastAsia"/>
          <w:color w:val="auto"/>
          <w:highlight w:val="none"/>
        </w:rPr>
        <w:t xml:space="preserve">1.1.5 </w:t>
      </w:r>
      <w:r>
        <w:rPr>
          <w:rFonts w:hint="eastAsia" w:ascii="黑体" w:eastAsia="黑体"/>
          <w:color w:val="auto"/>
          <w:highlight w:val="none"/>
        </w:rPr>
        <w:t>合同价格和费用</w:t>
      </w:r>
    </w:p>
    <w:p w14:paraId="0C895CF4">
      <w:pPr>
        <w:spacing w:line="400" w:lineRule="exact"/>
        <w:ind w:firstLine="718" w:firstLineChars="342"/>
        <w:rPr>
          <w:color w:val="auto"/>
          <w:highlight w:val="none"/>
        </w:rPr>
      </w:pPr>
      <w:r>
        <w:rPr>
          <w:rFonts w:hint="eastAsia"/>
          <w:color w:val="auto"/>
          <w:highlight w:val="none"/>
        </w:rPr>
        <w:t>1.1.5.1 签约合同价：指</w:t>
      </w:r>
      <w:r>
        <w:rPr>
          <w:rFonts w:hint="eastAsia"/>
          <w:color w:val="auto"/>
          <w:highlight w:val="none"/>
          <w:lang w:eastAsia="zh-CN"/>
        </w:rPr>
        <w:t>签订合同</w:t>
      </w:r>
      <w:r>
        <w:rPr>
          <w:rFonts w:hint="eastAsia"/>
          <w:color w:val="auto"/>
          <w:highlight w:val="none"/>
        </w:rPr>
        <w:t>时合同协议书中写明的，包括了暂列金额、暂估价的合同总金额。</w:t>
      </w:r>
    </w:p>
    <w:p w14:paraId="179CDAD2">
      <w:pPr>
        <w:spacing w:line="400" w:lineRule="exact"/>
        <w:ind w:firstLine="718" w:firstLineChars="342"/>
        <w:rPr>
          <w:color w:val="auto"/>
          <w:highlight w:val="none"/>
        </w:rPr>
      </w:pPr>
      <w:r>
        <w:rPr>
          <w:rFonts w:hint="eastAsia"/>
          <w:color w:val="auto"/>
          <w:highlight w:val="none"/>
        </w:rPr>
        <w:t>1.1.5.2 合同价格：指承包人按合同约定完成了包括缺陷责任期内的全部承包工作后，发包人应付给承包人的金额，包括在履行合同过程中按合同约定进行的变更和调整。</w:t>
      </w:r>
    </w:p>
    <w:p w14:paraId="5F2A38BD">
      <w:pPr>
        <w:spacing w:line="400" w:lineRule="exact"/>
        <w:ind w:firstLine="718" w:firstLineChars="342"/>
        <w:rPr>
          <w:color w:val="auto"/>
          <w:highlight w:val="none"/>
        </w:rPr>
      </w:pPr>
      <w:r>
        <w:rPr>
          <w:rFonts w:hint="eastAsia"/>
          <w:color w:val="auto"/>
          <w:highlight w:val="none"/>
        </w:rPr>
        <w:t>1.1.5.3 费用：指为履行合同所发生的或将要发生的所有合理开支，包括管理费和应分摊的其他费用，但不包括利润。</w:t>
      </w:r>
    </w:p>
    <w:p w14:paraId="0EAD1D42">
      <w:pPr>
        <w:spacing w:line="400" w:lineRule="exact"/>
        <w:ind w:firstLine="718" w:firstLineChars="342"/>
        <w:rPr>
          <w:color w:val="auto"/>
          <w:highlight w:val="none"/>
        </w:rPr>
      </w:pPr>
      <w:r>
        <w:rPr>
          <w:rFonts w:hint="eastAsia"/>
          <w:color w:val="auto"/>
          <w:highlight w:val="none"/>
        </w:rPr>
        <w:t>1.1.5.4 暂列金额：指已标价工程量清单中所列的暂列金额，用于在签订协议书时尚未确定或不可预见变更的施工及其所需材料、工程设备、服务等的金额，包括以计日工方式支付的金额。</w:t>
      </w:r>
    </w:p>
    <w:p w14:paraId="4F08DE04">
      <w:pPr>
        <w:spacing w:line="400" w:lineRule="exact"/>
        <w:ind w:firstLine="718" w:firstLineChars="342"/>
        <w:rPr>
          <w:color w:val="auto"/>
          <w:highlight w:val="none"/>
        </w:rPr>
      </w:pPr>
      <w:r>
        <w:rPr>
          <w:rFonts w:hint="eastAsia"/>
          <w:color w:val="auto"/>
          <w:highlight w:val="none"/>
        </w:rPr>
        <w:t>1.1.5.5暂估价：指发包人在工程量清单中给定的用于支付必然发生但暂时不能确定价格的材料、设备以及专业工程的金额。</w:t>
      </w:r>
    </w:p>
    <w:p w14:paraId="14020FC0">
      <w:pPr>
        <w:spacing w:line="400" w:lineRule="exact"/>
        <w:ind w:firstLine="718" w:firstLineChars="342"/>
        <w:rPr>
          <w:color w:val="auto"/>
          <w:highlight w:val="none"/>
        </w:rPr>
      </w:pPr>
      <w:r>
        <w:rPr>
          <w:rFonts w:hint="eastAsia"/>
          <w:color w:val="auto"/>
          <w:highlight w:val="none"/>
        </w:rPr>
        <w:t>1.1.5.6 计日工：指对零星工作采取的一种计价方式，按合同中的计日工子目及其单价计价付款。</w:t>
      </w:r>
    </w:p>
    <w:p w14:paraId="6C33818A">
      <w:pPr>
        <w:spacing w:line="400" w:lineRule="exact"/>
        <w:ind w:firstLine="718" w:firstLineChars="342"/>
        <w:rPr>
          <w:color w:val="auto"/>
          <w:highlight w:val="none"/>
        </w:rPr>
      </w:pPr>
      <w:r>
        <w:rPr>
          <w:rFonts w:hint="eastAsia"/>
          <w:color w:val="auto"/>
          <w:highlight w:val="none"/>
        </w:rPr>
        <w:t>1.1.5.7 质量保证金（或称保留金）：指按第17.4.1项约定用于保证在缺陷责任期内履行缺陷修复义务的金额。</w:t>
      </w:r>
    </w:p>
    <w:p w14:paraId="7BABA147">
      <w:pPr>
        <w:spacing w:line="400" w:lineRule="exact"/>
        <w:ind w:firstLine="420" w:firstLineChars="200"/>
        <w:rPr>
          <w:color w:val="auto"/>
          <w:highlight w:val="none"/>
        </w:rPr>
      </w:pPr>
      <w:r>
        <w:rPr>
          <w:rFonts w:hint="eastAsia"/>
          <w:color w:val="auto"/>
          <w:highlight w:val="none"/>
        </w:rPr>
        <w:t xml:space="preserve">1.1.6 </w:t>
      </w:r>
      <w:r>
        <w:rPr>
          <w:rFonts w:hint="eastAsia" w:ascii="黑体" w:eastAsia="黑体"/>
          <w:color w:val="auto"/>
          <w:highlight w:val="none"/>
        </w:rPr>
        <w:t>其他</w:t>
      </w:r>
    </w:p>
    <w:p w14:paraId="251C31FB">
      <w:pPr>
        <w:spacing w:line="400" w:lineRule="exact"/>
        <w:ind w:firstLine="718" w:firstLineChars="342"/>
        <w:rPr>
          <w:color w:val="auto"/>
          <w:highlight w:val="none"/>
        </w:rPr>
      </w:pPr>
      <w:r>
        <w:rPr>
          <w:rFonts w:hint="eastAsia"/>
          <w:color w:val="auto"/>
          <w:highlight w:val="none"/>
        </w:rPr>
        <w:t>1.1.6.1 书面形式：指合同文件、信函、电报、传真等可以有形地表现所载内容的形式。</w:t>
      </w:r>
    </w:p>
    <w:p w14:paraId="5F493321">
      <w:pPr>
        <w:pStyle w:val="45"/>
        <w:rPr>
          <w:color w:val="auto"/>
          <w:highlight w:val="none"/>
        </w:rPr>
      </w:pPr>
      <w:bookmarkStart w:id="253" w:name="_Toc179632631"/>
      <w:bookmarkStart w:id="254" w:name="_Toc27245"/>
      <w:bookmarkStart w:id="255" w:name="_Toc144974581"/>
      <w:bookmarkStart w:id="256" w:name="_Toc152045613"/>
      <w:bookmarkStart w:id="257" w:name="_Toc152042391"/>
      <w:r>
        <w:rPr>
          <w:rFonts w:hint="eastAsia"/>
          <w:color w:val="auto"/>
          <w:highlight w:val="none"/>
        </w:rPr>
        <w:t>1.2 语言文字</w:t>
      </w:r>
      <w:bookmarkEnd w:id="253"/>
      <w:bookmarkEnd w:id="254"/>
      <w:bookmarkEnd w:id="255"/>
      <w:bookmarkEnd w:id="256"/>
      <w:bookmarkEnd w:id="257"/>
    </w:p>
    <w:p w14:paraId="5758AE10">
      <w:pPr>
        <w:spacing w:line="400" w:lineRule="exact"/>
        <w:ind w:firstLine="420" w:firstLineChars="200"/>
        <w:rPr>
          <w:color w:val="auto"/>
          <w:highlight w:val="none"/>
        </w:rPr>
      </w:pPr>
      <w:r>
        <w:rPr>
          <w:rFonts w:hint="eastAsia"/>
          <w:color w:val="auto"/>
          <w:highlight w:val="none"/>
        </w:rPr>
        <w:t>除专用术语外，合同使用的语言文字为中文。必要时专用术语应附有中文注释。</w:t>
      </w:r>
    </w:p>
    <w:p w14:paraId="546C5803">
      <w:pPr>
        <w:pStyle w:val="45"/>
        <w:rPr>
          <w:color w:val="auto"/>
          <w:highlight w:val="none"/>
        </w:rPr>
      </w:pPr>
      <w:bookmarkStart w:id="258" w:name="_Toc15807"/>
      <w:bookmarkStart w:id="259" w:name="_Toc144974582"/>
      <w:bookmarkStart w:id="260" w:name="_Toc152042392"/>
      <w:bookmarkStart w:id="261" w:name="_Toc152045614"/>
      <w:bookmarkStart w:id="262" w:name="_Toc179632632"/>
      <w:r>
        <w:rPr>
          <w:rFonts w:hint="eastAsia"/>
          <w:color w:val="auto"/>
          <w:highlight w:val="none"/>
        </w:rPr>
        <w:t>1.3 法律</w:t>
      </w:r>
      <w:bookmarkEnd w:id="258"/>
      <w:bookmarkEnd w:id="259"/>
      <w:bookmarkEnd w:id="260"/>
      <w:bookmarkEnd w:id="261"/>
      <w:bookmarkEnd w:id="262"/>
    </w:p>
    <w:p w14:paraId="6DDF0ED4">
      <w:pPr>
        <w:spacing w:line="400" w:lineRule="exact"/>
        <w:ind w:firstLine="420" w:firstLineChars="200"/>
        <w:rPr>
          <w:color w:val="auto"/>
          <w:highlight w:val="none"/>
        </w:rPr>
      </w:pPr>
      <w:r>
        <w:rPr>
          <w:rFonts w:hint="eastAsia"/>
          <w:color w:val="auto"/>
          <w:highlight w:val="none"/>
        </w:rPr>
        <w:t>适用于合同的法律包括中华人民共和国法律、行政法规、部门规章，以及工程所在地的地方法规、自治条例、单行条例和地方政府规章。</w:t>
      </w:r>
    </w:p>
    <w:p w14:paraId="0A57D4C7">
      <w:pPr>
        <w:pStyle w:val="45"/>
        <w:rPr>
          <w:color w:val="auto"/>
          <w:highlight w:val="none"/>
        </w:rPr>
      </w:pPr>
      <w:bookmarkStart w:id="263" w:name="_Toc179632633"/>
      <w:bookmarkStart w:id="264" w:name="_Toc152045615"/>
      <w:bookmarkStart w:id="265" w:name="_Toc152042393"/>
      <w:bookmarkStart w:id="266" w:name="_Toc144974583"/>
      <w:bookmarkStart w:id="267" w:name="_Toc4298"/>
      <w:r>
        <w:rPr>
          <w:rFonts w:hint="eastAsia"/>
          <w:color w:val="auto"/>
          <w:highlight w:val="none"/>
        </w:rPr>
        <w:t>1.4 合同文件的优先顺序</w:t>
      </w:r>
      <w:bookmarkEnd w:id="263"/>
      <w:bookmarkEnd w:id="264"/>
      <w:bookmarkEnd w:id="265"/>
      <w:bookmarkEnd w:id="266"/>
      <w:bookmarkEnd w:id="267"/>
    </w:p>
    <w:p w14:paraId="209C7AA4">
      <w:pPr>
        <w:spacing w:line="400" w:lineRule="exact"/>
        <w:ind w:firstLine="420" w:firstLineChars="200"/>
        <w:rPr>
          <w:color w:val="auto"/>
          <w:highlight w:val="none"/>
        </w:rPr>
      </w:pPr>
      <w:r>
        <w:rPr>
          <w:rFonts w:hint="eastAsia"/>
          <w:color w:val="auto"/>
          <w:highlight w:val="none"/>
        </w:rPr>
        <w:t>组成合同的各项文件应互相解释，互为说明。除专用合同条款另有约定外，解释合同文件的优先顺序如下：</w:t>
      </w:r>
    </w:p>
    <w:p w14:paraId="3F3E4648">
      <w:pPr>
        <w:spacing w:line="400" w:lineRule="exact"/>
        <w:ind w:firstLine="359" w:firstLineChars="171"/>
        <w:rPr>
          <w:color w:val="auto"/>
          <w:highlight w:val="none"/>
        </w:rPr>
      </w:pPr>
      <w:r>
        <w:rPr>
          <w:rFonts w:hint="eastAsia"/>
          <w:color w:val="auto"/>
          <w:highlight w:val="none"/>
        </w:rPr>
        <w:t>（1）合同协议书；</w:t>
      </w:r>
    </w:p>
    <w:p w14:paraId="115561BB">
      <w:pPr>
        <w:spacing w:line="400" w:lineRule="exact"/>
        <w:ind w:firstLine="359" w:firstLineChars="171"/>
        <w:rPr>
          <w:color w:val="auto"/>
          <w:highlight w:val="none"/>
        </w:rPr>
      </w:pPr>
      <w:r>
        <w:rPr>
          <w:rFonts w:hint="eastAsia"/>
          <w:color w:val="auto"/>
          <w:highlight w:val="none"/>
        </w:rPr>
        <w:t>（2）中标通知书；</w:t>
      </w:r>
    </w:p>
    <w:p w14:paraId="536B86E3">
      <w:pPr>
        <w:spacing w:line="400" w:lineRule="exact"/>
        <w:ind w:firstLine="359" w:firstLineChars="171"/>
        <w:rPr>
          <w:color w:val="auto"/>
          <w:highlight w:val="none"/>
        </w:rPr>
      </w:pPr>
      <w:r>
        <w:rPr>
          <w:rFonts w:hint="eastAsia"/>
          <w:color w:val="auto"/>
          <w:highlight w:val="none"/>
        </w:rPr>
        <w:t>（3）投标函及投标函附录；</w:t>
      </w:r>
    </w:p>
    <w:p w14:paraId="3D84D329">
      <w:pPr>
        <w:spacing w:line="400" w:lineRule="exact"/>
        <w:ind w:firstLine="359" w:firstLineChars="171"/>
        <w:rPr>
          <w:color w:val="auto"/>
          <w:highlight w:val="none"/>
        </w:rPr>
      </w:pPr>
      <w:r>
        <w:rPr>
          <w:rFonts w:hint="eastAsia"/>
          <w:color w:val="auto"/>
          <w:highlight w:val="none"/>
        </w:rPr>
        <w:t>（4）专用合同条款；</w:t>
      </w:r>
    </w:p>
    <w:p w14:paraId="414C76CC">
      <w:pPr>
        <w:spacing w:line="400" w:lineRule="exact"/>
        <w:ind w:firstLine="359" w:firstLineChars="171"/>
        <w:rPr>
          <w:color w:val="auto"/>
          <w:highlight w:val="none"/>
        </w:rPr>
      </w:pPr>
      <w:r>
        <w:rPr>
          <w:rFonts w:hint="eastAsia"/>
          <w:color w:val="auto"/>
          <w:highlight w:val="none"/>
        </w:rPr>
        <w:t>（5）通用合同条款；</w:t>
      </w:r>
    </w:p>
    <w:p w14:paraId="1D86C58C">
      <w:pPr>
        <w:spacing w:line="400" w:lineRule="exact"/>
        <w:ind w:firstLine="359" w:firstLineChars="171"/>
        <w:rPr>
          <w:color w:val="auto"/>
          <w:highlight w:val="none"/>
        </w:rPr>
      </w:pPr>
      <w:r>
        <w:rPr>
          <w:rFonts w:hint="eastAsia"/>
          <w:color w:val="auto"/>
          <w:highlight w:val="none"/>
        </w:rPr>
        <w:t>（6）技术标准和要求；</w:t>
      </w:r>
    </w:p>
    <w:p w14:paraId="5C8EB005">
      <w:pPr>
        <w:spacing w:line="400" w:lineRule="exact"/>
        <w:ind w:firstLine="359" w:firstLineChars="171"/>
        <w:rPr>
          <w:color w:val="auto"/>
          <w:highlight w:val="none"/>
        </w:rPr>
      </w:pPr>
      <w:r>
        <w:rPr>
          <w:rFonts w:hint="eastAsia"/>
          <w:color w:val="auto"/>
          <w:highlight w:val="none"/>
        </w:rPr>
        <w:t>（7）图纸；</w:t>
      </w:r>
    </w:p>
    <w:p w14:paraId="30BBD7C9">
      <w:pPr>
        <w:spacing w:line="400" w:lineRule="exact"/>
        <w:ind w:firstLine="359" w:firstLineChars="171"/>
        <w:rPr>
          <w:color w:val="auto"/>
          <w:highlight w:val="none"/>
        </w:rPr>
      </w:pPr>
      <w:r>
        <w:rPr>
          <w:rFonts w:hint="eastAsia"/>
          <w:color w:val="auto"/>
          <w:highlight w:val="none"/>
        </w:rPr>
        <w:t>（8）已标价工程量清单；</w:t>
      </w:r>
    </w:p>
    <w:p w14:paraId="22D9EC6D">
      <w:pPr>
        <w:spacing w:line="400" w:lineRule="exact"/>
        <w:ind w:firstLine="359" w:firstLineChars="171"/>
        <w:rPr>
          <w:color w:val="auto"/>
          <w:highlight w:val="none"/>
        </w:rPr>
      </w:pPr>
      <w:r>
        <w:rPr>
          <w:rFonts w:hint="eastAsia"/>
          <w:color w:val="auto"/>
          <w:highlight w:val="none"/>
        </w:rPr>
        <w:t>（9）其他合同文件。</w:t>
      </w:r>
    </w:p>
    <w:p w14:paraId="22F371A7">
      <w:pPr>
        <w:pStyle w:val="45"/>
        <w:rPr>
          <w:color w:val="auto"/>
          <w:highlight w:val="none"/>
        </w:rPr>
      </w:pPr>
      <w:bookmarkStart w:id="268" w:name="_Toc152045616"/>
      <w:bookmarkStart w:id="269" w:name="_Toc144974584"/>
      <w:bookmarkStart w:id="270" w:name="_Toc179632634"/>
      <w:bookmarkStart w:id="271" w:name="_Toc152042394"/>
      <w:bookmarkStart w:id="272" w:name="_Toc21144"/>
      <w:r>
        <w:rPr>
          <w:rFonts w:hint="eastAsia"/>
          <w:color w:val="auto"/>
          <w:highlight w:val="none"/>
        </w:rPr>
        <w:t>1.5 合同协议书</w:t>
      </w:r>
      <w:bookmarkEnd w:id="268"/>
      <w:bookmarkEnd w:id="269"/>
      <w:bookmarkEnd w:id="270"/>
      <w:bookmarkEnd w:id="271"/>
      <w:bookmarkEnd w:id="272"/>
    </w:p>
    <w:p w14:paraId="5EAD6194">
      <w:pPr>
        <w:spacing w:line="400" w:lineRule="exact"/>
        <w:ind w:firstLine="420" w:firstLineChars="200"/>
        <w:rPr>
          <w:color w:val="auto"/>
          <w:highlight w:val="none"/>
        </w:rPr>
      </w:pPr>
      <w:r>
        <w:rPr>
          <w:rFonts w:hint="eastAsia"/>
          <w:color w:val="auto"/>
          <w:highlight w:val="none"/>
        </w:rPr>
        <w:t>承包人按中标通知书规定的时间与发包人签订合同协议书。除法律另有规定或合同另有约定外，发包人和承包人的法定代表人或其委托代理人在合同协议书上签字并盖单位章后，合同生效。</w:t>
      </w:r>
    </w:p>
    <w:p w14:paraId="49EA5C1E">
      <w:pPr>
        <w:pStyle w:val="45"/>
        <w:rPr>
          <w:color w:val="auto"/>
          <w:highlight w:val="none"/>
        </w:rPr>
      </w:pPr>
      <w:bookmarkStart w:id="273" w:name="_Toc179632635"/>
      <w:bookmarkStart w:id="274" w:name="_Toc152045617"/>
      <w:bookmarkStart w:id="275" w:name="_Toc144974585"/>
      <w:bookmarkStart w:id="276" w:name="_Toc13963"/>
      <w:bookmarkStart w:id="277" w:name="_Toc152042395"/>
      <w:r>
        <w:rPr>
          <w:rFonts w:hint="eastAsia"/>
          <w:color w:val="auto"/>
          <w:highlight w:val="none"/>
        </w:rPr>
        <w:t>1.6 图纸和承包人文件</w:t>
      </w:r>
      <w:bookmarkEnd w:id="273"/>
      <w:bookmarkEnd w:id="274"/>
      <w:bookmarkEnd w:id="275"/>
      <w:bookmarkEnd w:id="276"/>
      <w:bookmarkEnd w:id="277"/>
    </w:p>
    <w:p w14:paraId="78A601BC">
      <w:pPr>
        <w:spacing w:line="400" w:lineRule="exact"/>
        <w:ind w:firstLine="420" w:firstLineChars="200"/>
        <w:rPr>
          <w:color w:val="auto"/>
          <w:highlight w:val="none"/>
        </w:rPr>
      </w:pPr>
      <w:r>
        <w:rPr>
          <w:rFonts w:hint="eastAsia"/>
          <w:color w:val="auto"/>
          <w:highlight w:val="none"/>
        </w:rPr>
        <w:t>1.6.1</w:t>
      </w:r>
      <w:r>
        <w:rPr>
          <w:rFonts w:hint="eastAsia" w:ascii="黑体" w:eastAsia="黑体"/>
          <w:color w:val="auto"/>
          <w:highlight w:val="none"/>
        </w:rPr>
        <w:t>图纸的提供</w:t>
      </w:r>
    </w:p>
    <w:p w14:paraId="7099B5F4">
      <w:pPr>
        <w:spacing w:line="400" w:lineRule="exact"/>
        <w:ind w:firstLine="420" w:firstLineChars="200"/>
        <w:rPr>
          <w:color w:val="auto"/>
          <w:highlight w:val="none"/>
        </w:rPr>
      </w:pPr>
      <w:r>
        <w:rPr>
          <w:rFonts w:hint="eastAsia"/>
          <w:color w:val="auto"/>
          <w:highlight w:val="none"/>
        </w:rPr>
        <w:t>除专用合同条款另有约定外，图纸应在合理的期限内按照合同约定的数量提供给承包人。由于发包人未按时提供图纸造成工期延误的，按第11.3款的约定办理。</w:t>
      </w:r>
    </w:p>
    <w:p w14:paraId="7F9064FC">
      <w:pPr>
        <w:spacing w:line="400" w:lineRule="exact"/>
        <w:ind w:firstLine="420" w:firstLineChars="200"/>
        <w:rPr>
          <w:color w:val="auto"/>
          <w:highlight w:val="none"/>
        </w:rPr>
      </w:pPr>
      <w:r>
        <w:rPr>
          <w:rFonts w:hint="eastAsia"/>
          <w:color w:val="auto"/>
          <w:highlight w:val="none"/>
        </w:rPr>
        <w:t xml:space="preserve">1.6.2 </w:t>
      </w:r>
      <w:r>
        <w:rPr>
          <w:rFonts w:hint="eastAsia" w:ascii="黑体" w:eastAsia="黑体"/>
          <w:color w:val="auto"/>
          <w:highlight w:val="none"/>
        </w:rPr>
        <w:t>承包人提供的文件</w:t>
      </w:r>
    </w:p>
    <w:p w14:paraId="7AD27F64">
      <w:pPr>
        <w:spacing w:line="400" w:lineRule="exact"/>
        <w:rPr>
          <w:color w:val="auto"/>
          <w:highlight w:val="none"/>
        </w:rPr>
      </w:pPr>
      <w:r>
        <w:rPr>
          <w:rFonts w:hint="eastAsia"/>
          <w:color w:val="auto"/>
          <w:highlight w:val="none"/>
        </w:rPr>
        <w:t>　　按专用合同条款约定由承包人提供的文件，包括部分工程的大样图、加工图等，承包人应按约定的数量和期限报送监理人。监理人应在专用合同条款约定的期限内批复。</w:t>
      </w:r>
    </w:p>
    <w:p w14:paraId="44B4C8D1">
      <w:pPr>
        <w:spacing w:line="400" w:lineRule="exact"/>
        <w:ind w:firstLine="420" w:firstLineChars="200"/>
        <w:rPr>
          <w:color w:val="auto"/>
          <w:highlight w:val="none"/>
        </w:rPr>
      </w:pPr>
      <w:r>
        <w:rPr>
          <w:rFonts w:hint="eastAsia"/>
          <w:color w:val="auto"/>
          <w:highlight w:val="none"/>
        </w:rPr>
        <w:t xml:space="preserve">1.6.3 </w:t>
      </w:r>
      <w:r>
        <w:rPr>
          <w:rFonts w:hint="eastAsia" w:ascii="黑体" w:eastAsia="黑体"/>
          <w:color w:val="auto"/>
          <w:highlight w:val="none"/>
        </w:rPr>
        <w:t>图纸的修改</w:t>
      </w:r>
    </w:p>
    <w:p w14:paraId="77A71923">
      <w:pPr>
        <w:spacing w:line="400" w:lineRule="exact"/>
        <w:ind w:firstLine="420" w:firstLineChars="200"/>
        <w:rPr>
          <w:color w:val="auto"/>
          <w:highlight w:val="none"/>
        </w:rPr>
      </w:pPr>
      <w:r>
        <w:rPr>
          <w:rFonts w:hint="eastAsia"/>
          <w:color w:val="auto"/>
          <w:highlight w:val="none"/>
        </w:rPr>
        <w:t xml:space="preserve">图纸需要修改和补充的，应由监理人取得发包人同意后，在该工程或工程相应部位施工前的合理期限内签发图纸修改图给承包人，具体签发期限在专用合同条款中约定。承包人应按修改后的图纸施工。 </w:t>
      </w:r>
    </w:p>
    <w:p w14:paraId="0FBC9B49">
      <w:pPr>
        <w:spacing w:line="400" w:lineRule="exact"/>
        <w:ind w:firstLine="420" w:firstLineChars="200"/>
        <w:rPr>
          <w:color w:val="auto"/>
          <w:highlight w:val="none"/>
        </w:rPr>
      </w:pPr>
      <w:r>
        <w:rPr>
          <w:rFonts w:hint="eastAsia"/>
          <w:color w:val="auto"/>
          <w:highlight w:val="none"/>
        </w:rPr>
        <w:t xml:space="preserve">1.6.4 </w:t>
      </w:r>
      <w:r>
        <w:rPr>
          <w:rFonts w:hint="eastAsia" w:ascii="黑体" w:eastAsia="黑体"/>
          <w:color w:val="auto"/>
          <w:highlight w:val="none"/>
        </w:rPr>
        <w:t>图纸的错误</w:t>
      </w:r>
    </w:p>
    <w:p w14:paraId="1ED394EC">
      <w:pPr>
        <w:spacing w:line="400" w:lineRule="exact"/>
        <w:ind w:firstLine="420" w:firstLineChars="200"/>
        <w:rPr>
          <w:color w:val="auto"/>
          <w:highlight w:val="none"/>
        </w:rPr>
      </w:pPr>
      <w:r>
        <w:rPr>
          <w:rFonts w:hint="eastAsia"/>
          <w:color w:val="auto"/>
          <w:highlight w:val="none"/>
        </w:rPr>
        <w:t>承包人发现发包人提供的图纸存在明显错误或疏忽，应及时通知监理人。</w:t>
      </w:r>
    </w:p>
    <w:p w14:paraId="15387AED">
      <w:pPr>
        <w:spacing w:line="400" w:lineRule="exact"/>
        <w:ind w:firstLine="420" w:firstLineChars="200"/>
        <w:rPr>
          <w:color w:val="auto"/>
          <w:highlight w:val="none"/>
        </w:rPr>
      </w:pPr>
      <w:r>
        <w:rPr>
          <w:rFonts w:hint="eastAsia"/>
          <w:color w:val="auto"/>
          <w:highlight w:val="none"/>
        </w:rPr>
        <w:t xml:space="preserve">1.6.5 </w:t>
      </w:r>
      <w:r>
        <w:rPr>
          <w:rFonts w:hint="eastAsia" w:ascii="黑体" w:eastAsia="黑体"/>
          <w:color w:val="auto"/>
          <w:highlight w:val="none"/>
        </w:rPr>
        <w:t>图纸和承包人文件的保管</w:t>
      </w:r>
    </w:p>
    <w:p w14:paraId="1ACCB78E">
      <w:pPr>
        <w:spacing w:line="400" w:lineRule="exact"/>
        <w:ind w:firstLine="420" w:firstLineChars="200"/>
        <w:rPr>
          <w:color w:val="auto"/>
          <w:highlight w:val="none"/>
        </w:rPr>
      </w:pPr>
      <w:r>
        <w:rPr>
          <w:rFonts w:hint="eastAsia"/>
          <w:color w:val="auto"/>
          <w:highlight w:val="none"/>
        </w:rPr>
        <w:t>监理人和承包人均应在施工场地各保存一套完整的包含第1.6.1项、第1.6.2项、第1.6.3项约定内容的图纸和承包人文件。</w:t>
      </w:r>
    </w:p>
    <w:p w14:paraId="5BBC5A66">
      <w:pPr>
        <w:pStyle w:val="45"/>
        <w:rPr>
          <w:color w:val="auto"/>
          <w:highlight w:val="none"/>
        </w:rPr>
      </w:pPr>
      <w:bookmarkStart w:id="278" w:name="_Toc152042396"/>
      <w:bookmarkStart w:id="279" w:name="_Toc16393"/>
      <w:bookmarkStart w:id="280" w:name="_Toc179632636"/>
      <w:bookmarkStart w:id="281" w:name="_Toc144974586"/>
      <w:bookmarkStart w:id="282" w:name="_Toc152045618"/>
      <w:r>
        <w:rPr>
          <w:rFonts w:hint="eastAsia"/>
          <w:color w:val="auto"/>
          <w:highlight w:val="none"/>
        </w:rPr>
        <w:t>1.7 联络</w:t>
      </w:r>
      <w:bookmarkEnd w:id="278"/>
      <w:bookmarkEnd w:id="279"/>
      <w:bookmarkEnd w:id="280"/>
      <w:bookmarkEnd w:id="281"/>
      <w:bookmarkEnd w:id="282"/>
    </w:p>
    <w:p w14:paraId="5DD405B5">
      <w:pPr>
        <w:spacing w:line="400" w:lineRule="exact"/>
        <w:ind w:firstLine="420" w:firstLineChars="200"/>
        <w:rPr>
          <w:color w:val="auto"/>
          <w:highlight w:val="none"/>
        </w:rPr>
      </w:pPr>
      <w:r>
        <w:rPr>
          <w:rFonts w:hint="eastAsia"/>
          <w:color w:val="auto"/>
          <w:highlight w:val="none"/>
        </w:rPr>
        <w:t>1.7.1 与合同有关的通知、批准、证明、证书、指示、要求、请求、同意、意见、确定和决定等，均应采用书面形式。</w:t>
      </w:r>
    </w:p>
    <w:p w14:paraId="28E90C36">
      <w:pPr>
        <w:spacing w:line="400" w:lineRule="exact"/>
        <w:ind w:firstLine="420" w:firstLineChars="200"/>
        <w:rPr>
          <w:color w:val="auto"/>
          <w:highlight w:val="none"/>
        </w:rPr>
      </w:pPr>
      <w:r>
        <w:rPr>
          <w:rFonts w:hint="eastAsia"/>
          <w:color w:val="auto"/>
          <w:highlight w:val="none"/>
        </w:rPr>
        <w:t>1.7.2 第1.7.1项中的通知、批准、证明、证书、指示、要求、请求、同意、意见、确定和决定等来往函件，均应在合同约定的期限内送达指定地点和接收人，并办理签收手续。</w:t>
      </w:r>
    </w:p>
    <w:p w14:paraId="6716BFED">
      <w:pPr>
        <w:pStyle w:val="45"/>
        <w:rPr>
          <w:color w:val="auto"/>
          <w:highlight w:val="none"/>
        </w:rPr>
      </w:pPr>
      <w:bookmarkStart w:id="283" w:name="_Toc12091"/>
      <w:bookmarkStart w:id="284" w:name="_Toc152045619"/>
      <w:bookmarkStart w:id="285" w:name="_Toc179632637"/>
      <w:bookmarkStart w:id="286" w:name="_Toc144974587"/>
      <w:bookmarkStart w:id="287" w:name="_Toc152042397"/>
      <w:r>
        <w:rPr>
          <w:rFonts w:hint="eastAsia"/>
          <w:color w:val="auto"/>
          <w:highlight w:val="none"/>
        </w:rPr>
        <w:t>1.8 转让</w:t>
      </w:r>
      <w:bookmarkEnd w:id="283"/>
      <w:bookmarkEnd w:id="284"/>
      <w:bookmarkEnd w:id="285"/>
      <w:bookmarkEnd w:id="286"/>
      <w:bookmarkEnd w:id="287"/>
    </w:p>
    <w:p w14:paraId="556827F1">
      <w:pPr>
        <w:spacing w:line="400" w:lineRule="exact"/>
        <w:ind w:firstLine="420" w:firstLineChars="200"/>
        <w:rPr>
          <w:color w:val="auto"/>
          <w:highlight w:val="none"/>
        </w:rPr>
      </w:pPr>
      <w:r>
        <w:rPr>
          <w:rFonts w:hint="eastAsia"/>
          <w:color w:val="auto"/>
          <w:highlight w:val="none"/>
        </w:rPr>
        <w:t>除合同另有约定外，未经对方当事人同意，一方当事人不得将合同权利全部或部分转让给第三人，也不得全部或部分转移合同义务。</w:t>
      </w:r>
    </w:p>
    <w:p w14:paraId="581C0858">
      <w:pPr>
        <w:pStyle w:val="45"/>
        <w:rPr>
          <w:color w:val="auto"/>
          <w:highlight w:val="none"/>
        </w:rPr>
      </w:pPr>
      <w:bookmarkStart w:id="288" w:name="_Toc152042398"/>
      <w:bookmarkStart w:id="289" w:name="_Toc152045620"/>
      <w:bookmarkStart w:id="290" w:name="_Toc144974588"/>
      <w:bookmarkStart w:id="291" w:name="_Toc31638"/>
      <w:bookmarkStart w:id="292" w:name="_Toc179632638"/>
      <w:r>
        <w:rPr>
          <w:rFonts w:hint="eastAsia"/>
          <w:color w:val="auto"/>
          <w:highlight w:val="none"/>
        </w:rPr>
        <w:t>1.9 严禁贿赂</w:t>
      </w:r>
      <w:bookmarkEnd w:id="288"/>
      <w:bookmarkEnd w:id="289"/>
      <w:bookmarkEnd w:id="290"/>
      <w:bookmarkEnd w:id="291"/>
      <w:bookmarkEnd w:id="292"/>
    </w:p>
    <w:p w14:paraId="74A162F6">
      <w:pPr>
        <w:spacing w:line="400" w:lineRule="exact"/>
        <w:ind w:firstLine="420" w:firstLineChars="200"/>
        <w:rPr>
          <w:color w:val="auto"/>
          <w:highlight w:val="none"/>
        </w:rPr>
      </w:pPr>
      <w:r>
        <w:rPr>
          <w:rFonts w:hint="eastAsia"/>
          <w:color w:val="auto"/>
          <w:highlight w:val="none"/>
        </w:rPr>
        <w:t>合同双方当事人不得以贿赂或变相贿赂的方式，谋取不当利益或损害对方权益。因贿赂造成对方损失的，行为人应赔偿损失，并承担相应的法律责任。</w:t>
      </w:r>
    </w:p>
    <w:p w14:paraId="6650A524">
      <w:pPr>
        <w:pStyle w:val="45"/>
        <w:rPr>
          <w:color w:val="auto"/>
          <w:highlight w:val="none"/>
        </w:rPr>
      </w:pPr>
      <w:bookmarkStart w:id="293" w:name="_Toc144974589"/>
      <w:bookmarkStart w:id="294" w:name="_Toc20963"/>
      <w:bookmarkStart w:id="295" w:name="_Toc152045621"/>
      <w:bookmarkStart w:id="296" w:name="_Toc152042399"/>
      <w:bookmarkStart w:id="297" w:name="_Toc179632639"/>
      <w:r>
        <w:rPr>
          <w:rFonts w:hint="eastAsia"/>
          <w:color w:val="auto"/>
          <w:highlight w:val="none"/>
        </w:rPr>
        <w:t>1.10 化石、文物</w:t>
      </w:r>
      <w:bookmarkEnd w:id="293"/>
      <w:bookmarkEnd w:id="294"/>
      <w:bookmarkEnd w:id="295"/>
      <w:bookmarkEnd w:id="296"/>
      <w:bookmarkEnd w:id="297"/>
    </w:p>
    <w:p w14:paraId="2038E523">
      <w:pPr>
        <w:spacing w:line="400" w:lineRule="exact"/>
        <w:ind w:firstLine="420" w:firstLineChars="200"/>
        <w:rPr>
          <w:color w:val="auto"/>
          <w:highlight w:val="none"/>
        </w:rPr>
      </w:pPr>
      <w:r>
        <w:rPr>
          <w:rFonts w:hint="eastAsia"/>
          <w:color w:val="auto"/>
          <w:highlight w:val="none"/>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6C272F07">
      <w:pPr>
        <w:spacing w:line="400" w:lineRule="exact"/>
        <w:ind w:firstLine="420" w:firstLineChars="200"/>
        <w:rPr>
          <w:color w:val="auto"/>
          <w:highlight w:val="none"/>
        </w:rPr>
      </w:pPr>
      <w:r>
        <w:rPr>
          <w:rFonts w:hint="eastAsia"/>
          <w:color w:val="auto"/>
          <w:highlight w:val="none"/>
        </w:rPr>
        <w:t>1.10.2 承包人发现文物后不及时报告或隐瞒不报，致使文物丢失或损坏的，应赔偿损失，并承担相应的法律责任。</w:t>
      </w:r>
    </w:p>
    <w:p w14:paraId="1F7208C1">
      <w:pPr>
        <w:pStyle w:val="45"/>
        <w:rPr>
          <w:color w:val="auto"/>
          <w:highlight w:val="none"/>
        </w:rPr>
      </w:pPr>
      <w:bookmarkStart w:id="298" w:name="_Toc152042400"/>
      <w:bookmarkStart w:id="299" w:name="_Toc152045622"/>
      <w:bookmarkStart w:id="300" w:name="_Toc179632640"/>
      <w:bookmarkStart w:id="301" w:name="_Toc16721"/>
      <w:bookmarkStart w:id="302" w:name="_Toc144974590"/>
      <w:r>
        <w:rPr>
          <w:rFonts w:hint="eastAsia"/>
          <w:color w:val="auto"/>
          <w:highlight w:val="none"/>
        </w:rPr>
        <w:t>1.11 专利技术</w:t>
      </w:r>
      <w:bookmarkEnd w:id="298"/>
      <w:bookmarkEnd w:id="299"/>
      <w:bookmarkEnd w:id="300"/>
      <w:bookmarkEnd w:id="301"/>
      <w:bookmarkEnd w:id="302"/>
    </w:p>
    <w:p w14:paraId="262633F9">
      <w:pPr>
        <w:spacing w:line="400" w:lineRule="exact"/>
        <w:ind w:firstLine="420" w:firstLineChars="200"/>
        <w:rPr>
          <w:color w:val="auto"/>
          <w:highlight w:val="none"/>
        </w:rPr>
      </w:pPr>
      <w:r>
        <w:rPr>
          <w:rFonts w:hint="eastAsia"/>
          <w:color w:val="auto"/>
          <w:highlight w:val="none"/>
        </w:rPr>
        <w:t>1.11.1 承包人在使用任何材料、承包人设备、工程设备或采用施工工艺时，因侵犯专利权或其他知识产权所引起的责任，由承包人承担，但由于遵照发包人提供的设计或技术标准和要求引起的除外。</w:t>
      </w:r>
    </w:p>
    <w:p w14:paraId="1D7DC32E">
      <w:pPr>
        <w:spacing w:line="400" w:lineRule="exact"/>
        <w:ind w:firstLine="420" w:firstLineChars="200"/>
        <w:rPr>
          <w:color w:val="auto"/>
          <w:highlight w:val="none"/>
        </w:rPr>
      </w:pPr>
      <w:r>
        <w:rPr>
          <w:rFonts w:hint="eastAsia"/>
          <w:color w:val="auto"/>
          <w:highlight w:val="none"/>
        </w:rPr>
        <w:t>1.11.2 承包人在投标文件中采用专利技术的，专利技术的使用费包含在投标报价内。</w:t>
      </w:r>
    </w:p>
    <w:p w14:paraId="17EB6530">
      <w:pPr>
        <w:spacing w:line="400" w:lineRule="exact"/>
        <w:ind w:firstLine="420" w:firstLineChars="200"/>
        <w:rPr>
          <w:color w:val="auto"/>
          <w:highlight w:val="none"/>
        </w:rPr>
      </w:pPr>
      <w:r>
        <w:rPr>
          <w:rFonts w:hint="eastAsia"/>
          <w:color w:val="auto"/>
          <w:highlight w:val="none"/>
        </w:rPr>
        <w:t>1.11.3 承包人的技术秘密和声明需要保密的资料和信息，发包人和监理人不得为合同以外的目的泄露给他人。</w:t>
      </w:r>
    </w:p>
    <w:p w14:paraId="3685E4E4">
      <w:pPr>
        <w:pStyle w:val="45"/>
        <w:rPr>
          <w:color w:val="auto"/>
          <w:highlight w:val="none"/>
        </w:rPr>
      </w:pPr>
      <w:bookmarkStart w:id="303" w:name="_Toc28343"/>
      <w:bookmarkStart w:id="304" w:name="_Toc179632641"/>
      <w:bookmarkStart w:id="305" w:name="_Toc152042401"/>
      <w:bookmarkStart w:id="306" w:name="_Toc152045623"/>
      <w:bookmarkStart w:id="307" w:name="_Toc144974591"/>
      <w:r>
        <w:rPr>
          <w:rFonts w:hint="eastAsia"/>
          <w:color w:val="auto"/>
          <w:highlight w:val="none"/>
        </w:rPr>
        <w:t>1.12 图纸和文件的保密</w:t>
      </w:r>
      <w:bookmarkEnd w:id="303"/>
      <w:bookmarkEnd w:id="304"/>
      <w:bookmarkEnd w:id="305"/>
      <w:bookmarkEnd w:id="306"/>
      <w:bookmarkEnd w:id="307"/>
    </w:p>
    <w:p w14:paraId="1379AF27">
      <w:pPr>
        <w:spacing w:line="400" w:lineRule="exact"/>
        <w:ind w:firstLine="420" w:firstLineChars="200"/>
        <w:rPr>
          <w:color w:val="auto"/>
          <w:highlight w:val="none"/>
        </w:rPr>
      </w:pPr>
      <w:r>
        <w:rPr>
          <w:rFonts w:hint="eastAsia"/>
          <w:color w:val="auto"/>
          <w:highlight w:val="none"/>
        </w:rPr>
        <w:t>1.12.1 发包人提供的图纸和文件，未经发包人同意，承包人不得为合同以外的目的泄露给他人或公开发表与引用。</w:t>
      </w:r>
    </w:p>
    <w:p w14:paraId="74F8979A">
      <w:pPr>
        <w:spacing w:line="400" w:lineRule="exact"/>
        <w:ind w:firstLine="420" w:firstLineChars="200"/>
        <w:rPr>
          <w:color w:val="auto"/>
          <w:highlight w:val="none"/>
        </w:rPr>
      </w:pPr>
      <w:r>
        <w:rPr>
          <w:rFonts w:hint="eastAsia"/>
          <w:color w:val="auto"/>
          <w:highlight w:val="none"/>
        </w:rPr>
        <w:t>1.12.2 承包人提供的文件，未经承包人同意，发包人和监理人不得为合同以外的目的泄露给他人或公开发表与引用。</w:t>
      </w:r>
    </w:p>
    <w:p w14:paraId="6E0A224C">
      <w:pPr>
        <w:pStyle w:val="44"/>
        <w:rPr>
          <w:color w:val="auto"/>
          <w:highlight w:val="none"/>
        </w:rPr>
      </w:pPr>
      <w:bookmarkStart w:id="308" w:name="_Toc152042402"/>
      <w:bookmarkStart w:id="309" w:name="_Toc11798"/>
      <w:bookmarkStart w:id="310" w:name="_Toc15201"/>
      <w:bookmarkStart w:id="311" w:name="_Toc152045624"/>
      <w:bookmarkStart w:id="312" w:name="_Toc2091"/>
      <w:bookmarkStart w:id="313" w:name="_Toc179632642"/>
      <w:bookmarkStart w:id="314" w:name="_Toc144974592"/>
      <w:r>
        <w:rPr>
          <w:rFonts w:hint="eastAsia"/>
          <w:color w:val="auto"/>
          <w:highlight w:val="none"/>
        </w:rPr>
        <w:t>2. 发包人义务</w:t>
      </w:r>
      <w:bookmarkEnd w:id="308"/>
      <w:bookmarkEnd w:id="309"/>
      <w:bookmarkEnd w:id="310"/>
      <w:bookmarkEnd w:id="311"/>
      <w:bookmarkEnd w:id="312"/>
      <w:bookmarkEnd w:id="313"/>
      <w:bookmarkEnd w:id="314"/>
    </w:p>
    <w:p w14:paraId="2B4DA501">
      <w:pPr>
        <w:pStyle w:val="45"/>
        <w:rPr>
          <w:color w:val="auto"/>
          <w:highlight w:val="none"/>
        </w:rPr>
      </w:pPr>
      <w:bookmarkStart w:id="315" w:name="_Toc179632643"/>
      <w:bookmarkStart w:id="316" w:name="_Toc144974593"/>
      <w:bookmarkStart w:id="317" w:name="_Toc152042403"/>
      <w:bookmarkStart w:id="318" w:name="_Toc16126"/>
      <w:bookmarkStart w:id="319" w:name="_Toc152045625"/>
      <w:r>
        <w:rPr>
          <w:rFonts w:hint="eastAsia"/>
          <w:color w:val="auto"/>
          <w:highlight w:val="none"/>
        </w:rPr>
        <w:t>2.1 遵守法律</w:t>
      </w:r>
      <w:bookmarkEnd w:id="315"/>
      <w:bookmarkEnd w:id="316"/>
      <w:bookmarkEnd w:id="317"/>
      <w:bookmarkEnd w:id="318"/>
      <w:bookmarkEnd w:id="319"/>
    </w:p>
    <w:p w14:paraId="04B613BE">
      <w:pPr>
        <w:spacing w:line="400" w:lineRule="exact"/>
        <w:ind w:firstLine="420" w:firstLineChars="200"/>
        <w:rPr>
          <w:color w:val="auto"/>
          <w:highlight w:val="none"/>
        </w:rPr>
      </w:pPr>
      <w:r>
        <w:rPr>
          <w:rFonts w:hint="eastAsia"/>
          <w:color w:val="auto"/>
          <w:highlight w:val="none"/>
        </w:rPr>
        <w:t>发包人在履行合同过程中应遵守法律，并保证承包人免于承担因发包人违反法律而引起的任何责任。</w:t>
      </w:r>
    </w:p>
    <w:p w14:paraId="498D046F">
      <w:pPr>
        <w:pStyle w:val="45"/>
        <w:rPr>
          <w:color w:val="auto"/>
          <w:highlight w:val="none"/>
        </w:rPr>
      </w:pPr>
      <w:bookmarkStart w:id="320" w:name="_Toc152045626"/>
      <w:bookmarkStart w:id="321" w:name="_Toc152042404"/>
      <w:bookmarkStart w:id="322" w:name="_Toc144974594"/>
      <w:bookmarkStart w:id="323" w:name="_Toc32454"/>
      <w:bookmarkStart w:id="324" w:name="_Toc179632644"/>
      <w:r>
        <w:rPr>
          <w:rFonts w:hint="eastAsia"/>
          <w:color w:val="auto"/>
          <w:highlight w:val="none"/>
        </w:rPr>
        <w:t>2.2 发出开工通知</w:t>
      </w:r>
      <w:bookmarkEnd w:id="320"/>
      <w:bookmarkEnd w:id="321"/>
      <w:bookmarkEnd w:id="322"/>
      <w:bookmarkEnd w:id="323"/>
      <w:bookmarkEnd w:id="324"/>
    </w:p>
    <w:p w14:paraId="7188CD6B">
      <w:pPr>
        <w:spacing w:line="400" w:lineRule="exact"/>
        <w:ind w:firstLine="420" w:firstLineChars="200"/>
        <w:rPr>
          <w:color w:val="auto"/>
          <w:highlight w:val="none"/>
        </w:rPr>
      </w:pPr>
      <w:r>
        <w:rPr>
          <w:rFonts w:hint="eastAsia"/>
          <w:color w:val="auto"/>
          <w:highlight w:val="none"/>
        </w:rPr>
        <w:t>发包人应委托监理人按第11.1款的约定向承包人发出开工通知。</w:t>
      </w:r>
    </w:p>
    <w:p w14:paraId="068C8544">
      <w:pPr>
        <w:pStyle w:val="45"/>
        <w:rPr>
          <w:color w:val="auto"/>
          <w:highlight w:val="none"/>
        </w:rPr>
      </w:pPr>
      <w:bookmarkStart w:id="325" w:name="_Toc152045627"/>
      <w:bookmarkStart w:id="326" w:name="_Toc144974595"/>
      <w:bookmarkStart w:id="327" w:name="_Toc179632645"/>
      <w:bookmarkStart w:id="328" w:name="_Toc152042405"/>
      <w:bookmarkStart w:id="329" w:name="_Toc2370"/>
      <w:r>
        <w:rPr>
          <w:rFonts w:hint="eastAsia"/>
          <w:color w:val="auto"/>
          <w:highlight w:val="none"/>
        </w:rPr>
        <w:t>2.3 提供施工场地</w:t>
      </w:r>
      <w:bookmarkEnd w:id="325"/>
      <w:bookmarkEnd w:id="326"/>
      <w:bookmarkEnd w:id="327"/>
      <w:bookmarkEnd w:id="328"/>
      <w:bookmarkEnd w:id="329"/>
    </w:p>
    <w:p w14:paraId="6CC8811C">
      <w:pPr>
        <w:spacing w:line="400" w:lineRule="exact"/>
        <w:ind w:firstLine="420" w:firstLineChars="200"/>
        <w:rPr>
          <w:color w:val="auto"/>
          <w:highlight w:val="none"/>
        </w:rPr>
      </w:pPr>
      <w:r>
        <w:rPr>
          <w:rFonts w:hint="eastAsia"/>
          <w:color w:val="auto"/>
          <w:highlight w:val="none"/>
        </w:rPr>
        <w:t>发包人应按专用合同条款约定向承包人提供施工场地，以及施工场地内地下管线和地下设施等有关资料，并保证资料的真实、准确、完整。</w:t>
      </w:r>
    </w:p>
    <w:p w14:paraId="0FE72328">
      <w:pPr>
        <w:pStyle w:val="45"/>
        <w:rPr>
          <w:color w:val="auto"/>
          <w:highlight w:val="none"/>
        </w:rPr>
      </w:pPr>
      <w:bookmarkStart w:id="330" w:name="_Toc20291"/>
      <w:bookmarkStart w:id="331" w:name="_Toc152045628"/>
      <w:bookmarkStart w:id="332" w:name="_Toc152042406"/>
      <w:bookmarkStart w:id="333" w:name="_Toc179632646"/>
      <w:bookmarkStart w:id="334" w:name="_Toc144974596"/>
      <w:r>
        <w:rPr>
          <w:rFonts w:hint="eastAsia"/>
          <w:color w:val="auto"/>
          <w:highlight w:val="none"/>
        </w:rPr>
        <w:t>2.4 协助承包人办理证件和批件</w:t>
      </w:r>
      <w:bookmarkEnd w:id="330"/>
      <w:bookmarkEnd w:id="331"/>
      <w:bookmarkEnd w:id="332"/>
      <w:bookmarkEnd w:id="333"/>
      <w:bookmarkEnd w:id="334"/>
    </w:p>
    <w:p w14:paraId="5CD386E4">
      <w:pPr>
        <w:spacing w:line="400" w:lineRule="exact"/>
        <w:ind w:firstLine="420" w:firstLineChars="200"/>
        <w:rPr>
          <w:color w:val="auto"/>
          <w:highlight w:val="none"/>
        </w:rPr>
      </w:pPr>
      <w:r>
        <w:rPr>
          <w:rFonts w:hint="eastAsia"/>
          <w:color w:val="auto"/>
          <w:highlight w:val="none"/>
        </w:rPr>
        <w:t>发包人应协助承包人办理法律规定的有关施工证件和批件。</w:t>
      </w:r>
    </w:p>
    <w:p w14:paraId="312AD201">
      <w:pPr>
        <w:pStyle w:val="45"/>
        <w:rPr>
          <w:color w:val="auto"/>
          <w:highlight w:val="none"/>
        </w:rPr>
      </w:pPr>
      <w:bookmarkStart w:id="335" w:name="_Toc17429"/>
      <w:bookmarkStart w:id="336" w:name="_Toc179632647"/>
      <w:bookmarkStart w:id="337" w:name="_Toc144974597"/>
      <w:bookmarkStart w:id="338" w:name="_Toc152042407"/>
      <w:bookmarkStart w:id="339" w:name="_Toc152045629"/>
      <w:r>
        <w:rPr>
          <w:rFonts w:hint="eastAsia"/>
          <w:color w:val="auto"/>
          <w:highlight w:val="none"/>
        </w:rPr>
        <w:t>2.5 组织设计交底</w:t>
      </w:r>
      <w:bookmarkEnd w:id="335"/>
      <w:bookmarkEnd w:id="336"/>
      <w:bookmarkEnd w:id="337"/>
      <w:bookmarkEnd w:id="338"/>
      <w:bookmarkEnd w:id="339"/>
    </w:p>
    <w:p w14:paraId="49C0A327">
      <w:pPr>
        <w:spacing w:line="400" w:lineRule="exact"/>
        <w:ind w:firstLine="420" w:firstLineChars="200"/>
        <w:rPr>
          <w:color w:val="auto"/>
          <w:highlight w:val="none"/>
        </w:rPr>
      </w:pPr>
      <w:r>
        <w:rPr>
          <w:rFonts w:hint="eastAsia"/>
          <w:color w:val="auto"/>
          <w:highlight w:val="none"/>
        </w:rPr>
        <w:t>发包人应根据合同进度计划，组织设计单位向承包人进行设计交底。</w:t>
      </w:r>
    </w:p>
    <w:p w14:paraId="5A29AA8D">
      <w:pPr>
        <w:pStyle w:val="45"/>
        <w:rPr>
          <w:color w:val="auto"/>
          <w:highlight w:val="none"/>
        </w:rPr>
      </w:pPr>
      <w:bookmarkStart w:id="340" w:name="_Toc27539"/>
      <w:bookmarkStart w:id="341" w:name="_Toc144974598"/>
      <w:bookmarkStart w:id="342" w:name="_Toc152045630"/>
      <w:bookmarkStart w:id="343" w:name="_Toc179632648"/>
      <w:bookmarkStart w:id="344" w:name="_Toc152042408"/>
      <w:r>
        <w:rPr>
          <w:rFonts w:hint="eastAsia"/>
          <w:color w:val="auto"/>
          <w:highlight w:val="none"/>
        </w:rPr>
        <w:t>2.6 支付合同价款</w:t>
      </w:r>
      <w:bookmarkEnd w:id="340"/>
      <w:bookmarkEnd w:id="341"/>
      <w:bookmarkEnd w:id="342"/>
      <w:bookmarkEnd w:id="343"/>
      <w:bookmarkEnd w:id="344"/>
    </w:p>
    <w:p w14:paraId="075818D8">
      <w:pPr>
        <w:spacing w:line="400" w:lineRule="exact"/>
        <w:ind w:firstLine="420" w:firstLineChars="200"/>
        <w:rPr>
          <w:color w:val="auto"/>
          <w:highlight w:val="none"/>
        </w:rPr>
      </w:pPr>
      <w:r>
        <w:rPr>
          <w:rFonts w:hint="eastAsia"/>
          <w:color w:val="auto"/>
          <w:highlight w:val="none"/>
        </w:rPr>
        <w:t>发包人应按合同约定向承包人及时支付合同价款。</w:t>
      </w:r>
    </w:p>
    <w:p w14:paraId="4581240B">
      <w:pPr>
        <w:pStyle w:val="45"/>
        <w:rPr>
          <w:color w:val="auto"/>
          <w:highlight w:val="none"/>
        </w:rPr>
      </w:pPr>
      <w:bookmarkStart w:id="345" w:name="_Toc152042409"/>
      <w:bookmarkStart w:id="346" w:name="_Toc144974599"/>
      <w:bookmarkStart w:id="347" w:name="_Toc5100"/>
      <w:bookmarkStart w:id="348" w:name="_Toc179632649"/>
      <w:bookmarkStart w:id="349" w:name="_Toc152045631"/>
      <w:r>
        <w:rPr>
          <w:rFonts w:hint="eastAsia"/>
          <w:color w:val="auto"/>
          <w:highlight w:val="none"/>
        </w:rPr>
        <w:t>2.7 组织竣工验收</w:t>
      </w:r>
      <w:bookmarkEnd w:id="345"/>
      <w:bookmarkEnd w:id="346"/>
      <w:bookmarkEnd w:id="347"/>
      <w:bookmarkEnd w:id="348"/>
      <w:bookmarkEnd w:id="349"/>
    </w:p>
    <w:p w14:paraId="2F0F6BF8">
      <w:pPr>
        <w:spacing w:line="400" w:lineRule="exact"/>
        <w:ind w:firstLine="420" w:firstLineChars="200"/>
        <w:rPr>
          <w:color w:val="auto"/>
          <w:highlight w:val="none"/>
        </w:rPr>
      </w:pPr>
      <w:r>
        <w:rPr>
          <w:rFonts w:hint="eastAsia"/>
          <w:color w:val="auto"/>
          <w:highlight w:val="none"/>
        </w:rPr>
        <w:t>发包人应按合同约定及时组织竣工验收。</w:t>
      </w:r>
    </w:p>
    <w:p w14:paraId="431C2CC4">
      <w:pPr>
        <w:pStyle w:val="45"/>
        <w:rPr>
          <w:color w:val="auto"/>
          <w:highlight w:val="none"/>
        </w:rPr>
      </w:pPr>
      <w:bookmarkStart w:id="350" w:name="_Toc144974600"/>
      <w:bookmarkStart w:id="351" w:name="_Toc152045632"/>
      <w:bookmarkStart w:id="352" w:name="_Toc27735"/>
      <w:bookmarkStart w:id="353" w:name="_Toc179632650"/>
      <w:bookmarkStart w:id="354" w:name="_Toc152042410"/>
      <w:r>
        <w:rPr>
          <w:rFonts w:hint="eastAsia"/>
          <w:color w:val="auto"/>
          <w:highlight w:val="none"/>
        </w:rPr>
        <w:t>2.8 其他义务</w:t>
      </w:r>
      <w:bookmarkEnd w:id="350"/>
      <w:bookmarkEnd w:id="351"/>
      <w:bookmarkEnd w:id="352"/>
      <w:bookmarkEnd w:id="353"/>
      <w:bookmarkEnd w:id="354"/>
    </w:p>
    <w:p w14:paraId="1993EA03">
      <w:pPr>
        <w:spacing w:line="400" w:lineRule="exact"/>
        <w:ind w:firstLine="420" w:firstLineChars="200"/>
        <w:rPr>
          <w:color w:val="auto"/>
          <w:highlight w:val="none"/>
        </w:rPr>
      </w:pPr>
      <w:r>
        <w:rPr>
          <w:rFonts w:hint="eastAsia"/>
          <w:color w:val="auto"/>
          <w:highlight w:val="none"/>
        </w:rPr>
        <w:t>发包人应履行合同约定的其他义务。</w:t>
      </w:r>
    </w:p>
    <w:p w14:paraId="2F6974F4">
      <w:pPr>
        <w:pStyle w:val="44"/>
        <w:rPr>
          <w:color w:val="auto"/>
          <w:highlight w:val="none"/>
        </w:rPr>
      </w:pPr>
      <w:bookmarkStart w:id="355" w:name="_Toc152042411"/>
      <w:bookmarkStart w:id="356" w:name="_Toc144974601"/>
      <w:bookmarkStart w:id="357" w:name="_Toc179632651"/>
      <w:bookmarkStart w:id="358" w:name="_Toc9438"/>
      <w:bookmarkStart w:id="359" w:name="_Toc31579"/>
      <w:bookmarkStart w:id="360" w:name="_Toc152045633"/>
      <w:bookmarkStart w:id="361" w:name="_Toc30916"/>
      <w:r>
        <w:rPr>
          <w:rFonts w:hint="eastAsia"/>
          <w:color w:val="auto"/>
          <w:highlight w:val="none"/>
        </w:rPr>
        <w:t>3. 监理人</w:t>
      </w:r>
      <w:bookmarkEnd w:id="355"/>
      <w:bookmarkEnd w:id="356"/>
      <w:bookmarkEnd w:id="357"/>
      <w:bookmarkEnd w:id="358"/>
      <w:bookmarkEnd w:id="359"/>
      <w:bookmarkEnd w:id="360"/>
      <w:bookmarkEnd w:id="361"/>
    </w:p>
    <w:p w14:paraId="460038FF">
      <w:pPr>
        <w:pStyle w:val="45"/>
        <w:rPr>
          <w:color w:val="auto"/>
          <w:highlight w:val="none"/>
        </w:rPr>
      </w:pPr>
      <w:bookmarkStart w:id="362" w:name="_Toc152042412"/>
      <w:bookmarkStart w:id="363" w:name="_Toc179632652"/>
      <w:bookmarkStart w:id="364" w:name="_Toc21344"/>
      <w:bookmarkStart w:id="365" w:name="_Toc144974602"/>
      <w:bookmarkStart w:id="366" w:name="_Toc152045634"/>
      <w:r>
        <w:rPr>
          <w:rFonts w:hint="eastAsia"/>
          <w:color w:val="auto"/>
          <w:highlight w:val="none"/>
        </w:rPr>
        <w:t>3.1 监理人的职责和权力</w:t>
      </w:r>
      <w:bookmarkEnd w:id="362"/>
      <w:bookmarkEnd w:id="363"/>
      <w:bookmarkEnd w:id="364"/>
      <w:bookmarkEnd w:id="365"/>
      <w:bookmarkEnd w:id="366"/>
    </w:p>
    <w:p w14:paraId="1C94B097">
      <w:pPr>
        <w:spacing w:line="400" w:lineRule="exact"/>
        <w:ind w:firstLine="420" w:firstLineChars="200"/>
        <w:rPr>
          <w:color w:val="auto"/>
          <w:highlight w:val="none"/>
        </w:rPr>
      </w:pPr>
      <w:r>
        <w:rPr>
          <w:rFonts w:hint="eastAsia"/>
          <w:color w:val="auto"/>
          <w:highlight w:val="none"/>
        </w:rPr>
        <w:t>3.1.1 监理人受发包人委托，享有合同约定的权力。监理人在行使某项权力前需要经发包人事先批准而通用合同条款没有指明的，应在专用合同条款中指明。</w:t>
      </w:r>
    </w:p>
    <w:p w14:paraId="68C2E25B">
      <w:pPr>
        <w:spacing w:line="400" w:lineRule="exact"/>
        <w:ind w:firstLine="420" w:firstLineChars="200"/>
        <w:rPr>
          <w:color w:val="auto"/>
          <w:highlight w:val="none"/>
        </w:rPr>
      </w:pPr>
      <w:r>
        <w:rPr>
          <w:rFonts w:hint="eastAsia"/>
          <w:color w:val="auto"/>
          <w:highlight w:val="none"/>
        </w:rPr>
        <w:t>3.1.2 监理人发出的任何指示应视为已得到发包人的批准，但监理人无权免除或变更合同约定的发包人和承包人的权利、义务和责任。</w:t>
      </w:r>
    </w:p>
    <w:p w14:paraId="469AC11F">
      <w:pPr>
        <w:spacing w:line="400" w:lineRule="exact"/>
        <w:ind w:firstLine="420" w:firstLineChars="200"/>
        <w:rPr>
          <w:color w:val="auto"/>
          <w:highlight w:val="none"/>
        </w:rPr>
      </w:pPr>
      <w:r>
        <w:rPr>
          <w:rFonts w:hint="eastAsia"/>
          <w:color w:val="auto"/>
          <w:highlight w:val="none"/>
        </w:rPr>
        <w:t>3.1.3 合同约定应由承包人承担的义务和责任，不因监理人对承包人提交文件的审查或批准，对工程、材料和设备的检查和检验，以及为实施监理作出的指示等职务行为而减轻或解除。</w:t>
      </w:r>
    </w:p>
    <w:p w14:paraId="0CB832A4">
      <w:pPr>
        <w:pStyle w:val="45"/>
        <w:rPr>
          <w:color w:val="auto"/>
          <w:highlight w:val="none"/>
        </w:rPr>
      </w:pPr>
      <w:bookmarkStart w:id="367" w:name="_Toc152045635"/>
      <w:bookmarkStart w:id="368" w:name="_Toc144974603"/>
      <w:bookmarkStart w:id="369" w:name="_Toc179632653"/>
      <w:bookmarkStart w:id="370" w:name="_Toc152042413"/>
      <w:bookmarkStart w:id="371" w:name="_Toc10056"/>
      <w:r>
        <w:rPr>
          <w:rFonts w:hint="eastAsia"/>
          <w:color w:val="auto"/>
          <w:highlight w:val="none"/>
        </w:rPr>
        <w:t>3.2 总监理工程师</w:t>
      </w:r>
      <w:bookmarkEnd w:id="367"/>
      <w:bookmarkEnd w:id="368"/>
      <w:bookmarkEnd w:id="369"/>
      <w:bookmarkEnd w:id="370"/>
      <w:bookmarkEnd w:id="371"/>
    </w:p>
    <w:p w14:paraId="0925D63F">
      <w:pPr>
        <w:spacing w:line="400" w:lineRule="exact"/>
        <w:ind w:firstLine="420" w:firstLineChars="200"/>
        <w:rPr>
          <w:color w:val="auto"/>
          <w:highlight w:val="none"/>
        </w:rPr>
      </w:pPr>
      <w:r>
        <w:rPr>
          <w:rFonts w:hint="eastAsia"/>
          <w:color w:val="auto"/>
          <w:highlight w:val="none"/>
        </w:rPr>
        <w:t>发包人应在发出开工通知前将总监理工程师的任命通知承包人。总监理工程师更换时，应在调离14天前通知承包人。总监理工程师短期离开施工场地的，应委派代表代行其职责，并通知承包人。</w:t>
      </w:r>
    </w:p>
    <w:p w14:paraId="1BE70294">
      <w:pPr>
        <w:pStyle w:val="45"/>
        <w:rPr>
          <w:color w:val="auto"/>
          <w:highlight w:val="none"/>
        </w:rPr>
      </w:pPr>
      <w:bookmarkStart w:id="372" w:name="_Toc144974604"/>
      <w:bookmarkStart w:id="373" w:name="_Toc152042414"/>
      <w:bookmarkStart w:id="374" w:name="_Toc179632654"/>
      <w:bookmarkStart w:id="375" w:name="_Toc5686"/>
      <w:bookmarkStart w:id="376" w:name="_Toc152045636"/>
      <w:r>
        <w:rPr>
          <w:rFonts w:hint="eastAsia"/>
          <w:color w:val="auto"/>
          <w:highlight w:val="none"/>
        </w:rPr>
        <w:t>3.3 监理人员</w:t>
      </w:r>
      <w:bookmarkEnd w:id="372"/>
      <w:bookmarkEnd w:id="373"/>
      <w:bookmarkEnd w:id="374"/>
      <w:bookmarkEnd w:id="375"/>
      <w:bookmarkEnd w:id="376"/>
    </w:p>
    <w:p w14:paraId="5878F26B">
      <w:pPr>
        <w:spacing w:line="400" w:lineRule="exact"/>
        <w:ind w:firstLine="420" w:firstLineChars="200"/>
        <w:rPr>
          <w:color w:val="auto"/>
          <w:highlight w:val="none"/>
        </w:rPr>
      </w:pPr>
      <w:r>
        <w:rPr>
          <w:rFonts w:hint="eastAsia"/>
          <w:color w:val="auto"/>
          <w:highlight w:val="none"/>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51F656B5">
      <w:pPr>
        <w:spacing w:line="400" w:lineRule="exact"/>
        <w:ind w:firstLine="420" w:firstLineChars="200"/>
        <w:rPr>
          <w:color w:val="auto"/>
          <w:highlight w:val="none"/>
        </w:rPr>
      </w:pPr>
      <w:r>
        <w:rPr>
          <w:rFonts w:hint="eastAsia"/>
          <w:color w:val="auto"/>
          <w:highlight w:val="none"/>
        </w:rPr>
        <w:t>3.3.2 监理人员对承包人的任何工作、工程或其采用的材料和工程设备未在约定的或合理的期限内提出否定意见的，视为已获批准，但不影响监理人在以后拒绝该项工作、工程、材料或工程设备的权利。</w:t>
      </w:r>
    </w:p>
    <w:p w14:paraId="33A791BF">
      <w:pPr>
        <w:spacing w:line="400" w:lineRule="exact"/>
        <w:ind w:firstLine="420" w:firstLineChars="200"/>
        <w:rPr>
          <w:color w:val="auto"/>
          <w:highlight w:val="none"/>
        </w:rPr>
      </w:pPr>
      <w:r>
        <w:rPr>
          <w:rFonts w:hint="eastAsia"/>
          <w:color w:val="auto"/>
          <w:highlight w:val="none"/>
        </w:rPr>
        <w:t>3.3.3 承包人对总监理工程师授权的监理人员发出的指示有疑问的，可向总监理工程师提出书面异议，总监理工程师应在48小时内对该指示予以确认、更改或撤销。</w:t>
      </w:r>
    </w:p>
    <w:p w14:paraId="6542D2D5">
      <w:pPr>
        <w:spacing w:line="400" w:lineRule="exact"/>
        <w:ind w:firstLine="420" w:firstLineChars="200"/>
        <w:rPr>
          <w:color w:val="auto"/>
          <w:highlight w:val="none"/>
        </w:rPr>
      </w:pPr>
      <w:r>
        <w:rPr>
          <w:rFonts w:hint="eastAsia"/>
          <w:color w:val="auto"/>
          <w:highlight w:val="none"/>
        </w:rPr>
        <w:t>3.3.4 除专用合同条款另有约定外，总监理工程师不应将第3.5款约定应由总监理工程师作出确定的权力授权或委托给其他监理人员。</w:t>
      </w:r>
    </w:p>
    <w:p w14:paraId="043A8843">
      <w:pPr>
        <w:pStyle w:val="45"/>
        <w:rPr>
          <w:color w:val="auto"/>
          <w:highlight w:val="none"/>
        </w:rPr>
      </w:pPr>
      <w:bookmarkStart w:id="377" w:name="_Toc152042415"/>
      <w:bookmarkStart w:id="378" w:name="_Toc11942"/>
      <w:bookmarkStart w:id="379" w:name="_Toc179632655"/>
      <w:bookmarkStart w:id="380" w:name="_Toc144974605"/>
      <w:bookmarkStart w:id="381" w:name="_Toc152045637"/>
      <w:r>
        <w:rPr>
          <w:rFonts w:hint="eastAsia"/>
          <w:color w:val="auto"/>
          <w:highlight w:val="none"/>
        </w:rPr>
        <w:t>3.4 监理人的指示</w:t>
      </w:r>
      <w:bookmarkEnd w:id="377"/>
      <w:bookmarkEnd w:id="378"/>
      <w:bookmarkEnd w:id="379"/>
      <w:bookmarkEnd w:id="380"/>
      <w:bookmarkEnd w:id="381"/>
    </w:p>
    <w:p w14:paraId="43E81A52">
      <w:pPr>
        <w:spacing w:line="400" w:lineRule="exact"/>
        <w:ind w:firstLine="420" w:firstLineChars="200"/>
        <w:rPr>
          <w:color w:val="auto"/>
          <w:highlight w:val="none"/>
        </w:rPr>
      </w:pPr>
      <w:r>
        <w:rPr>
          <w:rFonts w:hint="eastAsia"/>
          <w:color w:val="auto"/>
          <w:highlight w:val="none"/>
        </w:rPr>
        <w:t>3.4.1 监理人应按第3.1款的约定向承包人发出指示，监理人的指示应盖有监理人授权的施工场地机构章，并由总监理工程师或总监理工程师按第3.3.1项约定授权的监理人员签字。</w:t>
      </w:r>
    </w:p>
    <w:p w14:paraId="403C4C64">
      <w:pPr>
        <w:spacing w:line="400" w:lineRule="exact"/>
        <w:ind w:firstLine="420" w:firstLineChars="200"/>
        <w:rPr>
          <w:color w:val="auto"/>
          <w:highlight w:val="none"/>
        </w:rPr>
      </w:pPr>
      <w:r>
        <w:rPr>
          <w:rFonts w:hint="eastAsia"/>
          <w:color w:val="auto"/>
          <w:highlight w:val="none"/>
        </w:rPr>
        <w:t>3.4.2 承包人收到监理人按第3.4.1项作出的指示后应遵照执行。指示构成变更的，应按第15条处理。</w:t>
      </w:r>
    </w:p>
    <w:p w14:paraId="5E69C1BC">
      <w:pPr>
        <w:spacing w:line="400" w:lineRule="exact"/>
        <w:ind w:firstLine="420" w:firstLineChars="200"/>
        <w:rPr>
          <w:color w:val="auto"/>
          <w:highlight w:val="none"/>
        </w:rPr>
      </w:pPr>
      <w:r>
        <w:rPr>
          <w:rFonts w:hint="eastAsia"/>
          <w:color w:val="auto"/>
          <w:highlight w:val="none"/>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14:paraId="6C255871">
      <w:pPr>
        <w:spacing w:line="400" w:lineRule="exact"/>
        <w:ind w:firstLine="420" w:firstLineChars="200"/>
        <w:rPr>
          <w:color w:val="auto"/>
          <w:highlight w:val="none"/>
        </w:rPr>
      </w:pPr>
      <w:r>
        <w:rPr>
          <w:rFonts w:hint="eastAsia"/>
          <w:color w:val="auto"/>
          <w:highlight w:val="none"/>
        </w:rPr>
        <w:t>3.4.4 除合同另有约定外，承包人只从总监理工程师或按第3.3.1项被授权的监理人员处取得指示。</w:t>
      </w:r>
    </w:p>
    <w:p w14:paraId="78048E15">
      <w:pPr>
        <w:spacing w:line="400" w:lineRule="exact"/>
        <w:ind w:firstLine="420" w:firstLineChars="200"/>
        <w:rPr>
          <w:color w:val="auto"/>
          <w:highlight w:val="none"/>
        </w:rPr>
      </w:pPr>
      <w:r>
        <w:rPr>
          <w:rFonts w:hint="eastAsia"/>
          <w:color w:val="auto"/>
          <w:highlight w:val="none"/>
        </w:rPr>
        <w:t xml:space="preserve">3.4.5 由于监理人未能按合同约定发出指示、指示延误或指示错误而导致承包人费用增加和（或）工期延误的，由发包人承担赔偿责任。 </w:t>
      </w:r>
    </w:p>
    <w:p w14:paraId="42308390">
      <w:pPr>
        <w:pStyle w:val="45"/>
        <w:rPr>
          <w:color w:val="auto"/>
          <w:highlight w:val="none"/>
        </w:rPr>
      </w:pPr>
      <w:bookmarkStart w:id="382" w:name="_Toc1563"/>
      <w:bookmarkStart w:id="383" w:name="_Toc144974606"/>
      <w:bookmarkStart w:id="384" w:name="_Toc152045638"/>
      <w:bookmarkStart w:id="385" w:name="_Toc179632656"/>
      <w:bookmarkStart w:id="386" w:name="_Toc152042416"/>
      <w:r>
        <w:rPr>
          <w:rFonts w:hint="eastAsia"/>
          <w:color w:val="auto"/>
          <w:highlight w:val="none"/>
        </w:rPr>
        <w:t>3.5 商定或确定</w:t>
      </w:r>
      <w:bookmarkEnd w:id="382"/>
      <w:bookmarkEnd w:id="383"/>
      <w:bookmarkEnd w:id="384"/>
      <w:bookmarkEnd w:id="385"/>
      <w:bookmarkEnd w:id="386"/>
    </w:p>
    <w:p w14:paraId="42221382">
      <w:pPr>
        <w:spacing w:line="400" w:lineRule="exact"/>
        <w:ind w:firstLine="420" w:firstLineChars="200"/>
        <w:rPr>
          <w:color w:val="auto"/>
          <w:highlight w:val="none"/>
        </w:rPr>
      </w:pPr>
      <w:r>
        <w:rPr>
          <w:rFonts w:hint="eastAsia"/>
          <w:color w:val="auto"/>
          <w:highlight w:val="none"/>
        </w:rPr>
        <w:t>3.5.1合同约定总监理工程师应按照本款对任何事项进行商定或确定时，总监理工程师应与合同当事人协商，尽量达成一致。不能达成一致的，总监理工程师应认真研究后审慎确定。</w:t>
      </w:r>
    </w:p>
    <w:p w14:paraId="44F71D20">
      <w:pPr>
        <w:spacing w:line="400" w:lineRule="exact"/>
        <w:ind w:firstLine="420" w:firstLineChars="200"/>
        <w:rPr>
          <w:color w:val="auto"/>
          <w:highlight w:val="none"/>
        </w:rPr>
      </w:pPr>
      <w:r>
        <w:rPr>
          <w:rFonts w:hint="eastAsia"/>
          <w:color w:val="auto"/>
          <w:highlight w:val="none"/>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14:paraId="1D3D5494">
      <w:pPr>
        <w:pStyle w:val="44"/>
        <w:rPr>
          <w:color w:val="auto"/>
          <w:highlight w:val="none"/>
        </w:rPr>
      </w:pPr>
      <w:bookmarkStart w:id="387" w:name="_Toc3429"/>
      <w:bookmarkStart w:id="388" w:name="_Toc179632657"/>
      <w:bookmarkStart w:id="389" w:name="_Toc152045639"/>
      <w:bookmarkStart w:id="390" w:name="_Toc26559"/>
      <w:bookmarkStart w:id="391" w:name="_Toc27680"/>
      <w:bookmarkStart w:id="392" w:name="_Toc152042417"/>
      <w:bookmarkStart w:id="393" w:name="_Toc144974607"/>
      <w:r>
        <w:rPr>
          <w:rFonts w:hint="eastAsia"/>
          <w:color w:val="auto"/>
          <w:highlight w:val="none"/>
        </w:rPr>
        <w:t>4. 承包人</w:t>
      </w:r>
      <w:bookmarkEnd w:id="387"/>
      <w:bookmarkEnd w:id="388"/>
      <w:bookmarkEnd w:id="389"/>
      <w:bookmarkEnd w:id="390"/>
      <w:bookmarkEnd w:id="391"/>
      <w:bookmarkEnd w:id="392"/>
      <w:bookmarkEnd w:id="393"/>
    </w:p>
    <w:p w14:paraId="3C9460DF">
      <w:pPr>
        <w:pStyle w:val="45"/>
        <w:rPr>
          <w:color w:val="auto"/>
          <w:highlight w:val="none"/>
        </w:rPr>
      </w:pPr>
      <w:bookmarkStart w:id="394" w:name="_Toc144974608"/>
      <w:bookmarkStart w:id="395" w:name="_Toc152042418"/>
      <w:bookmarkStart w:id="396" w:name="_Toc18643"/>
      <w:bookmarkStart w:id="397" w:name="_Toc152045640"/>
      <w:bookmarkStart w:id="398" w:name="_Toc179632658"/>
      <w:r>
        <w:rPr>
          <w:rFonts w:hint="eastAsia"/>
          <w:color w:val="auto"/>
          <w:highlight w:val="none"/>
        </w:rPr>
        <w:t>4.1 承包人的一般义务</w:t>
      </w:r>
      <w:bookmarkEnd w:id="394"/>
      <w:bookmarkEnd w:id="395"/>
      <w:bookmarkEnd w:id="396"/>
      <w:bookmarkEnd w:id="397"/>
      <w:bookmarkEnd w:id="398"/>
    </w:p>
    <w:p w14:paraId="5AB038AA">
      <w:pPr>
        <w:spacing w:line="400" w:lineRule="exact"/>
        <w:ind w:firstLine="420" w:firstLineChars="200"/>
        <w:rPr>
          <w:color w:val="auto"/>
          <w:highlight w:val="none"/>
        </w:rPr>
      </w:pPr>
      <w:r>
        <w:rPr>
          <w:rFonts w:hint="eastAsia"/>
          <w:color w:val="auto"/>
          <w:highlight w:val="none"/>
        </w:rPr>
        <w:t xml:space="preserve">4.1.1 </w:t>
      </w:r>
      <w:r>
        <w:rPr>
          <w:rFonts w:hint="eastAsia" w:ascii="黑体" w:eastAsia="黑体"/>
          <w:color w:val="auto"/>
          <w:highlight w:val="none"/>
        </w:rPr>
        <w:t>遵守法律</w:t>
      </w:r>
    </w:p>
    <w:p w14:paraId="530C5B24">
      <w:pPr>
        <w:spacing w:line="400" w:lineRule="exact"/>
        <w:ind w:firstLine="420" w:firstLineChars="200"/>
        <w:rPr>
          <w:color w:val="auto"/>
          <w:highlight w:val="none"/>
        </w:rPr>
      </w:pPr>
      <w:r>
        <w:rPr>
          <w:rFonts w:hint="eastAsia"/>
          <w:color w:val="auto"/>
          <w:highlight w:val="none"/>
        </w:rPr>
        <w:t>承包人在履行合同过程中应遵守法律，并保证发包人免于承担因承包人违反法律而引起的任何责任。</w:t>
      </w:r>
    </w:p>
    <w:p w14:paraId="15FF989C">
      <w:pPr>
        <w:spacing w:line="400" w:lineRule="exact"/>
        <w:ind w:firstLine="420" w:firstLineChars="200"/>
        <w:rPr>
          <w:color w:val="auto"/>
          <w:highlight w:val="none"/>
        </w:rPr>
      </w:pPr>
      <w:r>
        <w:rPr>
          <w:rFonts w:hint="eastAsia"/>
          <w:color w:val="auto"/>
          <w:highlight w:val="none"/>
        </w:rPr>
        <w:t xml:space="preserve">4.1.2 </w:t>
      </w:r>
      <w:r>
        <w:rPr>
          <w:rFonts w:hint="eastAsia" w:ascii="黑体" w:eastAsia="黑体"/>
          <w:color w:val="auto"/>
          <w:highlight w:val="none"/>
        </w:rPr>
        <w:t>依法纳税</w:t>
      </w:r>
    </w:p>
    <w:p w14:paraId="7D99CA0B">
      <w:pPr>
        <w:spacing w:line="400" w:lineRule="exact"/>
        <w:ind w:firstLine="420" w:firstLineChars="200"/>
        <w:rPr>
          <w:color w:val="auto"/>
          <w:highlight w:val="none"/>
        </w:rPr>
      </w:pPr>
      <w:r>
        <w:rPr>
          <w:rFonts w:hint="eastAsia"/>
          <w:color w:val="auto"/>
          <w:highlight w:val="none"/>
        </w:rPr>
        <w:t>承包人应按有关法律规定纳税，应缴纳的税金包括在合同价格内。</w:t>
      </w:r>
    </w:p>
    <w:p w14:paraId="1E5F1913">
      <w:pPr>
        <w:spacing w:line="400" w:lineRule="exact"/>
        <w:ind w:firstLine="420" w:firstLineChars="200"/>
        <w:rPr>
          <w:color w:val="auto"/>
          <w:highlight w:val="none"/>
        </w:rPr>
      </w:pPr>
      <w:r>
        <w:rPr>
          <w:rFonts w:hint="eastAsia"/>
          <w:color w:val="auto"/>
          <w:highlight w:val="none"/>
        </w:rPr>
        <w:t xml:space="preserve">4.1.3 </w:t>
      </w:r>
      <w:r>
        <w:rPr>
          <w:rFonts w:hint="eastAsia" w:ascii="黑体" w:eastAsia="黑体"/>
          <w:color w:val="auto"/>
          <w:highlight w:val="none"/>
        </w:rPr>
        <w:t>完成各项承包工作</w:t>
      </w:r>
    </w:p>
    <w:p w14:paraId="4250B9CF">
      <w:pPr>
        <w:spacing w:line="400" w:lineRule="exact"/>
        <w:ind w:firstLine="420" w:firstLineChars="200"/>
        <w:rPr>
          <w:color w:val="auto"/>
          <w:highlight w:val="none"/>
        </w:rPr>
      </w:pPr>
      <w:r>
        <w:rPr>
          <w:rFonts w:hint="eastAsia"/>
          <w:color w:val="auto"/>
          <w:highlight w:val="none"/>
        </w:rPr>
        <w:t>承包人应按合同约定以及监理人根据第3.4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14:paraId="13823667">
      <w:pPr>
        <w:spacing w:line="400" w:lineRule="exact"/>
        <w:ind w:firstLine="420" w:firstLineChars="200"/>
        <w:rPr>
          <w:color w:val="auto"/>
          <w:highlight w:val="none"/>
        </w:rPr>
      </w:pPr>
      <w:r>
        <w:rPr>
          <w:rFonts w:hint="eastAsia"/>
          <w:color w:val="auto"/>
          <w:highlight w:val="none"/>
        </w:rPr>
        <w:t xml:space="preserve">4.1.4 </w:t>
      </w:r>
      <w:r>
        <w:rPr>
          <w:rFonts w:hint="eastAsia" w:ascii="黑体" w:eastAsia="黑体"/>
          <w:color w:val="auto"/>
          <w:highlight w:val="none"/>
        </w:rPr>
        <w:t>对施工作业和施工方法的完备性负责</w:t>
      </w:r>
    </w:p>
    <w:p w14:paraId="3C4E2C24">
      <w:pPr>
        <w:spacing w:line="400" w:lineRule="exact"/>
        <w:ind w:firstLine="420" w:firstLineChars="200"/>
        <w:rPr>
          <w:color w:val="auto"/>
          <w:highlight w:val="none"/>
        </w:rPr>
      </w:pPr>
      <w:r>
        <w:rPr>
          <w:rFonts w:hint="eastAsia"/>
          <w:color w:val="auto"/>
          <w:highlight w:val="none"/>
        </w:rPr>
        <w:t>承包人应按合同约定的工作内容和施工进度要求，编制施工组织设计和施工措施计划，并对所有施工作业和施工方法的完备性和安全可靠性负责。</w:t>
      </w:r>
    </w:p>
    <w:p w14:paraId="02EDE574">
      <w:pPr>
        <w:spacing w:line="400" w:lineRule="exact"/>
        <w:ind w:firstLine="420" w:firstLineChars="200"/>
        <w:rPr>
          <w:color w:val="auto"/>
          <w:highlight w:val="none"/>
        </w:rPr>
      </w:pPr>
      <w:r>
        <w:rPr>
          <w:rFonts w:hint="eastAsia"/>
          <w:color w:val="auto"/>
          <w:highlight w:val="none"/>
        </w:rPr>
        <w:t xml:space="preserve">4.1.5 </w:t>
      </w:r>
      <w:r>
        <w:rPr>
          <w:rFonts w:hint="eastAsia" w:ascii="黑体" w:eastAsia="黑体"/>
          <w:color w:val="auto"/>
          <w:highlight w:val="none"/>
        </w:rPr>
        <w:t>保证工程施工和人员的安全</w:t>
      </w:r>
    </w:p>
    <w:p w14:paraId="359B5513">
      <w:pPr>
        <w:spacing w:line="400" w:lineRule="exact"/>
        <w:ind w:firstLine="420" w:firstLineChars="200"/>
        <w:rPr>
          <w:color w:val="auto"/>
          <w:highlight w:val="none"/>
        </w:rPr>
      </w:pPr>
      <w:r>
        <w:rPr>
          <w:rFonts w:hint="eastAsia"/>
          <w:color w:val="auto"/>
          <w:highlight w:val="none"/>
        </w:rPr>
        <w:t>承包人应按第9.2款约定采取施工安全措施，确保工程及其人员、材料、设备和设施的安全，防止因工程施工造成的人身伤害和财产损失。</w:t>
      </w:r>
    </w:p>
    <w:p w14:paraId="642E0F93">
      <w:pPr>
        <w:spacing w:line="400" w:lineRule="exact"/>
        <w:ind w:firstLine="420" w:firstLineChars="200"/>
        <w:rPr>
          <w:color w:val="auto"/>
          <w:highlight w:val="none"/>
        </w:rPr>
      </w:pPr>
      <w:r>
        <w:rPr>
          <w:rFonts w:hint="eastAsia"/>
          <w:color w:val="auto"/>
          <w:highlight w:val="none"/>
        </w:rPr>
        <w:t xml:space="preserve">4.1.6 </w:t>
      </w:r>
      <w:r>
        <w:rPr>
          <w:rFonts w:hint="eastAsia" w:ascii="黑体" w:eastAsia="黑体"/>
          <w:color w:val="auto"/>
          <w:highlight w:val="none"/>
        </w:rPr>
        <w:t>负责施工场地及其周边环境与生态的保护工作</w:t>
      </w:r>
    </w:p>
    <w:p w14:paraId="74641E06">
      <w:pPr>
        <w:spacing w:line="400" w:lineRule="exact"/>
        <w:ind w:firstLine="420" w:firstLineChars="200"/>
        <w:rPr>
          <w:color w:val="auto"/>
          <w:highlight w:val="none"/>
        </w:rPr>
      </w:pPr>
      <w:r>
        <w:rPr>
          <w:rFonts w:hint="eastAsia"/>
          <w:color w:val="auto"/>
          <w:highlight w:val="none"/>
        </w:rPr>
        <w:t>承包人应按照第9.4款约定负责施工场地及其周边环境与生态的保护工作。</w:t>
      </w:r>
    </w:p>
    <w:p w14:paraId="69627C24">
      <w:pPr>
        <w:spacing w:line="400" w:lineRule="exact"/>
        <w:ind w:firstLine="420" w:firstLineChars="200"/>
        <w:rPr>
          <w:color w:val="auto"/>
          <w:highlight w:val="none"/>
        </w:rPr>
      </w:pPr>
      <w:r>
        <w:rPr>
          <w:rFonts w:hint="eastAsia"/>
          <w:color w:val="auto"/>
          <w:highlight w:val="none"/>
        </w:rPr>
        <w:t xml:space="preserve">4.1.7 </w:t>
      </w:r>
      <w:r>
        <w:rPr>
          <w:rFonts w:hint="eastAsia" w:ascii="黑体" w:eastAsia="黑体"/>
          <w:color w:val="auto"/>
          <w:highlight w:val="none"/>
        </w:rPr>
        <w:t>避免施工对公众与他人的利益造成损害</w:t>
      </w:r>
    </w:p>
    <w:p w14:paraId="2DFB9A25">
      <w:pPr>
        <w:spacing w:line="400" w:lineRule="exact"/>
        <w:ind w:firstLine="420" w:firstLineChars="200"/>
        <w:rPr>
          <w:color w:val="auto"/>
          <w:highlight w:val="none"/>
        </w:rPr>
      </w:pPr>
      <w:r>
        <w:rPr>
          <w:rFonts w:hint="eastAsia"/>
          <w:color w:val="auto"/>
          <w:highlight w:val="none"/>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3D1ABEE1">
      <w:pPr>
        <w:spacing w:line="400" w:lineRule="exact"/>
        <w:ind w:firstLine="420" w:firstLineChars="200"/>
        <w:rPr>
          <w:color w:val="auto"/>
          <w:highlight w:val="none"/>
        </w:rPr>
      </w:pPr>
      <w:r>
        <w:rPr>
          <w:rFonts w:hint="eastAsia"/>
          <w:color w:val="auto"/>
          <w:highlight w:val="none"/>
        </w:rPr>
        <w:t xml:space="preserve">4.1.8 </w:t>
      </w:r>
      <w:r>
        <w:rPr>
          <w:rFonts w:hint="eastAsia" w:ascii="黑体" w:eastAsia="黑体"/>
          <w:color w:val="auto"/>
          <w:highlight w:val="none"/>
        </w:rPr>
        <w:t>为他人提供方便</w:t>
      </w:r>
    </w:p>
    <w:p w14:paraId="40463D74">
      <w:pPr>
        <w:spacing w:line="400" w:lineRule="exact"/>
        <w:ind w:firstLine="420" w:firstLineChars="200"/>
        <w:rPr>
          <w:color w:val="auto"/>
          <w:highlight w:val="none"/>
        </w:rPr>
      </w:pPr>
      <w:r>
        <w:rPr>
          <w:rFonts w:hint="eastAsia"/>
          <w:color w:val="auto"/>
          <w:highlight w:val="none"/>
        </w:rPr>
        <w:t>承包人应按监理人的指示为他人在施工场地或附近实施与工程有关的其他各项工作提供可能的条件。除合同另有约定外，提供有关条件的内容和可能发生的费用，由监理人按第3.5款商定或确定。</w:t>
      </w:r>
    </w:p>
    <w:p w14:paraId="77CF537C">
      <w:pPr>
        <w:spacing w:line="400" w:lineRule="exact"/>
        <w:ind w:firstLine="420" w:firstLineChars="200"/>
        <w:rPr>
          <w:color w:val="auto"/>
          <w:highlight w:val="none"/>
        </w:rPr>
      </w:pPr>
      <w:r>
        <w:rPr>
          <w:rFonts w:hint="eastAsia"/>
          <w:color w:val="auto"/>
          <w:highlight w:val="none"/>
        </w:rPr>
        <w:t xml:space="preserve">4.1.9 </w:t>
      </w:r>
      <w:r>
        <w:rPr>
          <w:rFonts w:hint="eastAsia" w:ascii="黑体" w:eastAsia="黑体"/>
          <w:color w:val="auto"/>
          <w:highlight w:val="none"/>
        </w:rPr>
        <w:t>工程的维护和照管</w:t>
      </w:r>
    </w:p>
    <w:p w14:paraId="454EC1F2">
      <w:pPr>
        <w:spacing w:line="400" w:lineRule="exact"/>
        <w:ind w:firstLine="420" w:firstLineChars="200"/>
        <w:rPr>
          <w:color w:val="auto"/>
          <w:highlight w:val="none"/>
        </w:rPr>
      </w:pPr>
      <w:r>
        <w:rPr>
          <w:rFonts w:hint="eastAsia"/>
          <w:color w:val="auto"/>
          <w:highlight w:val="none"/>
        </w:rPr>
        <w:t>工程接收证书颁发前，承包人应负责照管和维护工程。工程接收证书颁发时尚有部分未竣工工程的，承包人还应负责该未竣工工程的照管和维护工作，直至竣工后移交给发包人为止。</w:t>
      </w:r>
    </w:p>
    <w:p w14:paraId="551BB425">
      <w:pPr>
        <w:spacing w:line="400" w:lineRule="exact"/>
        <w:ind w:firstLine="420" w:firstLineChars="200"/>
        <w:rPr>
          <w:color w:val="auto"/>
          <w:highlight w:val="none"/>
        </w:rPr>
      </w:pPr>
      <w:r>
        <w:rPr>
          <w:rFonts w:hint="eastAsia"/>
          <w:color w:val="auto"/>
          <w:highlight w:val="none"/>
        </w:rPr>
        <w:t xml:space="preserve">4.1.10 </w:t>
      </w:r>
      <w:r>
        <w:rPr>
          <w:rFonts w:hint="eastAsia" w:ascii="黑体" w:eastAsia="黑体"/>
          <w:color w:val="auto"/>
          <w:highlight w:val="none"/>
        </w:rPr>
        <w:t>其他义务</w:t>
      </w:r>
    </w:p>
    <w:p w14:paraId="361FFA8F">
      <w:pPr>
        <w:spacing w:line="400" w:lineRule="exact"/>
        <w:ind w:firstLine="420" w:firstLineChars="200"/>
        <w:rPr>
          <w:color w:val="auto"/>
          <w:highlight w:val="none"/>
        </w:rPr>
      </w:pPr>
      <w:r>
        <w:rPr>
          <w:rFonts w:hint="eastAsia"/>
          <w:color w:val="auto"/>
          <w:highlight w:val="none"/>
        </w:rPr>
        <w:t>承包人应履行合同约定的其他义务。</w:t>
      </w:r>
    </w:p>
    <w:p w14:paraId="09BB5CA8">
      <w:pPr>
        <w:pStyle w:val="45"/>
        <w:rPr>
          <w:color w:val="auto"/>
          <w:highlight w:val="none"/>
        </w:rPr>
      </w:pPr>
      <w:bookmarkStart w:id="399" w:name="_Toc152045641"/>
      <w:bookmarkStart w:id="400" w:name="_Toc144974609"/>
      <w:bookmarkStart w:id="401" w:name="_Toc152042419"/>
      <w:bookmarkStart w:id="402" w:name="_Toc179632659"/>
      <w:bookmarkStart w:id="403" w:name="_Toc19104"/>
      <w:r>
        <w:rPr>
          <w:rFonts w:hint="eastAsia"/>
          <w:color w:val="auto"/>
          <w:highlight w:val="none"/>
        </w:rPr>
        <w:t>4.2 履约担保</w:t>
      </w:r>
      <w:bookmarkEnd w:id="399"/>
      <w:bookmarkEnd w:id="400"/>
      <w:bookmarkEnd w:id="401"/>
      <w:bookmarkEnd w:id="402"/>
      <w:bookmarkEnd w:id="403"/>
    </w:p>
    <w:p w14:paraId="542D5EE6">
      <w:pPr>
        <w:spacing w:line="400" w:lineRule="exact"/>
        <w:ind w:firstLine="420" w:firstLineChars="200"/>
        <w:rPr>
          <w:color w:val="auto"/>
          <w:highlight w:val="none"/>
        </w:rPr>
      </w:pPr>
      <w:r>
        <w:rPr>
          <w:rFonts w:hint="eastAsia"/>
          <w:color w:val="auto"/>
          <w:highlight w:val="none"/>
        </w:rPr>
        <w:t>承包人应保证其履约担保在发包人颁发工程接收证书前一直有效。发包人应在工程接收证书颁发后28天内把履约担保退还给承包人。</w:t>
      </w:r>
    </w:p>
    <w:p w14:paraId="4F5AD26E">
      <w:pPr>
        <w:pStyle w:val="45"/>
        <w:rPr>
          <w:color w:val="auto"/>
          <w:highlight w:val="none"/>
        </w:rPr>
      </w:pPr>
      <w:bookmarkStart w:id="404" w:name="_Toc179632660"/>
      <w:bookmarkStart w:id="405" w:name="_Toc152042420"/>
      <w:bookmarkStart w:id="406" w:name="_Toc144974610"/>
      <w:bookmarkStart w:id="407" w:name="_Toc28920"/>
      <w:bookmarkStart w:id="408" w:name="_Toc152045642"/>
      <w:r>
        <w:rPr>
          <w:rFonts w:hint="eastAsia"/>
          <w:color w:val="auto"/>
          <w:highlight w:val="none"/>
        </w:rPr>
        <w:t>4.3 分包</w:t>
      </w:r>
      <w:bookmarkEnd w:id="404"/>
      <w:bookmarkEnd w:id="405"/>
      <w:bookmarkEnd w:id="406"/>
      <w:bookmarkEnd w:id="407"/>
      <w:bookmarkEnd w:id="408"/>
    </w:p>
    <w:p w14:paraId="2714C80C">
      <w:pPr>
        <w:spacing w:line="400" w:lineRule="exact"/>
        <w:ind w:firstLine="420" w:firstLineChars="200"/>
        <w:rPr>
          <w:color w:val="auto"/>
          <w:highlight w:val="none"/>
        </w:rPr>
      </w:pPr>
      <w:r>
        <w:rPr>
          <w:rFonts w:hint="eastAsia"/>
          <w:color w:val="auto"/>
          <w:highlight w:val="none"/>
        </w:rPr>
        <w:t>4.3.1 承包人不得将其承包的全部工程转包给第三人，或将其承包的全部工程肢解后以分包的名义转包给第三人。</w:t>
      </w:r>
    </w:p>
    <w:p w14:paraId="656633A5">
      <w:pPr>
        <w:spacing w:line="400" w:lineRule="exact"/>
        <w:ind w:firstLine="420" w:firstLineChars="200"/>
        <w:rPr>
          <w:color w:val="auto"/>
          <w:highlight w:val="none"/>
        </w:rPr>
      </w:pPr>
      <w:r>
        <w:rPr>
          <w:rFonts w:hint="eastAsia"/>
          <w:color w:val="auto"/>
          <w:highlight w:val="none"/>
        </w:rPr>
        <w:t>4.3.2 承包人不得将工程主体、关键性工作分包给第三人。除专用合同条款另有约定外，未经发包人同意，承包人不得将工程的其他部分或工作分包给第三人。</w:t>
      </w:r>
    </w:p>
    <w:p w14:paraId="27E381F8">
      <w:pPr>
        <w:spacing w:line="400" w:lineRule="exact"/>
        <w:ind w:firstLine="420" w:firstLineChars="200"/>
        <w:rPr>
          <w:color w:val="auto"/>
          <w:highlight w:val="none"/>
        </w:rPr>
      </w:pPr>
      <w:r>
        <w:rPr>
          <w:rFonts w:hint="eastAsia"/>
          <w:color w:val="auto"/>
          <w:highlight w:val="none"/>
        </w:rPr>
        <w:t>4.3.3 分包人的资格能力应与其分包工程的标准和规模相适应。</w:t>
      </w:r>
    </w:p>
    <w:p w14:paraId="785EEF9A">
      <w:pPr>
        <w:spacing w:line="400" w:lineRule="exact"/>
        <w:ind w:firstLine="420" w:firstLineChars="200"/>
        <w:rPr>
          <w:color w:val="auto"/>
          <w:highlight w:val="none"/>
        </w:rPr>
      </w:pPr>
      <w:r>
        <w:rPr>
          <w:rFonts w:hint="eastAsia"/>
          <w:color w:val="auto"/>
          <w:highlight w:val="none"/>
        </w:rPr>
        <w:t>4.3.4 按投标函附录约定分包工程的，承包人应向发包人和监理人提交分包合同副本。</w:t>
      </w:r>
    </w:p>
    <w:p w14:paraId="360542B3">
      <w:pPr>
        <w:spacing w:line="400" w:lineRule="exact"/>
        <w:ind w:firstLine="420" w:firstLineChars="200"/>
        <w:rPr>
          <w:color w:val="auto"/>
          <w:highlight w:val="none"/>
        </w:rPr>
      </w:pPr>
      <w:r>
        <w:rPr>
          <w:rFonts w:hint="eastAsia"/>
          <w:color w:val="auto"/>
          <w:highlight w:val="none"/>
        </w:rPr>
        <w:t>4.3.5 承包人应与分包人就分包工程向发包人承担连带责任。</w:t>
      </w:r>
    </w:p>
    <w:p w14:paraId="6A12E9D7">
      <w:pPr>
        <w:pStyle w:val="45"/>
        <w:rPr>
          <w:color w:val="auto"/>
          <w:highlight w:val="none"/>
        </w:rPr>
      </w:pPr>
      <w:bookmarkStart w:id="409" w:name="_Toc152042421"/>
      <w:bookmarkStart w:id="410" w:name="_Toc179632661"/>
      <w:bookmarkStart w:id="411" w:name="_Toc144974611"/>
      <w:bookmarkStart w:id="412" w:name="_Toc152045643"/>
      <w:bookmarkStart w:id="413" w:name="_Toc24679"/>
      <w:r>
        <w:rPr>
          <w:rFonts w:hint="eastAsia"/>
          <w:color w:val="auto"/>
          <w:highlight w:val="none"/>
        </w:rPr>
        <w:t>4.4 联合体</w:t>
      </w:r>
      <w:bookmarkEnd w:id="409"/>
      <w:bookmarkEnd w:id="410"/>
      <w:bookmarkEnd w:id="411"/>
      <w:bookmarkEnd w:id="412"/>
      <w:bookmarkEnd w:id="413"/>
    </w:p>
    <w:p w14:paraId="446EEC13">
      <w:pPr>
        <w:spacing w:line="400" w:lineRule="exact"/>
        <w:ind w:firstLine="420" w:firstLineChars="200"/>
        <w:rPr>
          <w:color w:val="auto"/>
          <w:highlight w:val="none"/>
        </w:rPr>
      </w:pPr>
      <w:r>
        <w:rPr>
          <w:rFonts w:hint="eastAsia"/>
          <w:color w:val="auto"/>
          <w:highlight w:val="none"/>
        </w:rPr>
        <w:t>4.4.1 联合体各方应共同与发包人签订合同协议书。联合体各方应为履行合同承担连带责任。</w:t>
      </w:r>
    </w:p>
    <w:p w14:paraId="5D569CF9">
      <w:pPr>
        <w:spacing w:line="400" w:lineRule="exact"/>
        <w:ind w:firstLine="420" w:firstLineChars="200"/>
        <w:rPr>
          <w:color w:val="auto"/>
          <w:highlight w:val="none"/>
        </w:rPr>
      </w:pPr>
      <w:r>
        <w:rPr>
          <w:rFonts w:hint="eastAsia"/>
          <w:color w:val="auto"/>
          <w:highlight w:val="none"/>
        </w:rPr>
        <w:t>4.4.2 联合体协议经发包人确认后作为合同附件。在履行合同过程中，未经发包人同意，不得修改联合体协议。</w:t>
      </w:r>
    </w:p>
    <w:p w14:paraId="783FA339">
      <w:pPr>
        <w:spacing w:line="400" w:lineRule="exact"/>
        <w:ind w:firstLine="420" w:firstLineChars="200"/>
        <w:rPr>
          <w:color w:val="auto"/>
          <w:highlight w:val="none"/>
        </w:rPr>
      </w:pPr>
      <w:r>
        <w:rPr>
          <w:rFonts w:hint="eastAsia"/>
          <w:color w:val="auto"/>
          <w:highlight w:val="none"/>
        </w:rPr>
        <w:t>4.4.3 联合体牵头人负责与发包人和监理人联系，并接受指示，负责组织联合体各成员全面履行合同。</w:t>
      </w:r>
    </w:p>
    <w:p w14:paraId="757716C2">
      <w:pPr>
        <w:pStyle w:val="45"/>
        <w:rPr>
          <w:color w:val="auto"/>
          <w:highlight w:val="none"/>
        </w:rPr>
      </w:pPr>
      <w:bookmarkStart w:id="414" w:name="_Toc179632662"/>
      <w:bookmarkStart w:id="415" w:name="_Toc152045644"/>
      <w:bookmarkStart w:id="416" w:name="_Toc144974612"/>
      <w:bookmarkStart w:id="417" w:name="_Toc31140"/>
      <w:bookmarkStart w:id="418" w:name="_Toc152042422"/>
      <w:r>
        <w:rPr>
          <w:rFonts w:hint="eastAsia"/>
          <w:color w:val="auto"/>
          <w:highlight w:val="none"/>
        </w:rPr>
        <w:t>4.5 承包人项目经理</w:t>
      </w:r>
      <w:bookmarkEnd w:id="414"/>
      <w:bookmarkEnd w:id="415"/>
      <w:bookmarkEnd w:id="416"/>
      <w:bookmarkEnd w:id="417"/>
      <w:bookmarkEnd w:id="418"/>
    </w:p>
    <w:p w14:paraId="1413BA7E">
      <w:pPr>
        <w:spacing w:line="400" w:lineRule="exact"/>
        <w:ind w:firstLine="420" w:firstLineChars="200"/>
        <w:rPr>
          <w:color w:val="auto"/>
          <w:highlight w:val="none"/>
        </w:rPr>
      </w:pPr>
      <w:r>
        <w:rPr>
          <w:rFonts w:hint="eastAsia"/>
          <w:color w:val="auto"/>
          <w:highlight w:val="none"/>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14:paraId="3B5D9964">
      <w:pPr>
        <w:spacing w:line="400" w:lineRule="exact"/>
        <w:ind w:firstLine="420" w:firstLineChars="200"/>
        <w:rPr>
          <w:color w:val="auto"/>
          <w:highlight w:val="none"/>
        </w:rPr>
      </w:pPr>
      <w:r>
        <w:rPr>
          <w:rFonts w:hint="eastAsia"/>
          <w:color w:val="auto"/>
          <w:highlight w:val="none"/>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14:paraId="4C276FCA">
      <w:pPr>
        <w:spacing w:line="400" w:lineRule="exact"/>
        <w:ind w:firstLine="420" w:firstLineChars="200"/>
        <w:rPr>
          <w:color w:val="auto"/>
          <w:highlight w:val="none"/>
        </w:rPr>
      </w:pPr>
      <w:r>
        <w:rPr>
          <w:rFonts w:hint="eastAsia"/>
          <w:color w:val="auto"/>
          <w:highlight w:val="none"/>
        </w:rPr>
        <w:t>4.5.3承包人为履行合同发出的一切函件均应盖有承包人授权的施工场地管理机构章，并由承包人项目经理或其授权代表签字。</w:t>
      </w:r>
    </w:p>
    <w:p w14:paraId="21D17D8B">
      <w:pPr>
        <w:spacing w:line="400" w:lineRule="exact"/>
        <w:ind w:firstLine="420" w:firstLineChars="200"/>
        <w:rPr>
          <w:color w:val="auto"/>
          <w:highlight w:val="none"/>
        </w:rPr>
      </w:pPr>
      <w:r>
        <w:rPr>
          <w:rFonts w:hint="eastAsia"/>
          <w:color w:val="auto"/>
          <w:highlight w:val="none"/>
        </w:rPr>
        <w:t>4.5.4 承包人项目经理可以授权其下属人员履行其某项职责，但事先应将这些人员的姓名和授权范围通知监理人。</w:t>
      </w:r>
    </w:p>
    <w:p w14:paraId="03A08110">
      <w:pPr>
        <w:pStyle w:val="45"/>
        <w:rPr>
          <w:color w:val="auto"/>
          <w:highlight w:val="none"/>
        </w:rPr>
      </w:pPr>
      <w:bookmarkStart w:id="419" w:name="_Toc152045645"/>
      <w:bookmarkStart w:id="420" w:name="_Toc2685"/>
      <w:bookmarkStart w:id="421" w:name="_Toc179632663"/>
      <w:bookmarkStart w:id="422" w:name="_Toc152042423"/>
      <w:bookmarkStart w:id="423" w:name="_Toc144974613"/>
      <w:r>
        <w:rPr>
          <w:rFonts w:hint="eastAsia"/>
          <w:color w:val="auto"/>
          <w:highlight w:val="none"/>
        </w:rPr>
        <w:t>4.6 承包人人员的管理</w:t>
      </w:r>
      <w:bookmarkEnd w:id="419"/>
      <w:bookmarkEnd w:id="420"/>
      <w:bookmarkEnd w:id="421"/>
      <w:bookmarkEnd w:id="422"/>
      <w:bookmarkEnd w:id="423"/>
    </w:p>
    <w:p w14:paraId="6658ACEB">
      <w:pPr>
        <w:spacing w:line="400" w:lineRule="exact"/>
        <w:ind w:firstLine="420" w:firstLineChars="200"/>
        <w:rPr>
          <w:color w:val="auto"/>
          <w:highlight w:val="none"/>
        </w:rPr>
      </w:pPr>
      <w:r>
        <w:rPr>
          <w:rFonts w:hint="eastAsia"/>
          <w:color w:val="auto"/>
          <w:highlight w:val="none"/>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5CEFEE99">
      <w:pPr>
        <w:spacing w:line="400" w:lineRule="exact"/>
        <w:ind w:firstLine="420" w:firstLineChars="200"/>
        <w:rPr>
          <w:color w:val="auto"/>
          <w:highlight w:val="none"/>
        </w:rPr>
      </w:pPr>
      <w:r>
        <w:rPr>
          <w:rFonts w:hint="eastAsia"/>
          <w:color w:val="auto"/>
          <w:highlight w:val="none"/>
        </w:rPr>
        <w:t>4.6.2 为完成合同约定的各项工作，承包人应向施工场地派遣或雇佣足够数量的下列人员：</w:t>
      </w:r>
    </w:p>
    <w:p w14:paraId="3AE362D8">
      <w:pPr>
        <w:spacing w:line="400" w:lineRule="exact"/>
        <w:ind w:firstLine="718" w:firstLineChars="342"/>
        <w:rPr>
          <w:color w:val="auto"/>
          <w:highlight w:val="none"/>
        </w:rPr>
      </w:pPr>
      <w:r>
        <w:rPr>
          <w:rFonts w:hint="eastAsia"/>
          <w:color w:val="auto"/>
          <w:highlight w:val="none"/>
        </w:rPr>
        <w:t>（1）具有相应资格的专业技工和合格的普工；</w:t>
      </w:r>
    </w:p>
    <w:p w14:paraId="6786ABF3">
      <w:pPr>
        <w:spacing w:line="400" w:lineRule="exact"/>
        <w:ind w:firstLine="718" w:firstLineChars="342"/>
        <w:rPr>
          <w:color w:val="auto"/>
          <w:highlight w:val="none"/>
        </w:rPr>
      </w:pPr>
      <w:r>
        <w:rPr>
          <w:rFonts w:hint="eastAsia"/>
          <w:color w:val="auto"/>
          <w:highlight w:val="none"/>
        </w:rPr>
        <w:t>（2）具有相应施工经验的技术人员；</w:t>
      </w:r>
    </w:p>
    <w:p w14:paraId="543766D6">
      <w:pPr>
        <w:spacing w:line="400" w:lineRule="exact"/>
        <w:ind w:firstLine="718" w:firstLineChars="342"/>
        <w:rPr>
          <w:color w:val="auto"/>
          <w:highlight w:val="none"/>
        </w:rPr>
      </w:pPr>
      <w:r>
        <w:rPr>
          <w:rFonts w:hint="eastAsia"/>
          <w:color w:val="auto"/>
          <w:highlight w:val="none"/>
        </w:rPr>
        <w:t>（3）具有相应岗位资格的各级管理人员。</w:t>
      </w:r>
    </w:p>
    <w:p w14:paraId="09025CA3">
      <w:pPr>
        <w:spacing w:line="400" w:lineRule="exact"/>
        <w:ind w:firstLine="420" w:firstLineChars="200"/>
        <w:rPr>
          <w:color w:val="auto"/>
          <w:highlight w:val="none"/>
        </w:rPr>
      </w:pPr>
      <w:r>
        <w:rPr>
          <w:rFonts w:hint="eastAsia"/>
          <w:color w:val="auto"/>
          <w:highlight w:val="none"/>
        </w:rPr>
        <w:t>4.6.3 承包人安排在施工场地的主要管理人员和技术骨干应相对稳定。承包人更换主要管理人员和技术骨干时，应取得监理人的同意。</w:t>
      </w:r>
    </w:p>
    <w:p w14:paraId="662038DB">
      <w:pPr>
        <w:spacing w:line="400" w:lineRule="exact"/>
        <w:ind w:firstLine="420" w:firstLineChars="200"/>
        <w:rPr>
          <w:color w:val="auto"/>
          <w:highlight w:val="none"/>
        </w:rPr>
      </w:pPr>
      <w:r>
        <w:rPr>
          <w:rFonts w:hint="eastAsia"/>
          <w:color w:val="auto"/>
          <w:highlight w:val="none"/>
        </w:rPr>
        <w:t>4.6.4 特殊岗位的工作人员均应持有相应的资格证明，监理人有权随时检查。监理人认为有必要时，可进行现场考核。</w:t>
      </w:r>
    </w:p>
    <w:p w14:paraId="3F72E3D4">
      <w:pPr>
        <w:pStyle w:val="45"/>
        <w:rPr>
          <w:color w:val="auto"/>
          <w:highlight w:val="none"/>
        </w:rPr>
      </w:pPr>
      <w:bookmarkStart w:id="424" w:name="_Toc179632664"/>
      <w:bookmarkStart w:id="425" w:name="_Toc152042424"/>
      <w:bookmarkStart w:id="426" w:name="_Toc18614"/>
      <w:bookmarkStart w:id="427" w:name="_Toc152045646"/>
      <w:bookmarkStart w:id="428" w:name="_Toc144974614"/>
      <w:r>
        <w:rPr>
          <w:rFonts w:hint="eastAsia"/>
          <w:color w:val="auto"/>
          <w:highlight w:val="none"/>
        </w:rPr>
        <w:t>4.7 撤换承包人项目经理和其他人员</w:t>
      </w:r>
      <w:bookmarkEnd w:id="424"/>
      <w:bookmarkEnd w:id="425"/>
      <w:bookmarkEnd w:id="426"/>
      <w:bookmarkEnd w:id="427"/>
      <w:bookmarkEnd w:id="428"/>
    </w:p>
    <w:p w14:paraId="0FD58E7E">
      <w:pPr>
        <w:spacing w:line="400" w:lineRule="exact"/>
        <w:ind w:firstLine="420" w:firstLineChars="200"/>
        <w:rPr>
          <w:color w:val="auto"/>
          <w:highlight w:val="none"/>
        </w:rPr>
      </w:pPr>
      <w:r>
        <w:rPr>
          <w:rFonts w:hint="eastAsia"/>
          <w:color w:val="auto"/>
          <w:highlight w:val="none"/>
        </w:rPr>
        <w:t>承包人应对其项目经理和其他人员进行有效管理。监理人要求撤换不能胜任本职工作、行为不端或玩忽职守的承包人项目经理和其他人员的，承包人应予以撤换。</w:t>
      </w:r>
    </w:p>
    <w:p w14:paraId="04E1BB2F">
      <w:pPr>
        <w:pStyle w:val="45"/>
        <w:rPr>
          <w:color w:val="auto"/>
          <w:highlight w:val="none"/>
        </w:rPr>
      </w:pPr>
      <w:bookmarkStart w:id="429" w:name="_Toc152045647"/>
      <w:bookmarkStart w:id="430" w:name="_Toc26735"/>
      <w:bookmarkStart w:id="431" w:name="_Toc144974615"/>
      <w:bookmarkStart w:id="432" w:name="_Toc179632665"/>
      <w:bookmarkStart w:id="433" w:name="_Toc152042425"/>
      <w:r>
        <w:rPr>
          <w:rFonts w:hint="eastAsia"/>
          <w:color w:val="auto"/>
          <w:highlight w:val="none"/>
        </w:rPr>
        <w:t>4.8 保障承包人人员的合法权益</w:t>
      </w:r>
      <w:bookmarkEnd w:id="429"/>
      <w:bookmarkEnd w:id="430"/>
      <w:bookmarkEnd w:id="431"/>
      <w:bookmarkEnd w:id="432"/>
      <w:bookmarkEnd w:id="433"/>
    </w:p>
    <w:p w14:paraId="46349A49">
      <w:pPr>
        <w:spacing w:line="400" w:lineRule="exact"/>
        <w:ind w:firstLine="420" w:firstLineChars="200"/>
        <w:rPr>
          <w:color w:val="auto"/>
          <w:highlight w:val="none"/>
        </w:rPr>
      </w:pPr>
      <w:r>
        <w:rPr>
          <w:rFonts w:hint="eastAsia"/>
          <w:color w:val="auto"/>
          <w:highlight w:val="none"/>
        </w:rPr>
        <w:t>4.8.1 承包人应与其雇佣的人员签订劳动合同，并按时发放工资。</w:t>
      </w:r>
    </w:p>
    <w:p w14:paraId="36159B14">
      <w:pPr>
        <w:spacing w:line="400" w:lineRule="exact"/>
        <w:ind w:firstLine="420" w:firstLineChars="200"/>
        <w:rPr>
          <w:color w:val="auto"/>
          <w:highlight w:val="none"/>
        </w:rPr>
      </w:pPr>
      <w:r>
        <w:rPr>
          <w:rFonts w:hint="eastAsia"/>
          <w:color w:val="auto"/>
          <w:highlight w:val="none"/>
        </w:rPr>
        <w:t>4.8.2 承包人应按劳动法的规定安排工作时间，保证其雇佣人员享有休息和休假的权利。因工程施工的特殊需要占用休假日或延长工作时间的，应不超过法律规定的限度，并按法律规定给予补休或付酬。</w:t>
      </w:r>
    </w:p>
    <w:p w14:paraId="48552DC8">
      <w:pPr>
        <w:spacing w:line="400" w:lineRule="exact"/>
        <w:ind w:firstLine="420" w:firstLineChars="200"/>
        <w:rPr>
          <w:color w:val="auto"/>
          <w:highlight w:val="none"/>
        </w:rPr>
      </w:pPr>
      <w:r>
        <w:rPr>
          <w:rFonts w:hint="eastAsia"/>
          <w:color w:val="auto"/>
          <w:highlight w:val="none"/>
        </w:rPr>
        <w:t>4.8.3 承包人应为其雇佣人员提供必要的食宿条件，以及符合环境保护和卫生要求的生活环境，在远离城镇的施工场地，还应配备必要的伤病防治和急救的医务人员与医疗设施。</w:t>
      </w:r>
    </w:p>
    <w:p w14:paraId="7A2F8017">
      <w:pPr>
        <w:spacing w:line="400" w:lineRule="exact"/>
        <w:ind w:firstLine="420" w:firstLineChars="200"/>
        <w:rPr>
          <w:color w:val="auto"/>
          <w:highlight w:val="none"/>
        </w:rPr>
      </w:pPr>
      <w:r>
        <w:rPr>
          <w:rFonts w:hint="eastAsia"/>
          <w:color w:val="auto"/>
          <w:highlight w:val="none"/>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3F5EFCDF">
      <w:pPr>
        <w:spacing w:line="400" w:lineRule="exact"/>
        <w:ind w:firstLine="420" w:firstLineChars="200"/>
        <w:rPr>
          <w:color w:val="auto"/>
          <w:highlight w:val="none"/>
        </w:rPr>
      </w:pPr>
      <w:r>
        <w:rPr>
          <w:rFonts w:hint="eastAsia"/>
          <w:color w:val="auto"/>
          <w:highlight w:val="none"/>
        </w:rPr>
        <w:t>4.8.5 承包人应按有关法律规定和合同约定，为其雇佣人员办理保险。</w:t>
      </w:r>
    </w:p>
    <w:p w14:paraId="3255C08C">
      <w:pPr>
        <w:spacing w:line="400" w:lineRule="exact"/>
        <w:ind w:firstLine="420" w:firstLineChars="200"/>
        <w:rPr>
          <w:color w:val="auto"/>
          <w:highlight w:val="none"/>
        </w:rPr>
      </w:pPr>
      <w:r>
        <w:rPr>
          <w:rFonts w:hint="eastAsia"/>
          <w:color w:val="auto"/>
          <w:highlight w:val="none"/>
        </w:rPr>
        <w:t>4.8.6 承包人应负责处理其雇佣人员因工伤亡事故的善后事宜。</w:t>
      </w:r>
    </w:p>
    <w:p w14:paraId="5F00C3CB">
      <w:pPr>
        <w:pStyle w:val="45"/>
        <w:rPr>
          <w:color w:val="auto"/>
          <w:highlight w:val="none"/>
        </w:rPr>
      </w:pPr>
      <w:bookmarkStart w:id="434" w:name="_Toc152045648"/>
      <w:bookmarkStart w:id="435" w:name="_Toc152042426"/>
      <w:bookmarkStart w:id="436" w:name="_Toc13315"/>
      <w:bookmarkStart w:id="437" w:name="_Toc179632666"/>
      <w:bookmarkStart w:id="438" w:name="_Toc144974616"/>
      <w:r>
        <w:rPr>
          <w:rFonts w:hint="eastAsia"/>
          <w:color w:val="auto"/>
          <w:highlight w:val="none"/>
        </w:rPr>
        <w:t>4.9 工程价款应专款专用</w:t>
      </w:r>
      <w:bookmarkEnd w:id="434"/>
      <w:bookmarkEnd w:id="435"/>
      <w:bookmarkEnd w:id="436"/>
      <w:bookmarkEnd w:id="437"/>
      <w:bookmarkEnd w:id="438"/>
    </w:p>
    <w:p w14:paraId="6E19F4DE">
      <w:pPr>
        <w:spacing w:line="400" w:lineRule="exact"/>
        <w:ind w:firstLine="420" w:firstLineChars="200"/>
        <w:rPr>
          <w:color w:val="auto"/>
          <w:highlight w:val="none"/>
        </w:rPr>
      </w:pPr>
      <w:r>
        <w:rPr>
          <w:rFonts w:hint="eastAsia"/>
          <w:color w:val="auto"/>
          <w:highlight w:val="none"/>
        </w:rPr>
        <w:t>发包人按合同约定支付给承包人的各项价款应专用于合同工程。</w:t>
      </w:r>
    </w:p>
    <w:p w14:paraId="0EB6B8A3">
      <w:pPr>
        <w:pStyle w:val="45"/>
        <w:rPr>
          <w:color w:val="auto"/>
          <w:highlight w:val="none"/>
        </w:rPr>
      </w:pPr>
      <w:bookmarkStart w:id="439" w:name="_Toc25404"/>
      <w:bookmarkStart w:id="440" w:name="_Toc152042427"/>
      <w:bookmarkStart w:id="441" w:name="_Toc152045649"/>
      <w:bookmarkStart w:id="442" w:name="_Toc144974617"/>
      <w:bookmarkStart w:id="443" w:name="_Toc179632667"/>
      <w:r>
        <w:rPr>
          <w:rFonts w:hint="eastAsia"/>
          <w:color w:val="auto"/>
          <w:highlight w:val="none"/>
        </w:rPr>
        <w:t>4.10 承包人现场查勘</w:t>
      </w:r>
      <w:bookmarkEnd w:id="439"/>
      <w:bookmarkEnd w:id="440"/>
      <w:bookmarkEnd w:id="441"/>
      <w:bookmarkEnd w:id="442"/>
      <w:bookmarkEnd w:id="443"/>
      <w:r>
        <w:rPr>
          <w:rFonts w:hint="eastAsia"/>
          <w:color w:val="auto"/>
          <w:highlight w:val="none"/>
        </w:rPr>
        <w:t xml:space="preserve">                                                                                                           </w:t>
      </w:r>
    </w:p>
    <w:p w14:paraId="71BB6D08">
      <w:pPr>
        <w:spacing w:line="400" w:lineRule="exact"/>
        <w:ind w:firstLine="420" w:firstLineChars="200"/>
        <w:rPr>
          <w:color w:val="auto"/>
          <w:highlight w:val="none"/>
        </w:rPr>
      </w:pPr>
      <w:r>
        <w:rPr>
          <w:rFonts w:hint="eastAsia"/>
          <w:color w:val="auto"/>
          <w:highlight w:val="none"/>
        </w:rPr>
        <w:t>4.10.1 发包人应将其持有的现场地质勘探资料、水文气象资料提供给承包人，并对其准确性负责。但承包人应对其阅读上述有关资料后所作出的解释和推断负责。</w:t>
      </w:r>
    </w:p>
    <w:p w14:paraId="48323467">
      <w:pPr>
        <w:spacing w:line="400" w:lineRule="exact"/>
        <w:ind w:firstLine="420" w:firstLineChars="200"/>
        <w:rPr>
          <w:color w:val="auto"/>
          <w:highlight w:val="none"/>
        </w:rPr>
      </w:pPr>
      <w:r>
        <w:rPr>
          <w:rFonts w:hint="eastAsia"/>
          <w:color w:val="auto"/>
          <w:highlight w:val="none"/>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14:paraId="2353F0EA">
      <w:pPr>
        <w:pStyle w:val="45"/>
        <w:rPr>
          <w:color w:val="auto"/>
          <w:highlight w:val="none"/>
        </w:rPr>
      </w:pPr>
      <w:bookmarkStart w:id="444" w:name="_Toc179632668"/>
      <w:bookmarkStart w:id="445" w:name="_Toc144974618"/>
      <w:bookmarkStart w:id="446" w:name="_Toc152045650"/>
      <w:bookmarkStart w:id="447" w:name="_Toc152042428"/>
      <w:bookmarkStart w:id="448" w:name="_Toc10533"/>
      <w:r>
        <w:rPr>
          <w:rFonts w:hint="eastAsia"/>
          <w:color w:val="auto"/>
          <w:highlight w:val="none"/>
        </w:rPr>
        <w:t>4.11 不利物质条件</w:t>
      </w:r>
      <w:bookmarkEnd w:id="444"/>
      <w:bookmarkEnd w:id="445"/>
      <w:bookmarkEnd w:id="446"/>
      <w:bookmarkEnd w:id="447"/>
      <w:bookmarkEnd w:id="448"/>
    </w:p>
    <w:p w14:paraId="657FE23C">
      <w:pPr>
        <w:spacing w:line="400" w:lineRule="exact"/>
        <w:ind w:firstLine="420" w:firstLineChars="200"/>
        <w:rPr>
          <w:color w:val="auto"/>
          <w:highlight w:val="none"/>
        </w:rPr>
      </w:pPr>
      <w:r>
        <w:rPr>
          <w:rFonts w:hint="eastAsia"/>
          <w:color w:val="auto"/>
          <w:highlight w:val="none"/>
        </w:rPr>
        <w:t>4.11.1 不利物质条件，除专用合同条款另有约定外，是指承包人在施工场地遇到的不可预见的自然物质条件、非自然的物质障碍和污染物，包括地下和水文条件，但不包括气候条件。</w:t>
      </w:r>
    </w:p>
    <w:p w14:paraId="4EE84B57">
      <w:pPr>
        <w:spacing w:line="400" w:lineRule="exact"/>
        <w:ind w:firstLine="420" w:firstLineChars="200"/>
        <w:rPr>
          <w:color w:val="auto"/>
          <w:highlight w:val="none"/>
        </w:rPr>
      </w:pPr>
      <w:r>
        <w:rPr>
          <w:rFonts w:hint="eastAsia"/>
          <w:color w:val="auto"/>
          <w:highlight w:val="none"/>
        </w:rPr>
        <w:t>4.11.2 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14:paraId="78859ED4">
      <w:pPr>
        <w:pStyle w:val="44"/>
        <w:rPr>
          <w:color w:val="auto"/>
          <w:highlight w:val="none"/>
        </w:rPr>
      </w:pPr>
      <w:bookmarkStart w:id="449" w:name="_Toc26540"/>
      <w:bookmarkStart w:id="450" w:name="_Toc152042429"/>
      <w:bookmarkStart w:id="451" w:name="_Toc93"/>
      <w:bookmarkStart w:id="452" w:name="_Toc144974619"/>
      <w:bookmarkStart w:id="453" w:name="_Toc152045651"/>
      <w:bookmarkStart w:id="454" w:name="_Toc3756"/>
      <w:bookmarkStart w:id="455" w:name="_Toc179632669"/>
      <w:r>
        <w:rPr>
          <w:rFonts w:hint="eastAsia"/>
          <w:color w:val="auto"/>
          <w:highlight w:val="none"/>
        </w:rPr>
        <w:t>5. 材料和工程设备</w:t>
      </w:r>
      <w:bookmarkEnd w:id="449"/>
      <w:bookmarkEnd w:id="450"/>
      <w:bookmarkEnd w:id="451"/>
      <w:bookmarkEnd w:id="452"/>
      <w:bookmarkEnd w:id="453"/>
      <w:bookmarkEnd w:id="454"/>
      <w:bookmarkEnd w:id="455"/>
    </w:p>
    <w:p w14:paraId="460C4282">
      <w:pPr>
        <w:pStyle w:val="45"/>
        <w:rPr>
          <w:color w:val="auto"/>
          <w:highlight w:val="none"/>
        </w:rPr>
      </w:pPr>
      <w:bookmarkStart w:id="456" w:name="_Toc152042430"/>
      <w:bookmarkStart w:id="457" w:name="_Toc179632670"/>
      <w:bookmarkStart w:id="458" w:name="_Toc152045652"/>
      <w:bookmarkStart w:id="459" w:name="_Toc21715"/>
      <w:bookmarkStart w:id="460" w:name="_Toc144974620"/>
      <w:r>
        <w:rPr>
          <w:rFonts w:hint="eastAsia"/>
          <w:color w:val="auto"/>
          <w:highlight w:val="none"/>
        </w:rPr>
        <w:t>5.1 承包人提供的材料和工程设备</w:t>
      </w:r>
      <w:bookmarkEnd w:id="456"/>
      <w:bookmarkEnd w:id="457"/>
      <w:bookmarkEnd w:id="458"/>
      <w:bookmarkEnd w:id="459"/>
      <w:bookmarkEnd w:id="460"/>
    </w:p>
    <w:p w14:paraId="1CBD0909">
      <w:pPr>
        <w:spacing w:line="400" w:lineRule="exact"/>
        <w:ind w:firstLine="420" w:firstLineChars="200"/>
        <w:rPr>
          <w:color w:val="auto"/>
          <w:highlight w:val="none"/>
        </w:rPr>
      </w:pPr>
      <w:r>
        <w:rPr>
          <w:rFonts w:hint="eastAsia"/>
          <w:color w:val="auto"/>
          <w:highlight w:val="none"/>
        </w:rPr>
        <w:t>5.1.1 除专用合同条款另有约定外，承包人提供的材料和工程设备均由承包人负责采购、运输和保管。承包人应对其采购的材料和工程设备负责。</w:t>
      </w:r>
    </w:p>
    <w:p w14:paraId="1EEB56D6">
      <w:pPr>
        <w:spacing w:line="400" w:lineRule="exact"/>
        <w:ind w:firstLine="420" w:firstLineChars="200"/>
        <w:rPr>
          <w:color w:val="auto"/>
          <w:highlight w:val="none"/>
        </w:rPr>
      </w:pPr>
      <w:r>
        <w:rPr>
          <w:rFonts w:hint="eastAsia"/>
          <w:color w:val="auto"/>
          <w:highlight w:val="none"/>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14:paraId="0B162B0C">
      <w:pPr>
        <w:spacing w:line="400" w:lineRule="exact"/>
        <w:ind w:firstLine="420" w:firstLineChars="200"/>
        <w:rPr>
          <w:color w:val="auto"/>
          <w:highlight w:val="none"/>
        </w:rPr>
      </w:pPr>
      <w:r>
        <w:rPr>
          <w:rFonts w:hint="eastAsia"/>
          <w:color w:val="auto"/>
          <w:highlight w:val="none"/>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05E91F13">
      <w:pPr>
        <w:pStyle w:val="45"/>
        <w:rPr>
          <w:color w:val="auto"/>
          <w:highlight w:val="none"/>
        </w:rPr>
      </w:pPr>
      <w:bookmarkStart w:id="461" w:name="_Toc144974621"/>
      <w:bookmarkStart w:id="462" w:name="_Toc152042431"/>
      <w:bookmarkStart w:id="463" w:name="_Toc2628"/>
      <w:bookmarkStart w:id="464" w:name="_Toc152045653"/>
      <w:bookmarkStart w:id="465" w:name="_Toc179632671"/>
      <w:r>
        <w:rPr>
          <w:rFonts w:hint="eastAsia"/>
          <w:color w:val="auto"/>
          <w:highlight w:val="none"/>
        </w:rPr>
        <w:t>5.2 发包人提供的材料和工程设备</w:t>
      </w:r>
      <w:bookmarkEnd w:id="461"/>
      <w:bookmarkEnd w:id="462"/>
      <w:bookmarkEnd w:id="463"/>
      <w:bookmarkEnd w:id="464"/>
      <w:bookmarkEnd w:id="465"/>
    </w:p>
    <w:p w14:paraId="034E4CFF">
      <w:pPr>
        <w:spacing w:line="400" w:lineRule="exact"/>
        <w:ind w:firstLine="420" w:firstLineChars="200"/>
        <w:rPr>
          <w:color w:val="auto"/>
          <w:highlight w:val="none"/>
        </w:rPr>
      </w:pPr>
      <w:r>
        <w:rPr>
          <w:rFonts w:hint="eastAsia"/>
          <w:color w:val="auto"/>
          <w:highlight w:val="none"/>
        </w:rPr>
        <w:t>5.2.1 发包人提供的材料和工程设备，应在专用合同条款中写明材料和工程设备的名称、规格、数量、价格、交货方式、交货地点和计划交货日期等。</w:t>
      </w:r>
    </w:p>
    <w:p w14:paraId="220404B4">
      <w:pPr>
        <w:spacing w:line="400" w:lineRule="exact"/>
        <w:ind w:firstLine="420" w:firstLineChars="200"/>
        <w:rPr>
          <w:color w:val="auto"/>
          <w:highlight w:val="none"/>
        </w:rPr>
      </w:pPr>
      <w:r>
        <w:rPr>
          <w:rFonts w:hint="eastAsia"/>
          <w:color w:val="auto"/>
          <w:highlight w:val="none"/>
        </w:rPr>
        <w:t>5.2.2 承包人应根据合同进度计划的安排，向监理人报送要求发包人交货的日期计划。发包人应按照监理人与合同双方当事人商定的交货日期，向承包人提交材料和工程设备。</w:t>
      </w:r>
    </w:p>
    <w:p w14:paraId="3ACC3FDA">
      <w:pPr>
        <w:spacing w:line="400" w:lineRule="exact"/>
        <w:ind w:firstLine="420" w:firstLineChars="200"/>
        <w:rPr>
          <w:color w:val="auto"/>
          <w:highlight w:val="none"/>
        </w:rPr>
      </w:pPr>
      <w:r>
        <w:rPr>
          <w:rFonts w:hint="eastAsia"/>
          <w:color w:val="auto"/>
          <w:highlight w:val="none"/>
        </w:rPr>
        <w:t>5.2.3 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14:paraId="747F7EB3">
      <w:pPr>
        <w:spacing w:line="400" w:lineRule="exact"/>
        <w:ind w:firstLine="420" w:firstLineChars="200"/>
        <w:rPr>
          <w:color w:val="auto"/>
          <w:highlight w:val="none"/>
        </w:rPr>
      </w:pPr>
      <w:r>
        <w:rPr>
          <w:rFonts w:hint="eastAsia"/>
          <w:color w:val="auto"/>
          <w:highlight w:val="none"/>
        </w:rPr>
        <w:t xml:space="preserve">5.2.4 发包人要求向承包人提前交货的，承包人不得拒绝，但发包人应承担承包人由此增加的费用。 </w:t>
      </w:r>
    </w:p>
    <w:p w14:paraId="5882E45A">
      <w:pPr>
        <w:spacing w:line="400" w:lineRule="exact"/>
        <w:ind w:firstLine="420" w:firstLineChars="200"/>
        <w:rPr>
          <w:color w:val="auto"/>
          <w:highlight w:val="none"/>
        </w:rPr>
      </w:pPr>
      <w:r>
        <w:rPr>
          <w:rFonts w:hint="eastAsia"/>
          <w:color w:val="auto"/>
          <w:highlight w:val="none"/>
        </w:rPr>
        <w:t xml:space="preserve">5.2.5 承包人要求更改交货日期或地点的，应事先报请监理人批准。由于承包人要求更改交货时间或地点所增加的费用和（或）工期延误由承包人承担。 </w:t>
      </w:r>
    </w:p>
    <w:p w14:paraId="79619993">
      <w:pPr>
        <w:spacing w:line="400" w:lineRule="exact"/>
        <w:ind w:firstLine="420" w:firstLineChars="200"/>
        <w:rPr>
          <w:color w:val="auto"/>
          <w:highlight w:val="none"/>
        </w:rPr>
      </w:pPr>
      <w:r>
        <w:rPr>
          <w:rFonts w:hint="eastAsia"/>
          <w:color w:val="auto"/>
          <w:highlight w:val="none"/>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14:paraId="20767521">
      <w:pPr>
        <w:pStyle w:val="45"/>
        <w:rPr>
          <w:color w:val="auto"/>
          <w:highlight w:val="none"/>
        </w:rPr>
      </w:pPr>
      <w:bookmarkStart w:id="466" w:name="_Toc152045654"/>
      <w:bookmarkStart w:id="467" w:name="_Toc152042432"/>
      <w:bookmarkStart w:id="468" w:name="_Toc144974622"/>
      <w:bookmarkStart w:id="469" w:name="_Toc19941"/>
      <w:bookmarkStart w:id="470" w:name="_Toc179632672"/>
      <w:r>
        <w:rPr>
          <w:rFonts w:hint="eastAsia"/>
          <w:color w:val="auto"/>
          <w:highlight w:val="none"/>
        </w:rPr>
        <w:t>5.3 材料和工程设备专用于合同工程</w:t>
      </w:r>
      <w:bookmarkEnd w:id="466"/>
      <w:bookmarkEnd w:id="467"/>
      <w:bookmarkEnd w:id="468"/>
      <w:bookmarkEnd w:id="469"/>
      <w:bookmarkEnd w:id="470"/>
    </w:p>
    <w:p w14:paraId="51ED63B0">
      <w:pPr>
        <w:spacing w:line="400" w:lineRule="exact"/>
        <w:ind w:firstLine="420" w:firstLineChars="200"/>
        <w:rPr>
          <w:color w:val="auto"/>
          <w:highlight w:val="none"/>
        </w:rPr>
      </w:pPr>
      <w:r>
        <w:rPr>
          <w:rFonts w:hint="eastAsia"/>
          <w:color w:val="auto"/>
          <w:highlight w:val="none"/>
        </w:rPr>
        <w:t>5.3.1运入施工场地的材料、工程设备，包括备品备件、安装专用工器具与随机资料，必须专用于合同工程，未经监理人同意，承包人不得运出施工场地或挪作他用。</w:t>
      </w:r>
    </w:p>
    <w:p w14:paraId="415A1A78">
      <w:pPr>
        <w:spacing w:line="400" w:lineRule="exact"/>
        <w:ind w:firstLine="420" w:firstLineChars="200"/>
        <w:rPr>
          <w:color w:val="auto"/>
          <w:highlight w:val="none"/>
        </w:rPr>
      </w:pPr>
      <w:r>
        <w:rPr>
          <w:rFonts w:hint="eastAsia"/>
          <w:color w:val="auto"/>
          <w:highlight w:val="none"/>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16A6BC13">
      <w:pPr>
        <w:pStyle w:val="45"/>
        <w:rPr>
          <w:color w:val="auto"/>
          <w:highlight w:val="none"/>
        </w:rPr>
      </w:pPr>
      <w:bookmarkStart w:id="471" w:name="_Toc144974623"/>
      <w:bookmarkStart w:id="472" w:name="_Toc152045655"/>
      <w:bookmarkStart w:id="473" w:name="_Toc152042433"/>
      <w:bookmarkStart w:id="474" w:name="_Toc179632673"/>
      <w:bookmarkStart w:id="475" w:name="_Toc8665"/>
      <w:r>
        <w:rPr>
          <w:rFonts w:hint="eastAsia"/>
          <w:color w:val="auto"/>
          <w:highlight w:val="none"/>
        </w:rPr>
        <w:t>5.4 禁止使用不合格的材料和工程设备</w:t>
      </w:r>
      <w:bookmarkEnd w:id="471"/>
      <w:bookmarkEnd w:id="472"/>
      <w:bookmarkEnd w:id="473"/>
      <w:bookmarkEnd w:id="474"/>
      <w:bookmarkEnd w:id="475"/>
    </w:p>
    <w:p w14:paraId="271217A0">
      <w:pPr>
        <w:spacing w:line="400" w:lineRule="exact"/>
        <w:ind w:firstLine="420" w:firstLineChars="200"/>
        <w:rPr>
          <w:color w:val="auto"/>
          <w:highlight w:val="none"/>
        </w:rPr>
      </w:pPr>
      <w:r>
        <w:rPr>
          <w:rFonts w:hint="eastAsia"/>
          <w:color w:val="auto"/>
          <w:highlight w:val="none"/>
        </w:rPr>
        <w:t>5.4.1 监理人有权拒绝承包人提供的不合格材料或工程设备，并要求承包人立即进行更换。监理人应在更换后再次进行检查和检验，由此增加的费用和（或）工期延误由承包人承担。</w:t>
      </w:r>
    </w:p>
    <w:p w14:paraId="7204D212">
      <w:pPr>
        <w:spacing w:line="400" w:lineRule="exact"/>
        <w:ind w:firstLine="420" w:firstLineChars="200"/>
        <w:rPr>
          <w:color w:val="auto"/>
          <w:highlight w:val="none"/>
        </w:rPr>
      </w:pPr>
      <w:r>
        <w:rPr>
          <w:rFonts w:hint="eastAsia"/>
          <w:color w:val="auto"/>
          <w:highlight w:val="none"/>
        </w:rPr>
        <w:t>5.4.2 监理人发现承包人使用了不合格的材料和工程设备，应</w:t>
      </w:r>
      <w:r>
        <w:rPr>
          <w:rFonts w:hint="eastAsia"/>
          <w:color w:val="auto"/>
          <w:highlight w:val="none"/>
          <w:lang w:eastAsia="zh-CN"/>
        </w:rPr>
        <w:t>及时</w:t>
      </w:r>
      <w:r>
        <w:rPr>
          <w:rFonts w:hint="eastAsia"/>
          <w:color w:val="auto"/>
          <w:highlight w:val="none"/>
        </w:rPr>
        <w:t>发出指示要求承包人立即改正，并禁止在工程中继续使用不合格的材料和工程设备。</w:t>
      </w:r>
    </w:p>
    <w:p w14:paraId="4EDECB14">
      <w:pPr>
        <w:spacing w:line="400" w:lineRule="exact"/>
        <w:ind w:firstLine="420" w:firstLineChars="200"/>
        <w:rPr>
          <w:color w:val="auto"/>
          <w:highlight w:val="none"/>
        </w:rPr>
      </w:pPr>
      <w:r>
        <w:rPr>
          <w:rFonts w:hint="eastAsia"/>
          <w:color w:val="auto"/>
          <w:highlight w:val="none"/>
        </w:rPr>
        <w:t>5.4.3 发包人提供的材料或工程设备不符合合同要求的，承包人有权拒绝，并可要求发包人更换，由此增加的费用和（或）工期延误由发包人承担。</w:t>
      </w:r>
    </w:p>
    <w:p w14:paraId="74EDF3D5">
      <w:pPr>
        <w:pStyle w:val="44"/>
        <w:rPr>
          <w:color w:val="auto"/>
          <w:highlight w:val="none"/>
        </w:rPr>
      </w:pPr>
      <w:bookmarkStart w:id="476" w:name="_Toc4984"/>
      <w:bookmarkStart w:id="477" w:name="_Toc152042434"/>
      <w:bookmarkStart w:id="478" w:name="_Toc152045656"/>
      <w:bookmarkStart w:id="479" w:name="_Toc144974624"/>
      <w:bookmarkStart w:id="480" w:name="_Toc10598"/>
      <w:bookmarkStart w:id="481" w:name="_Toc179632674"/>
      <w:bookmarkStart w:id="482" w:name="_Toc13845"/>
      <w:r>
        <w:rPr>
          <w:rFonts w:hint="eastAsia"/>
          <w:color w:val="auto"/>
          <w:highlight w:val="none"/>
        </w:rPr>
        <w:t>6. 施工设备和临时设施</w:t>
      </w:r>
      <w:bookmarkEnd w:id="476"/>
      <w:bookmarkEnd w:id="477"/>
      <w:bookmarkEnd w:id="478"/>
      <w:bookmarkEnd w:id="479"/>
      <w:bookmarkEnd w:id="480"/>
      <w:bookmarkEnd w:id="481"/>
      <w:bookmarkEnd w:id="482"/>
    </w:p>
    <w:p w14:paraId="4417AB8A">
      <w:pPr>
        <w:pStyle w:val="45"/>
        <w:rPr>
          <w:color w:val="auto"/>
          <w:highlight w:val="none"/>
        </w:rPr>
      </w:pPr>
      <w:bookmarkStart w:id="483" w:name="_Toc179632675"/>
      <w:bookmarkStart w:id="484" w:name="_Toc152042435"/>
      <w:bookmarkStart w:id="485" w:name="_Toc152045657"/>
      <w:bookmarkStart w:id="486" w:name="_Toc10416"/>
      <w:bookmarkStart w:id="487" w:name="_Toc144974625"/>
      <w:r>
        <w:rPr>
          <w:rFonts w:hint="eastAsia"/>
          <w:color w:val="auto"/>
          <w:highlight w:val="none"/>
        </w:rPr>
        <w:t>6.1 承包人提供的施工设备和临时设施</w:t>
      </w:r>
      <w:bookmarkEnd w:id="483"/>
      <w:bookmarkEnd w:id="484"/>
      <w:bookmarkEnd w:id="485"/>
      <w:bookmarkEnd w:id="486"/>
      <w:bookmarkEnd w:id="487"/>
    </w:p>
    <w:p w14:paraId="147456AF">
      <w:pPr>
        <w:spacing w:line="400" w:lineRule="exact"/>
        <w:ind w:firstLine="420" w:firstLineChars="200"/>
        <w:rPr>
          <w:color w:val="auto"/>
          <w:highlight w:val="none"/>
        </w:rPr>
      </w:pPr>
      <w:r>
        <w:rPr>
          <w:rFonts w:hint="eastAsia"/>
          <w:color w:val="auto"/>
          <w:highlight w:val="none"/>
        </w:rPr>
        <w:t>6.1.1 承包人应按合同进度计划的要求，及时配置施工设备和修建临时设施。进入施工场地的承包人设备需经监理人核查后才能投入使用。承包人更换合同约定的承包人设备的，应报监理人批准。</w:t>
      </w:r>
    </w:p>
    <w:p w14:paraId="776E0BE9">
      <w:pPr>
        <w:spacing w:line="400" w:lineRule="exact"/>
        <w:ind w:firstLine="420" w:firstLineChars="200"/>
        <w:rPr>
          <w:color w:val="auto"/>
          <w:highlight w:val="none"/>
        </w:rPr>
      </w:pPr>
      <w:r>
        <w:rPr>
          <w:rFonts w:hint="eastAsia"/>
          <w:color w:val="auto"/>
          <w:highlight w:val="none"/>
        </w:rPr>
        <w:t>6.1.2除专用合同条款另有约定外，承包人应自行承担修建临时设施的费用，需要临时占地的，应由发包人办理申请手续并承担相应费用。</w:t>
      </w:r>
    </w:p>
    <w:p w14:paraId="0BE36596">
      <w:pPr>
        <w:pStyle w:val="45"/>
        <w:rPr>
          <w:color w:val="auto"/>
          <w:highlight w:val="none"/>
        </w:rPr>
      </w:pPr>
      <w:bookmarkStart w:id="488" w:name="_Toc179632676"/>
      <w:bookmarkStart w:id="489" w:name="_Toc152042436"/>
      <w:bookmarkStart w:id="490" w:name="_Toc144974626"/>
      <w:bookmarkStart w:id="491" w:name="_Toc152045658"/>
      <w:bookmarkStart w:id="492" w:name="_Toc18544"/>
      <w:r>
        <w:rPr>
          <w:rFonts w:hint="eastAsia"/>
          <w:color w:val="auto"/>
          <w:highlight w:val="none"/>
        </w:rPr>
        <w:t>6.2 发包人提供的施工设备和临时设施</w:t>
      </w:r>
      <w:bookmarkEnd w:id="488"/>
      <w:bookmarkEnd w:id="489"/>
      <w:bookmarkEnd w:id="490"/>
      <w:bookmarkEnd w:id="491"/>
      <w:bookmarkEnd w:id="492"/>
    </w:p>
    <w:p w14:paraId="731FCFEF">
      <w:pPr>
        <w:spacing w:line="400" w:lineRule="exact"/>
        <w:ind w:firstLine="420" w:firstLineChars="200"/>
        <w:rPr>
          <w:color w:val="auto"/>
          <w:highlight w:val="none"/>
        </w:rPr>
      </w:pPr>
      <w:r>
        <w:rPr>
          <w:rFonts w:hint="eastAsia"/>
          <w:color w:val="auto"/>
          <w:highlight w:val="none"/>
        </w:rPr>
        <w:t>发包人提供的施工设备或临时设施在专用合同条款中约定。</w:t>
      </w:r>
    </w:p>
    <w:p w14:paraId="0ADB5422">
      <w:pPr>
        <w:pStyle w:val="45"/>
        <w:rPr>
          <w:color w:val="auto"/>
          <w:highlight w:val="none"/>
        </w:rPr>
      </w:pPr>
      <w:bookmarkStart w:id="493" w:name="_Toc179632677"/>
      <w:bookmarkStart w:id="494" w:name="_Toc12810"/>
      <w:bookmarkStart w:id="495" w:name="_Toc152042437"/>
      <w:bookmarkStart w:id="496" w:name="_Toc152045659"/>
      <w:bookmarkStart w:id="497" w:name="_Toc144974627"/>
      <w:r>
        <w:rPr>
          <w:rFonts w:hint="eastAsia"/>
          <w:color w:val="auto"/>
          <w:highlight w:val="none"/>
        </w:rPr>
        <w:t>6.3 要求承包人增加或更换施工设备</w:t>
      </w:r>
      <w:bookmarkEnd w:id="493"/>
      <w:bookmarkEnd w:id="494"/>
      <w:bookmarkEnd w:id="495"/>
      <w:bookmarkEnd w:id="496"/>
      <w:bookmarkEnd w:id="497"/>
    </w:p>
    <w:p w14:paraId="5746E1ED">
      <w:pPr>
        <w:spacing w:line="400" w:lineRule="exact"/>
        <w:ind w:firstLine="420" w:firstLineChars="200"/>
        <w:rPr>
          <w:color w:val="auto"/>
          <w:highlight w:val="none"/>
        </w:rPr>
      </w:pPr>
      <w:r>
        <w:rPr>
          <w:rFonts w:hint="eastAsia"/>
          <w:color w:val="auto"/>
          <w:highlight w:val="none"/>
        </w:rPr>
        <w:t>承包人使用的施工设备不能满足合同进度计划和（或）质量要求时，监理人有权要求承包人增加或更换施工设备，承包人应及时增加或更换，由此增加的费用和（或）工期延误由承包人承担。</w:t>
      </w:r>
    </w:p>
    <w:p w14:paraId="6321374C">
      <w:pPr>
        <w:pStyle w:val="45"/>
        <w:rPr>
          <w:color w:val="auto"/>
          <w:highlight w:val="none"/>
        </w:rPr>
      </w:pPr>
      <w:bookmarkStart w:id="498" w:name="_Toc30110"/>
      <w:bookmarkStart w:id="499" w:name="_Toc144974628"/>
      <w:bookmarkStart w:id="500" w:name="_Toc179632678"/>
      <w:bookmarkStart w:id="501" w:name="_Toc152042438"/>
      <w:bookmarkStart w:id="502" w:name="_Toc152045660"/>
      <w:r>
        <w:rPr>
          <w:rFonts w:hint="eastAsia"/>
          <w:color w:val="auto"/>
          <w:highlight w:val="none"/>
        </w:rPr>
        <w:t>6.4 施工设备和临时设施专用于合同工程</w:t>
      </w:r>
      <w:bookmarkEnd w:id="498"/>
      <w:bookmarkEnd w:id="499"/>
      <w:bookmarkEnd w:id="500"/>
      <w:bookmarkEnd w:id="501"/>
      <w:bookmarkEnd w:id="502"/>
    </w:p>
    <w:p w14:paraId="4A898008">
      <w:pPr>
        <w:spacing w:line="400" w:lineRule="exact"/>
        <w:ind w:firstLine="420" w:firstLineChars="200"/>
        <w:rPr>
          <w:color w:val="auto"/>
          <w:highlight w:val="none"/>
        </w:rPr>
      </w:pPr>
      <w:r>
        <w:rPr>
          <w:rFonts w:hint="eastAsia"/>
          <w:color w:val="auto"/>
          <w:highlight w:val="none"/>
        </w:rPr>
        <w:t>6.4.1除合同另有约定外，运入施工场地的所有施工设备以及在施工场地建设的临时设施应专用于合同工程。未经监理人同意，不得将上述施工设备和临时设施中的任何部分运出施工场地或挪作他用。</w:t>
      </w:r>
    </w:p>
    <w:p w14:paraId="11120DD3">
      <w:pPr>
        <w:spacing w:line="400" w:lineRule="exact"/>
        <w:ind w:firstLine="420" w:firstLineChars="200"/>
        <w:rPr>
          <w:color w:val="auto"/>
          <w:highlight w:val="none"/>
        </w:rPr>
      </w:pPr>
      <w:r>
        <w:rPr>
          <w:rFonts w:hint="eastAsia"/>
          <w:color w:val="auto"/>
          <w:highlight w:val="none"/>
        </w:rPr>
        <w:t>6.4.2 经监理人同意，承包人可根据合同进度计划撤走闲置的施工设备。</w:t>
      </w:r>
    </w:p>
    <w:p w14:paraId="3EA4FFB4">
      <w:pPr>
        <w:pStyle w:val="44"/>
        <w:rPr>
          <w:color w:val="auto"/>
          <w:highlight w:val="none"/>
        </w:rPr>
      </w:pPr>
      <w:bookmarkStart w:id="503" w:name="_Toc5833"/>
      <w:bookmarkStart w:id="504" w:name="_Toc152045661"/>
      <w:bookmarkStart w:id="505" w:name="_Toc179632679"/>
      <w:bookmarkStart w:id="506" w:name="_Toc144974629"/>
      <w:bookmarkStart w:id="507" w:name="_Toc22762"/>
      <w:bookmarkStart w:id="508" w:name="_Toc2510"/>
      <w:bookmarkStart w:id="509" w:name="_Toc152042439"/>
      <w:bookmarkStart w:id="510" w:name="_Toc152042453"/>
      <w:bookmarkStart w:id="511" w:name="_Toc144974643"/>
      <w:bookmarkStart w:id="512" w:name="_Toc179632693"/>
      <w:bookmarkStart w:id="513" w:name="_Toc152045675"/>
      <w:bookmarkStart w:id="514" w:name="_Toc179632686"/>
      <w:bookmarkStart w:id="515" w:name="_Toc144974636"/>
      <w:bookmarkStart w:id="516" w:name="_Toc152042446"/>
      <w:bookmarkStart w:id="517" w:name="_Toc152045668"/>
      <w:r>
        <w:rPr>
          <w:rFonts w:hint="eastAsia"/>
          <w:color w:val="auto"/>
          <w:highlight w:val="none"/>
        </w:rPr>
        <w:t>7. 交通运输</w:t>
      </w:r>
      <w:bookmarkEnd w:id="503"/>
      <w:bookmarkEnd w:id="504"/>
      <w:bookmarkEnd w:id="505"/>
      <w:bookmarkEnd w:id="506"/>
      <w:bookmarkEnd w:id="507"/>
      <w:bookmarkEnd w:id="508"/>
      <w:bookmarkEnd w:id="509"/>
    </w:p>
    <w:p w14:paraId="682CD40A">
      <w:pPr>
        <w:pStyle w:val="45"/>
        <w:rPr>
          <w:color w:val="auto"/>
          <w:highlight w:val="none"/>
        </w:rPr>
      </w:pPr>
      <w:bookmarkStart w:id="518" w:name="_Toc22362"/>
      <w:bookmarkStart w:id="519" w:name="_Toc144974630"/>
      <w:bookmarkStart w:id="520" w:name="_Toc152042440"/>
      <w:bookmarkStart w:id="521" w:name="_Toc152045662"/>
      <w:bookmarkStart w:id="522" w:name="_Toc179632680"/>
      <w:r>
        <w:rPr>
          <w:rFonts w:hint="eastAsia"/>
          <w:color w:val="auto"/>
          <w:highlight w:val="none"/>
        </w:rPr>
        <w:t>7.1 道路通行权和场外设施</w:t>
      </w:r>
      <w:bookmarkEnd w:id="518"/>
      <w:bookmarkEnd w:id="519"/>
      <w:bookmarkEnd w:id="520"/>
      <w:bookmarkEnd w:id="521"/>
      <w:bookmarkEnd w:id="522"/>
    </w:p>
    <w:p w14:paraId="1FC68A25">
      <w:pPr>
        <w:spacing w:line="400" w:lineRule="exact"/>
        <w:ind w:firstLine="420" w:firstLineChars="200"/>
        <w:rPr>
          <w:color w:val="auto"/>
          <w:highlight w:val="none"/>
        </w:rPr>
      </w:pPr>
      <w:r>
        <w:rPr>
          <w:rFonts w:hint="eastAsia"/>
          <w:color w:val="auto"/>
          <w:highlight w:val="none"/>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14:paraId="3896C495">
      <w:pPr>
        <w:pStyle w:val="45"/>
        <w:rPr>
          <w:color w:val="auto"/>
          <w:highlight w:val="none"/>
        </w:rPr>
      </w:pPr>
      <w:bookmarkStart w:id="523" w:name="_Toc152042441"/>
      <w:bookmarkStart w:id="524" w:name="_Toc144974631"/>
      <w:bookmarkStart w:id="525" w:name="_Toc152045663"/>
      <w:bookmarkStart w:id="526" w:name="_Toc3009"/>
      <w:bookmarkStart w:id="527" w:name="_Toc179632681"/>
      <w:r>
        <w:rPr>
          <w:rFonts w:hint="eastAsia"/>
          <w:color w:val="auto"/>
          <w:highlight w:val="none"/>
        </w:rPr>
        <w:t>7.2 场内施工道路</w:t>
      </w:r>
      <w:bookmarkEnd w:id="523"/>
      <w:bookmarkEnd w:id="524"/>
      <w:bookmarkEnd w:id="525"/>
      <w:bookmarkEnd w:id="526"/>
      <w:bookmarkEnd w:id="527"/>
    </w:p>
    <w:p w14:paraId="528EF25F">
      <w:pPr>
        <w:spacing w:line="400" w:lineRule="exact"/>
        <w:ind w:firstLine="420" w:firstLineChars="200"/>
        <w:rPr>
          <w:color w:val="auto"/>
          <w:highlight w:val="none"/>
        </w:rPr>
      </w:pPr>
      <w:r>
        <w:rPr>
          <w:rFonts w:hint="eastAsia"/>
          <w:color w:val="auto"/>
          <w:highlight w:val="none"/>
        </w:rPr>
        <w:t>7.2.1 除专用合同条款另有约定外，承包人应负责修建、维修、养护和管理施工所需的临时道路和交通设施，包括维修、养护和管理发包人提供的道路和交通设施，并承担相应费用。</w:t>
      </w:r>
    </w:p>
    <w:p w14:paraId="2CCD9B29">
      <w:pPr>
        <w:spacing w:line="400" w:lineRule="exact"/>
        <w:ind w:firstLine="420" w:firstLineChars="200"/>
        <w:rPr>
          <w:color w:val="auto"/>
          <w:highlight w:val="none"/>
        </w:rPr>
      </w:pPr>
      <w:r>
        <w:rPr>
          <w:rFonts w:hint="eastAsia"/>
          <w:color w:val="auto"/>
          <w:highlight w:val="none"/>
        </w:rPr>
        <w:t>7.2.2 除专用合同条款另有约定外，承包人修建的临时道路和交通设施应免费提供发包人和监理人使用。</w:t>
      </w:r>
    </w:p>
    <w:p w14:paraId="216BB98A">
      <w:pPr>
        <w:pStyle w:val="45"/>
        <w:rPr>
          <w:color w:val="auto"/>
          <w:highlight w:val="none"/>
        </w:rPr>
      </w:pPr>
      <w:bookmarkStart w:id="528" w:name="_Toc9555"/>
      <w:bookmarkStart w:id="529" w:name="_Toc152045664"/>
      <w:bookmarkStart w:id="530" w:name="_Toc152042442"/>
      <w:bookmarkStart w:id="531" w:name="_Toc144974632"/>
      <w:bookmarkStart w:id="532" w:name="_Toc179632682"/>
      <w:r>
        <w:rPr>
          <w:rFonts w:hint="eastAsia"/>
          <w:color w:val="auto"/>
          <w:highlight w:val="none"/>
        </w:rPr>
        <w:t>7.3 场外交通</w:t>
      </w:r>
      <w:bookmarkEnd w:id="528"/>
      <w:bookmarkEnd w:id="529"/>
      <w:bookmarkEnd w:id="530"/>
      <w:bookmarkEnd w:id="531"/>
      <w:bookmarkEnd w:id="532"/>
    </w:p>
    <w:p w14:paraId="15AA30B0">
      <w:pPr>
        <w:spacing w:line="400" w:lineRule="exact"/>
        <w:ind w:firstLine="420" w:firstLineChars="200"/>
        <w:rPr>
          <w:color w:val="auto"/>
          <w:highlight w:val="none"/>
        </w:rPr>
      </w:pPr>
      <w:r>
        <w:rPr>
          <w:rFonts w:hint="eastAsia"/>
          <w:color w:val="auto"/>
          <w:highlight w:val="none"/>
        </w:rPr>
        <w:t>7.3.1 承包人车辆外出行驶所需的场外公共道路的通行费、养路费和税款等由承包人承担。</w:t>
      </w:r>
    </w:p>
    <w:p w14:paraId="212D6AF9">
      <w:pPr>
        <w:spacing w:line="400" w:lineRule="exact"/>
        <w:ind w:firstLine="420" w:firstLineChars="200"/>
        <w:rPr>
          <w:color w:val="auto"/>
          <w:highlight w:val="none"/>
        </w:rPr>
      </w:pPr>
      <w:r>
        <w:rPr>
          <w:rFonts w:hint="eastAsia"/>
          <w:color w:val="auto"/>
          <w:highlight w:val="none"/>
        </w:rPr>
        <w:t>7.3.2 承包人应遵守有关交通法规，严格按照道路和桥梁的限制荷重安全行驶，并服从交通管理部门的检查和监督。</w:t>
      </w:r>
    </w:p>
    <w:p w14:paraId="40B1142A">
      <w:pPr>
        <w:pStyle w:val="45"/>
        <w:rPr>
          <w:color w:val="auto"/>
          <w:highlight w:val="none"/>
        </w:rPr>
      </w:pPr>
      <w:bookmarkStart w:id="533" w:name="_Toc152045665"/>
      <w:bookmarkStart w:id="534" w:name="_Toc8827"/>
      <w:bookmarkStart w:id="535" w:name="_Toc144974633"/>
      <w:bookmarkStart w:id="536" w:name="_Toc152042443"/>
      <w:bookmarkStart w:id="537" w:name="_Toc179632683"/>
      <w:r>
        <w:rPr>
          <w:rFonts w:hint="eastAsia"/>
          <w:color w:val="auto"/>
          <w:highlight w:val="none"/>
        </w:rPr>
        <w:t>7.4 超大件和超重件的运输</w:t>
      </w:r>
      <w:bookmarkEnd w:id="533"/>
      <w:bookmarkEnd w:id="534"/>
      <w:bookmarkEnd w:id="535"/>
      <w:bookmarkEnd w:id="536"/>
      <w:bookmarkEnd w:id="537"/>
    </w:p>
    <w:p w14:paraId="203102CA">
      <w:pPr>
        <w:spacing w:line="400" w:lineRule="exact"/>
        <w:ind w:firstLine="420" w:firstLineChars="200"/>
        <w:rPr>
          <w:color w:val="auto"/>
          <w:highlight w:val="none"/>
        </w:rPr>
      </w:pPr>
      <w:r>
        <w:rPr>
          <w:rFonts w:hint="eastAsia"/>
          <w:color w:val="auto"/>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1E881A70">
      <w:pPr>
        <w:pStyle w:val="45"/>
        <w:rPr>
          <w:color w:val="auto"/>
          <w:highlight w:val="none"/>
        </w:rPr>
      </w:pPr>
      <w:bookmarkStart w:id="538" w:name="_Toc17112"/>
      <w:bookmarkStart w:id="539" w:name="_Toc179632684"/>
      <w:bookmarkStart w:id="540" w:name="_Toc144974634"/>
      <w:bookmarkStart w:id="541" w:name="_Toc152042444"/>
      <w:bookmarkStart w:id="542" w:name="_Toc152045666"/>
      <w:r>
        <w:rPr>
          <w:rFonts w:hint="eastAsia"/>
          <w:color w:val="auto"/>
          <w:highlight w:val="none"/>
        </w:rPr>
        <w:t>7.5 道路和桥梁的损坏责任</w:t>
      </w:r>
      <w:bookmarkEnd w:id="538"/>
      <w:bookmarkEnd w:id="539"/>
      <w:bookmarkEnd w:id="540"/>
      <w:bookmarkEnd w:id="541"/>
      <w:bookmarkEnd w:id="542"/>
    </w:p>
    <w:p w14:paraId="365ED81E">
      <w:pPr>
        <w:spacing w:line="400" w:lineRule="exact"/>
        <w:ind w:firstLine="420" w:firstLineChars="200"/>
        <w:rPr>
          <w:color w:val="auto"/>
          <w:highlight w:val="none"/>
        </w:rPr>
      </w:pPr>
      <w:r>
        <w:rPr>
          <w:rFonts w:hint="eastAsia"/>
          <w:color w:val="auto"/>
          <w:highlight w:val="none"/>
        </w:rPr>
        <w:t>因承包人运输造成施工场地内外公共道路和桥梁损坏的，由承包人承担修复损坏的全部费用和可能引起的赔偿。</w:t>
      </w:r>
    </w:p>
    <w:p w14:paraId="1EEB3775">
      <w:pPr>
        <w:pStyle w:val="45"/>
        <w:rPr>
          <w:color w:val="auto"/>
          <w:highlight w:val="none"/>
        </w:rPr>
      </w:pPr>
      <w:bookmarkStart w:id="543" w:name="_Toc179632685"/>
      <w:bookmarkStart w:id="544" w:name="_Toc31220"/>
      <w:bookmarkStart w:id="545" w:name="_Toc152042445"/>
      <w:bookmarkStart w:id="546" w:name="_Toc144974635"/>
      <w:bookmarkStart w:id="547" w:name="_Toc152045667"/>
      <w:r>
        <w:rPr>
          <w:rFonts w:hint="eastAsia"/>
          <w:color w:val="auto"/>
          <w:highlight w:val="none"/>
        </w:rPr>
        <w:t>7.6 水路和航空运输</w:t>
      </w:r>
      <w:bookmarkEnd w:id="543"/>
      <w:bookmarkEnd w:id="544"/>
      <w:bookmarkEnd w:id="545"/>
      <w:bookmarkEnd w:id="546"/>
      <w:bookmarkEnd w:id="547"/>
    </w:p>
    <w:p w14:paraId="6C4559EB">
      <w:pPr>
        <w:spacing w:line="400" w:lineRule="exact"/>
        <w:ind w:firstLine="420" w:firstLineChars="200"/>
        <w:rPr>
          <w:color w:val="auto"/>
          <w:highlight w:val="none"/>
        </w:rPr>
      </w:pPr>
      <w:r>
        <w:rPr>
          <w:rFonts w:hint="eastAsia"/>
          <w:color w:val="auto"/>
          <w:highlight w:val="none"/>
        </w:rPr>
        <w:t>本条上述各款的内容适用于水路运输和航空运输，其中“道路”一词的</w:t>
      </w:r>
      <w:r>
        <w:rPr>
          <w:rFonts w:hint="eastAsia"/>
          <w:color w:val="auto"/>
          <w:highlight w:val="none"/>
          <w:lang w:eastAsia="zh-CN"/>
        </w:rPr>
        <w:t>含义</w:t>
      </w:r>
      <w:r>
        <w:rPr>
          <w:rFonts w:hint="eastAsia"/>
          <w:color w:val="auto"/>
          <w:highlight w:val="none"/>
        </w:rPr>
        <w:t>包括河道、航线、船闸、机场、码头、堤防以及水路或航空运输中其他相似结构物；“车辆”一词的</w:t>
      </w:r>
      <w:r>
        <w:rPr>
          <w:rFonts w:hint="eastAsia"/>
          <w:color w:val="auto"/>
          <w:highlight w:val="none"/>
          <w:lang w:eastAsia="zh-CN"/>
        </w:rPr>
        <w:t>含义</w:t>
      </w:r>
      <w:r>
        <w:rPr>
          <w:rFonts w:hint="eastAsia"/>
          <w:color w:val="auto"/>
          <w:highlight w:val="none"/>
        </w:rPr>
        <w:t xml:space="preserve">包括船舶和飞机等。 </w:t>
      </w:r>
    </w:p>
    <w:bookmarkEnd w:id="510"/>
    <w:bookmarkEnd w:id="511"/>
    <w:bookmarkEnd w:id="512"/>
    <w:bookmarkEnd w:id="513"/>
    <w:p w14:paraId="2808E2DC">
      <w:pPr>
        <w:pStyle w:val="44"/>
        <w:rPr>
          <w:color w:val="auto"/>
          <w:highlight w:val="none"/>
        </w:rPr>
      </w:pPr>
      <w:bookmarkStart w:id="548" w:name="_Toc11509"/>
      <w:bookmarkStart w:id="549" w:name="_Toc7270"/>
      <w:r>
        <w:rPr>
          <w:rFonts w:hint="eastAsia"/>
          <w:color w:val="auto"/>
          <w:highlight w:val="none"/>
        </w:rPr>
        <w:t>8. 测量放线</w:t>
      </w:r>
      <w:bookmarkEnd w:id="514"/>
      <w:bookmarkEnd w:id="515"/>
      <w:bookmarkEnd w:id="516"/>
      <w:bookmarkEnd w:id="517"/>
      <w:bookmarkEnd w:id="548"/>
      <w:bookmarkEnd w:id="549"/>
    </w:p>
    <w:p w14:paraId="7EDAFBF3">
      <w:pPr>
        <w:pStyle w:val="45"/>
        <w:rPr>
          <w:color w:val="auto"/>
          <w:highlight w:val="none"/>
        </w:rPr>
      </w:pPr>
      <w:bookmarkStart w:id="550" w:name="_Toc144974637"/>
      <w:bookmarkStart w:id="551" w:name="_Toc152042447"/>
      <w:bookmarkStart w:id="552" w:name="_Toc152045669"/>
      <w:bookmarkStart w:id="553" w:name="_Toc26657"/>
      <w:bookmarkStart w:id="554" w:name="_Toc179632687"/>
      <w:r>
        <w:rPr>
          <w:rFonts w:hint="eastAsia"/>
          <w:color w:val="auto"/>
          <w:highlight w:val="none"/>
        </w:rPr>
        <w:t>8.1 施工控制网</w:t>
      </w:r>
      <w:bookmarkEnd w:id="550"/>
      <w:bookmarkEnd w:id="551"/>
      <w:bookmarkEnd w:id="552"/>
      <w:bookmarkEnd w:id="553"/>
      <w:bookmarkEnd w:id="554"/>
    </w:p>
    <w:p w14:paraId="183A8D5A">
      <w:pPr>
        <w:spacing w:line="400" w:lineRule="exact"/>
        <w:ind w:firstLine="420" w:firstLineChars="200"/>
        <w:rPr>
          <w:color w:val="auto"/>
          <w:highlight w:val="none"/>
        </w:rPr>
      </w:pPr>
      <w:r>
        <w:rPr>
          <w:rFonts w:hint="eastAsia"/>
          <w:color w:val="auto"/>
          <w:highlight w:val="none"/>
        </w:rPr>
        <w:t>8.1.1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14:paraId="3E0A7168">
      <w:pPr>
        <w:spacing w:line="400" w:lineRule="exact"/>
        <w:ind w:firstLine="420" w:firstLineChars="200"/>
        <w:rPr>
          <w:color w:val="auto"/>
          <w:highlight w:val="none"/>
        </w:rPr>
      </w:pPr>
      <w:r>
        <w:rPr>
          <w:rFonts w:hint="eastAsia"/>
          <w:color w:val="auto"/>
          <w:highlight w:val="none"/>
        </w:rPr>
        <w:t>8.1.2承包人应负责管理施工控制网点。施工控制网点丢失或损坏的，承包人应及时修复。承包人应承担施工控制网点的管理与修复费用，并在工程竣工后将施工控制网点移交发包人。</w:t>
      </w:r>
    </w:p>
    <w:p w14:paraId="5A89A5E3">
      <w:pPr>
        <w:pStyle w:val="45"/>
        <w:rPr>
          <w:color w:val="auto"/>
          <w:highlight w:val="none"/>
        </w:rPr>
      </w:pPr>
      <w:bookmarkStart w:id="555" w:name="_Toc179632688"/>
      <w:bookmarkStart w:id="556" w:name="_Toc144974638"/>
      <w:bookmarkStart w:id="557" w:name="_Toc25216"/>
      <w:bookmarkStart w:id="558" w:name="_Toc152042448"/>
      <w:bookmarkStart w:id="559" w:name="_Toc152045670"/>
      <w:r>
        <w:rPr>
          <w:rFonts w:hint="eastAsia"/>
          <w:color w:val="auto"/>
          <w:highlight w:val="none"/>
        </w:rPr>
        <w:t>8.2 施工测量</w:t>
      </w:r>
      <w:bookmarkEnd w:id="555"/>
      <w:bookmarkEnd w:id="556"/>
      <w:bookmarkEnd w:id="557"/>
      <w:bookmarkEnd w:id="558"/>
      <w:bookmarkEnd w:id="559"/>
    </w:p>
    <w:p w14:paraId="7A3CFB55">
      <w:pPr>
        <w:spacing w:line="400" w:lineRule="exact"/>
        <w:ind w:firstLine="420" w:firstLineChars="200"/>
        <w:rPr>
          <w:color w:val="auto"/>
          <w:highlight w:val="none"/>
        </w:rPr>
      </w:pPr>
      <w:r>
        <w:rPr>
          <w:rFonts w:hint="eastAsia"/>
          <w:color w:val="auto"/>
          <w:highlight w:val="none"/>
        </w:rPr>
        <w:t>8.2.1承包人应负责施工过程中的全部施工测量放线工作，并配置合格的人员、仪器、设备和其他物品。</w:t>
      </w:r>
    </w:p>
    <w:p w14:paraId="318E3CC4">
      <w:pPr>
        <w:spacing w:line="400" w:lineRule="exact"/>
        <w:ind w:firstLine="420" w:firstLineChars="200"/>
        <w:rPr>
          <w:color w:val="auto"/>
          <w:highlight w:val="none"/>
        </w:rPr>
      </w:pPr>
      <w:r>
        <w:rPr>
          <w:rFonts w:hint="eastAsia"/>
          <w:color w:val="auto"/>
          <w:highlight w:val="none"/>
        </w:rPr>
        <w:t>8.2.2监理人可以指示承包人进行抽样复测，当复测中发现错误或出现超过合同约定的误差时，承包人应按监理人指示进行修正或补测，并承担相应的复测费用。</w:t>
      </w:r>
    </w:p>
    <w:p w14:paraId="63A81ABC">
      <w:pPr>
        <w:pStyle w:val="45"/>
        <w:rPr>
          <w:color w:val="auto"/>
          <w:highlight w:val="none"/>
        </w:rPr>
      </w:pPr>
      <w:bookmarkStart w:id="560" w:name="_Toc13935"/>
      <w:bookmarkStart w:id="561" w:name="_Toc152042449"/>
      <w:bookmarkStart w:id="562" w:name="_Toc179632689"/>
      <w:bookmarkStart w:id="563" w:name="_Toc144974639"/>
      <w:bookmarkStart w:id="564" w:name="_Toc152045671"/>
      <w:r>
        <w:rPr>
          <w:rFonts w:hint="eastAsia"/>
          <w:color w:val="auto"/>
          <w:highlight w:val="none"/>
        </w:rPr>
        <w:t>8.3 基准资料错误的责任</w:t>
      </w:r>
      <w:bookmarkEnd w:id="560"/>
      <w:bookmarkEnd w:id="561"/>
      <w:bookmarkEnd w:id="562"/>
      <w:bookmarkEnd w:id="563"/>
      <w:bookmarkEnd w:id="564"/>
    </w:p>
    <w:p w14:paraId="29D1CE48">
      <w:pPr>
        <w:spacing w:line="400" w:lineRule="exact"/>
        <w:ind w:firstLine="420" w:firstLineChars="200"/>
        <w:rPr>
          <w:color w:val="auto"/>
          <w:highlight w:val="none"/>
        </w:rPr>
      </w:pPr>
      <w:r>
        <w:rPr>
          <w:rFonts w:hint="eastAsia"/>
          <w:color w:val="auto"/>
          <w:highlight w:val="none"/>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5F754A68">
      <w:pPr>
        <w:pStyle w:val="45"/>
        <w:rPr>
          <w:color w:val="auto"/>
          <w:highlight w:val="none"/>
        </w:rPr>
      </w:pPr>
      <w:bookmarkStart w:id="565" w:name="_Toc152042450"/>
      <w:bookmarkStart w:id="566" w:name="_Toc23923"/>
      <w:bookmarkStart w:id="567" w:name="_Toc152045672"/>
      <w:bookmarkStart w:id="568" w:name="_Toc144974640"/>
      <w:bookmarkStart w:id="569" w:name="_Toc179632690"/>
      <w:r>
        <w:rPr>
          <w:rFonts w:hint="eastAsia"/>
          <w:color w:val="auto"/>
          <w:highlight w:val="none"/>
        </w:rPr>
        <w:t>8.4 监理人使用施工控制网</w:t>
      </w:r>
      <w:bookmarkEnd w:id="565"/>
      <w:bookmarkEnd w:id="566"/>
      <w:bookmarkEnd w:id="567"/>
      <w:bookmarkEnd w:id="568"/>
      <w:bookmarkEnd w:id="569"/>
    </w:p>
    <w:p w14:paraId="1B03B4C8">
      <w:pPr>
        <w:spacing w:line="400" w:lineRule="exact"/>
        <w:ind w:firstLine="420" w:firstLineChars="200"/>
        <w:rPr>
          <w:dstrike/>
          <w:color w:val="auto"/>
          <w:szCs w:val="21"/>
          <w:highlight w:val="none"/>
        </w:rPr>
      </w:pPr>
      <w:r>
        <w:rPr>
          <w:rFonts w:hint="eastAsia"/>
          <w:color w:val="auto"/>
          <w:highlight w:val="none"/>
        </w:rPr>
        <w:t>监理人需要使用施工控制网的，承包人应提供必要的协助，发包人不再为此支付费用。</w:t>
      </w:r>
    </w:p>
    <w:p w14:paraId="3206DB70">
      <w:pPr>
        <w:pStyle w:val="44"/>
        <w:rPr>
          <w:color w:val="auto"/>
          <w:highlight w:val="none"/>
        </w:rPr>
      </w:pPr>
      <w:bookmarkStart w:id="570" w:name="_Toc179632691"/>
      <w:bookmarkStart w:id="571" w:name="_Toc31778"/>
      <w:bookmarkStart w:id="572" w:name="_Toc11737"/>
      <w:bookmarkStart w:id="573" w:name="_Toc144974641"/>
      <w:bookmarkStart w:id="574" w:name="_Toc152042451"/>
      <w:bookmarkStart w:id="575" w:name="_Toc12751"/>
      <w:bookmarkStart w:id="576" w:name="_Toc152045673"/>
      <w:r>
        <w:rPr>
          <w:rFonts w:hint="eastAsia"/>
          <w:color w:val="auto"/>
          <w:highlight w:val="none"/>
        </w:rPr>
        <w:t>9. 施工安全、治安保卫和环境保护</w:t>
      </w:r>
      <w:bookmarkEnd w:id="570"/>
      <w:bookmarkEnd w:id="571"/>
      <w:bookmarkEnd w:id="572"/>
      <w:bookmarkEnd w:id="573"/>
      <w:bookmarkEnd w:id="574"/>
      <w:bookmarkEnd w:id="575"/>
      <w:bookmarkEnd w:id="576"/>
    </w:p>
    <w:p w14:paraId="59DDA6C0">
      <w:pPr>
        <w:pStyle w:val="45"/>
        <w:rPr>
          <w:color w:val="auto"/>
          <w:highlight w:val="none"/>
        </w:rPr>
      </w:pPr>
      <w:bookmarkStart w:id="577" w:name="_Toc152045674"/>
      <w:bookmarkStart w:id="578" w:name="_Toc152042452"/>
      <w:bookmarkStart w:id="579" w:name="_Toc179632692"/>
      <w:bookmarkStart w:id="580" w:name="_Toc144974642"/>
      <w:bookmarkStart w:id="581" w:name="_Toc12367"/>
      <w:r>
        <w:rPr>
          <w:rFonts w:hint="eastAsia"/>
          <w:color w:val="auto"/>
          <w:highlight w:val="none"/>
        </w:rPr>
        <w:t>9.1 发包人的施工安全责任</w:t>
      </w:r>
      <w:bookmarkEnd w:id="577"/>
      <w:bookmarkEnd w:id="578"/>
      <w:bookmarkEnd w:id="579"/>
      <w:bookmarkEnd w:id="580"/>
      <w:bookmarkEnd w:id="581"/>
    </w:p>
    <w:p w14:paraId="55FD71D8">
      <w:pPr>
        <w:spacing w:line="400" w:lineRule="exact"/>
        <w:ind w:firstLine="420" w:firstLineChars="200"/>
        <w:rPr>
          <w:color w:val="auto"/>
          <w:highlight w:val="none"/>
        </w:rPr>
      </w:pPr>
      <w:r>
        <w:rPr>
          <w:rFonts w:hint="eastAsia"/>
          <w:color w:val="auto"/>
          <w:highlight w:val="none"/>
        </w:rPr>
        <w:t>9.1.1 发包人应按合同约定履行安全职责，授权监理人按合同约定的安全工作内容监督、检查承包人安全工作的实施，组织承包人和有关单位进行安全检查。</w:t>
      </w:r>
    </w:p>
    <w:p w14:paraId="7C0CA57E">
      <w:pPr>
        <w:spacing w:line="400" w:lineRule="exact"/>
        <w:ind w:firstLine="420" w:firstLineChars="200"/>
        <w:rPr>
          <w:color w:val="auto"/>
          <w:highlight w:val="none"/>
        </w:rPr>
      </w:pPr>
      <w:r>
        <w:rPr>
          <w:rFonts w:hint="eastAsia"/>
          <w:color w:val="auto"/>
          <w:highlight w:val="none"/>
        </w:rPr>
        <w:t>9.1.2 发包人应对其现场机构雇佣的全部人员的工伤事故承担责任，但由于承包人原因造成发包人人员工伤的，应由承包人承担责任。</w:t>
      </w:r>
    </w:p>
    <w:p w14:paraId="7AF61C4C">
      <w:pPr>
        <w:spacing w:line="400" w:lineRule="exact"/>
        <w:ind w:firstLine="420" w:firstLineChars="200"/>
        <w:rPr>
          <w:color w:val="auto"/>
          <w:highlight w:val="none"/>
        </w:rPr>
      </w:pPr>
      <w:r>
        <w:rPr>
          <w:rFonts w:hint="eastAsia"/>
          <w:color w:val="auto"/>
          <w:highlight w:val="none"/>
        </w:rPr>
        <w:t>9.1.3 发包人应负责赔偿以下各种情况造成的第三者人身伤亡和财产损失：</w:t>
      </w:r>
    </w:p>
    <w:p w14:paraId="5A28BB38">
      <w:pPr>
        <w:spacing w:line="400" w:lineRule="exact"/>
        <w:ind w:firstLine="420" w:firstLineChars="200"/>
        <w:rPr>
          <w:color w:val="auto"/>
          <w:highlight w:val="none"/>
        </w:rPr>
      </w:pPr>
      <w:r>
        <w:rPr>
          <w:rFonts w:hint="eastAsia"/>
          <w:color w:val="auto"/>
          <w:highlight w:val="none"/>
        </w:rPr>
        <w:t>（1） 工程或工程的任何部分对土地的占用所造成的第三者财产损失；</w:t>
      </w:r>
    </w:p>
    <w:p w14:paraId="01CEF16A">
      <w:pPr>
        <w:spacing w:line="400" w:lineRule="exact"/>
        <w:ind w:firstLine="420" w:firstLineChars="200"/>
        <w:rPr>
          <w:color w:val="auto"/>
          <w:highlight w:val="none"/>
        </w:rPr>
      </w:pPr>
      <w:r>
        <w:rPr>
          <w:rFonts w:hint="eastAsia"/>
          <w:color w:val="auto"/>
          <w:highlight w:val="none"/>
        </w:rPr>
        <w:t>（2） 由于发包人原因在施工场地及其毗邻地带造成的第三者人身伤亡和财产损失。</w:t>
      </w:r>
    </w:p>
    <w:p w14:paraId="4FC1FB24">
      <w:pPr>
        <w:pStyle w:val="45"/>
        <w:rPr>
          <w:color w:val="auto"/>
          <w:highlight w:val="none"/>
        </w:rPr>
      </w:pPr>
      <w:bookmarkStart w:id="582" w:name="_Toc16582"/>
      <w:bookmarkStart w:id="583" w:name="_Toc144974647"/>
      <w:bookmarkStart w:id="584" w:name="_Toc3646"/>
      <w:bookmarkStart w:id="585" w:name="_Toc152045679"/>
      <w:bookmarkStart w:id="586" w:name="_Toc152042457"/>
      <w:bookmarkStart w:id="587" w:name="_Toc16392"/>
      <w:bookmarkStart w:id="588" w:name="_Toc179632697"/>
      <w:r>
        <w:rPr>
          <w:rFonts w:hint="eastAsia"/>
          <w:color w:val="auto"/>
          <w:highlight w:val="none"/>
        </w:rPr>
        <w:t>9.2 承包人的施工安全责任</w:t>
      </w:r>
      <w:bookmarkEnd w:id="582"/>
    </w:p>
    <w:p w14:paraId="1FA2F47B">
      <w:pPr>
        <w:spacing w:line="400" w:lineRule="exact"/>
        <w:ind w:firstLine="420" w:firstLineChars="200"/>
        <w:rPr>
          <w:color w:val="auto"/>
          <w:highlight w:val="none"/>
        </w:rPr>
      </w:pPr>
      <w:r>
        <w:rPr>
          <w:rFonts w:hint="eastAsia"/>
          <w:color w:val="auto"/>
          <w:highlight w:val="none"/>
        </w:rPr>
        <w:t>9.2.1 承包人应按合同约定履行安全职责,执行监理人有关安全工作的指示,并在专用合同条款约定的期限内，按合同约定的安全工作内容，编制施工安全措施计划报送监理人审批。</w:t>
      </w:r>
    </w:p>
    <w:p w14:paraId="31C2F595">
      <w:pPr>
        <w:spacing w:line="400" w:lineRule="exact"/>
        <w:ind w:firstLine="420" w:firstLineChars="200"/>
        <w:rPr>
          <w:color w:val="auto"/>
          <w:highlight w:val="none"/>
        </w:rPr>
      </w:pPr>
      <w:r>
        <w:rPr>
          <w:rFonts w:hint="eastAsia"/>
          <w:color w:val="auto"/>
          <w:highlight w:val="none"/>
        </w:rPr>
        <w:t>9.2.2 承包人应加强施工作业安全管理，特别应加强易燃、易爆材料、火工器材、有毒与腐蚀性材料和其他危险品的管理，以及对爆破作业和地下工程施工等危险作业的管理。</w:t>
      </w:r>
    </w:p>
    <w:p w14:paraId="196E1A16">
      <w:pPr>
        <w:spacing w:line="400" w:lineRule="exact"/>
        <w:ind w:firstLine="420" w:firstLineChars="200"/>
        <w:rPr>
          <w:color w:val="auto"/>
          <w:highlight w:val="none"/>
        </w:rPr>
      </w:pPr>
      <w:r>
        <w:rPr>
          <w:rFonts w:hint="eastAsia"/>
          <w:color w:val="auto"/>
          <w:highlight w:val="none"/>
        </w:rPr>
        <w:t>9.2.3 承包人应严格按照国家安全标准制定施工安全操作规程，配备必要的安全生产和劳动保护设施，加强对承包人人员的安全教育，并发放安全工作手册和劳动保护用具。</w:t>
      </w:r>
    </w:p>
    <w:p w14:paraId="345D4C34">
      <w:pPr>
        <w:spacing w:line="400" w:lineRule="exact"/>
        <w:ind w:firstLine="420" w:firstLineChars="200"/>
        <w:rPr>
          <w:color w:val="auto"/>
          <w:highlight w:val="none"/>
        </w:rPr>
      </w:pPr>
      <w:r>
        <w:rPr>
          <w:rFonts w:hint="eastAsia"/>
          <w:color w:val="auto"/>
          <w:highlight w:val="none"/>
        </w:rPr>
        <w:t>9.2.4 承包人应按监理人的指示制定应对灾害的紧急预案，报送监理人审批。承包人还应按预案做好安全检查，配置必要的救助物资和器材，切实保护好有关人员的人身和财产安全。</w:t>
      </w:r>
    </w:p>
    <w:p w14:paraId="1B9C8179">
      <w:pPr>
        <w:spacing w:line="400" w:lineRule="exact"/>
        <w:ind w:firstLine="420" w:firstLineChars="200"/>
        <w:rPr>
          <w:color w:val="auto"/>
          <w:highlight w:val="none"/>
        </w:rPr>
      </w:pPr>
      <w:r>
        <w:rPr>
          <w:rFonts w:hint="eastAsia"/>
          <w:color w:val="auto"/>
          <w:highlight w:val="none"/>
        </w:rPr>
        <w:t>9.2.5 合同约定的安全作业环境及安全施工措施所需费用应遵守有关规定，并包括在相关工作的合同价格中。因采取合同未约定的安全作业环境及安全施工措施增加的费用，由监理人按第3.5款商定或确定。</w:t>
      </w:r>
    </w:p>
    <w:p w14:paraId="49CDBF4B">
      <w:pPr>
        <w:spacing w:line="400" w:lineRule="exact"/>
        <w:ind w:firstLine="420" w:firstLineChars="200"/>
        <w:rPr>
          <w:color w:val="auto"/>
          <w:highlight w:val="none"/>
        </w:rPr>
      </w:pPr>
      <w:r>
        <w:rPr>
          <w:rFonts w:hint="eastAsia"/>
          <w:color w:val="auto"/>
          <w:highlight w:val="none"/>
        </w:rPr>
        <w:t>9.2.6 承包人应对其履行合同所雇佣的全部人员，包括分包人人员的工伤事故承担责任，但由于发包人原因造成承包人人员工伤事故的，应由发包人承担责任。</w:t>
      </w:r>
    </w:p>
    <w:p w14:paraId="4C01C50A">
      <w:pPr>
        <w:spacing w:line="400" w:lineRule="exact"/>
        <w:ind w:firstLine="420" w:firstLineChars="200"/>
        <w:rPr>
          <w:color w:val="auto"/>
          <w:highlight w:val="none"/>
        </w:rPr>
      </w:pPr>
      <w:r>
        <w:rPr>
          <w:rFonts w:hint="eastAsia"/>
          <w:color w:val="auto"/>
          <w:highlight w:val="none"/>
        </w:rPr>
        <w:t>9.2.7 由于承包人原因在施工场地内及其毗邻地带造成的第三者人员伤亡和财产损失，由承包人负责赔偿。</w:t>
      </w:r>
    </w:p>
    <w:p w14:paraId="4C29FB75">
      <w:pPr>
        <w:pStyle w:val="45"/>
        <w:rPr>
          <w:color w:val="auto"/>
          <w:highlight w:val="none"/>
        </w:rPr>
      </w:pPr>
      <w:bookmarkStart w:id="589" w:name="_Toc179632694"/>
      <w:bookmarkStart w:id="590" w:name="_Toc144974644"/>
      <w:bookmarkStart w:id="591" w:name="_Toc152045676"/>
      <w:bookmarkStart w:id="592" w:name="_Toc12123"/>
      <w:bookmarkStart w:id="593" w:name="_Toc152042454"/>
      <w:r>
        <w:rPr>
          <w:rFonts w:hint="eastAsia"/>
          <w:color w:val="auto"/>
          <w:highlight w:val="none"/>
        </w:rPr>
        <w:t>9.3 治安保卫</w:t>
      </w:r>
      <w:bookmarkEnd w:id="589"/>
      <w:bookmarkEnd w:id="590"/>
      <w:bookmarkEnd w:id="591"/>
      <w:bookmarkEnd w:id="592"/>
      <w:bookmarkEnd w:id="593"/>
    </w:p>
    <w:p w14:paraId="2E527FC9">
      <w:pPr>
        <w:spacing w:line="400" w:lineRule="exact"/>
        <w:ind w:firstLine="420" w:firstLineChars="200"/>
        <w:rPr>
          <w:color w:val="auto"/>
          <w:highlight w:val="none"/>
        </w:rPr>
      </w:pPr>
      <w:r>
        <w:rPr>
          <w:rFonts w:hint="eastAsia"/>
          <w:color w:val="auto"/>
          <w:highlight w:val="none"/>
        </w:rPr>
        <w:t>9.3.1 除合同另有约定外，发包人应与当地公安部门协商，在现场建立治安管理机构或联防组织，统一管理施工场地的治安保卫事项，履行合同工程的治安保卫职责。</w:t>
      </w:r>
    </w:p>
    <w:p w14:paraId="47874FBD">
      <w:pPr>
        <w:spacing w:line="400" w:lineRule="exact"/>
        <w:ind w:firstLine="420" w:firstLineChars="200"/>
        <w:rPr>
          <w:color w:val="auto"/>
          <w:highlight w:val="none"/>
        </w:rPr>
      </w:pPr>
      <w:r>
        <w:rPr>
          <w:rFonts w:hint="eastAsia"/>
          <w:color w:val="auto"/>
          <w:highlight w:val="none"/>
        </w:rPr>
        <w:t>9.3.2 发包人和承包人除应协助现场治安管理机构或联防组织维护施工场地的社会治安外，还应做好包括生活区在内的各自管辖区的治安保卫工作。</w:t>
      </w:r>
    </w:p>
    <w:p w14:paraId="1BB17246">
      <w:pPr>
        <w:spacing w:line="400" w:lineRule="exact"/>
        <w:ind w:firstLine="420" w:firstLineChars="200"/>
        <w:rPr>
          <w:color w:val="auto"/>
          <w:highlight w:val="none"/>
        </w:rPr>
      </w:pPr>
      <w:r>
        <w:rPr>
          <w:rFonts w:hint="eastAsia"/>
          <w:color w:val="auto"/>
          <w:highlight w:val="none"/>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43B4462E">
      <w:pPr>
        <w:pStyle w:val="45"/>
        <w:rPr>
          <w:color w:val="auto"/>
          <w:highlight w:val="none"/>
        </w:rPr>
      </w:pPr>
      <w:bookmarkStart w:id="594" w:name="_Toc152042455"/>
      <w:bookmarkStart w:id="595" w:name="_Toc3312"/>
      <w:bookmarkStart w:id="596" w:name="_Toc179632695"/>
      <w:bookmarkStart w:id="597" w:name="_Toc152045677"/>
      <w:bookmarkStart w:id="598" w:name="_Toc144974645"/>
      <w:r>
        <w:rPr>
          <w:rFonts w:hint="eastAsia"/>
          <w:color w:val="auto"/>
          <w:highlight w:val="none"/>
        </w:rPr>
        <w:t>9.4 环境保护</w:t>
      </w:r>
      <w:bookmarkEnd w:id="594"/>
      <w:bookmarkEnd w:id="595"/>
      <w:bookmarkEnd w:id="596"/>
      <w:bookmarkEnd w:id="597"/>
      <w:bookmarkEnd w:id="598"/>
    </w:p>
    <w:p w14:paraId="59BC65E5">
      <w:pPr>
        <w:spacing w:line="400" w:lineRule="exact"/>
        <w:ind w:firstLine="420" w:firstLineChars="200"/>
        <w:rPr>
          <w:color w:val="auto"/>
          <w:highlight w:val="none"/>
        </w:rPr>
      </w:pPr>
      <w:r>
        <w:rPr>
          <w:rFonts w:hint="eastAsia"/>
          <w:color w:val="auto"/>
          <w:highlight w:val="none"/>
        </w:rPr>
        <w:t>9.4.1 承包人在施工过程中，应遵守有关环境保护的法律，履行合同约定的环境保护义务，并对违反法律和合同约定义务所造成的环境破坏、人身伤害和财产损失负责。</w:t>
      </w:r>
    </w:p>
    <w:p w14:paraId="42D40B9B">
      <w:pPr>
        <w:spacing w:line="400" w:lineRule="exact"/>
        <w:ind w:firstLine="420" w:firstLineChars="200"/>
        <w:rPr>
          <w:color w:val="auto"/>
          <w:highlight w:val="none"/>
        </w:rPr>
      </w:pPr>
      <w:r>
        <w:rPr>
          <w:rFonts w:hint="eastAsia"/>
          <w:color w:val="auto"/>
          <w:highlight w:val="none"/>
        </w:rPr>
        <w:t>9.4.2 承包人应按合同约定的环保工作内容，编制施工环保措施计划，报送监理人审批。</w:t>
      </w:r>
    </w:p>
    <w:p w14:paraId="0D1260A0">
      <w:pPr>
        <w:spacing w:line="400" w:lineRule="exact"/>
        <w:ind w:firstLine="420" w:firstLineChars="200"/>
        <w:rPr>
          <w:color w:val="auto"/>
          <w:highlight w:val="none"/>
        </w:rPr>
      </w:pPr>
      <w:r>
        <w:rPr>
          <w:rFonts w:hint="eastAsia"/>
          <w:color w:val="auto"/>
          <w:highlight w:val="none"/>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3008B1DD">
      <w:pPr>
        <w:spacing w:line="400" w:lineRule="exact"/>
        <w:ind w:firstLine="420" w:firstLineChars="200"/>
        <w:rPr>
          <w:color w:val="auto"/>
          <w:highlight w:val="none"/>
        </w:rPr>
      </w:pPr>
      <w:r>
        <w:rPr>
          <w:rFonts w:hint="eastAsia"/>
          <w:color w:val="auto"/>
          <w:highlight w:val="none"/>
        </w:rPr>
        <w:t>9.4.4 承包人应按合同约定采取有效措施，对施工开挖的边坡及时进行支护,维护排水设施，并进行水土保护，避免因施工造成的地质灾害。</w:t>
      </w:r>
    </w:p>
    <w:p w14:paraId="20C737FF">
      <w:pPr>
        <w:spacing w:line="400" w:lineRule="exact"/>
        <w:ind w:firstLine="420" w:firstLineChars="200"/>
        <w:rPr>
          <w:color w:val="auto"/>
          <w:highlight w:val="none"/>
        </w:rPr>
      </w:pPr>
      <w:r>
        <w:rPr>
          <w:rFonts w:hint="eastAsia"/>
          <w:color w:val="auto"/>
          <w:highlight w:val="none"/>
        </w:rPr>
        <w:t>9.4.5 承包人应按国家饮用水管理标准定期对饮用水源进行监测，防止施工活动污染饮用水源。</w:t>
      </w:r>
    </w:p>
    <w:p w14:paraId="55A01308">
      <w:pPr>
        <w:spacing w:line="400" w:lineRule="exact"/>
        <w:ind w:firstLine="420" w:firstLineChars="200"/>
        <w:rPr>
          <w:color w:val="auto"/>
          <w:highlight w:val="none"/>
        </w:rPr>
      </w:pPr>
      <w:r>
        <w:rPr>
          <w:rFonts w:hint="eastAsia"/>
          <w:color w:val="auto"/>
          <w:highlight w:val="none"/>
        </w:rPr>
        <w:t>9.4.6 承包人应按合同约定，加强对噪声、粉尘、废气、废水和废油的控制，努力降低噪声，控制粉尘和废气浓度，做好废水和废油的治理和排放。</w:t>
      </w:r>
    </w:p>
    <w:p w14:paraId="7976D9A4">
      <w:pPr>
        <w:pStyle w:val="45"/>
        <w:rPr>
          <w:color w:val="auto"/>
          <w:highlight w:val="none"/>
        </w:rPr>
      </w:pPr>
      <w:bookmarkStart w:id="599" w:name="_Toc144974646"/>
      <w:bookmarkStart w:id="600" w:name="_Toc152045678"/>
      <w:bookmarkStart w:id="601" w:name="_Toc152042456"/>
      <w:bookmarkStart w:id="602" w:name="_Toc8590"/>
      <w:bookmarkStart w:id="603" w:name="_Toc179632696"/>
      <w:r>
        <w:rPr>
          <w:rFonts w:hint="eastAsia"/>
          <w:color w:val="auto"/>
          <w:highlight w:val="none"/>
        </w:rPr>
        <w:t>9.5 事故处理</w:t>
      </w:r>
      <w:bookmarkEnd w:id="599"/>
      <w:bookmarkEnd w:id="600"/>
      <w:bookmarkEnd w:id="601"/>
      <w:bookmarkEnd w:id="602"/>
      <w:bookmarkEnd w:id="603"/>
    </w:p>
    <w:p w14:paraId="7CB6E4DC">
      <w:pPr>
        <w:spacing w:line="400" w:lineRule="exact"/>
        <w:ind w:firstLine="420" w:firstLineChars="200"/>
        <w:rPr>
          <w:color w:val="auto"/>
          <w:highlight w:val="none"/>
        </w:rPr>
      </w:pPr>
      <w:r>
        <w:rPr>
          <w:rFonts w:hint="eastAsia"/>
          <w:color w:val="auto"/>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76F38431">
      <w:pPr>
        <w:pStyle w:val="44"/>
        <w:rPr>
          <w:color w:val="auto"/>
          <w:highlight w:val="none"/>
        </w:rPr>
      </w:pPr>
      <w:bookmarkStart w:id="604" w:name="_Toc18754"/>
      <w:r>
        <w:rPr>
          <w:rFonts w:hint="eastAsia"/>
          <w:color w:val="auto"/>
          <w:highlight w:val="none"/>
        </w:rPr>
        <w:t>10. 进度计划</w:t>
      </w:r>
      <w:bookmarkEnd w:id="583"/>
      <w:bookmarkEnd w:id="584"/>
      <w:bookmarkEnd w:id="585"/>
      <w:bookmarkEnd w:id="586"/>
      <w:bookmarkEnd w:id="587"/>
      <w:bookmarkEnd w:id="588"/>
      <w:bookmarkEnd w:id="604"/>
    </w:p>
    <w:p w14:paraId="1F56AC33">
      <w:pPr>
        <w:pStyle w:val="45"/>
        <w:rPr>
          <w:color w:val="auto"/>
          <w:highlight w:val="none"/>
        </w:rPr>
      </w:pPr>
      <w:bookmarkStart w:id="605" w:name="_Toc152042458"/>
      <w:bookmarkStart w:id="606" w:name="_Toc144974648"/>
      <w:bookmarkStart w:id="607" w:name="_Toc179632698"/>
      <w:bookmarkStart w:id="608" w:name="_Toc152045680"/>
      <w:bookmarkStart w:id="609" w:name="_Toc27567"/>
      <w:r>
        <w:rPr>
          <w:rFonts w:hint="eastAsia"/>
          <w:color w:val="auto"/>
          <w:highlight w:val="none"/>
        </w:rPr>
        <w:t>10.1 合同进度计划</w:t>
      </w:r>
      <w:bookmarkEnd w:id="605"/>
      <w:bookmarkEnd w:id="606"/>
      <w:bookmarkEnd w:id="607"/>
      <w:bookmarkEnd w:id="608"/>
      <w:bookmarkEnd w:id="609"/>
    </w:p>
    <w:p w14:paraId="205E1B80">
      <w:pPr>
        <w:spacing w:line="400" w:lineRule="exact"/>
        <w:ind w:firstLine="420" w:firstLineChars="200"/>
        <w:rPr>
          <w:color w:val="auto"/>
          <w:highlight w:val="none"/>
        </w:rPr>
      </w:pPr>
      <w:r>
        <w:rPr>
          <w:rFonts w:hint="eastAsia"/>
          <w:color w:val="auto"/>
          <w:highlight w:val="none"/>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14:paraId="37EF8FDB">
      <w:pPr>
        <w:pStyle w:val="45"/>
        <w:rPr>
          <w:color w:val="auto"/>
          <w:highlight w:val="none"/>
        </w:rPr>
      </w:pPr>
      <w:bookmarkStart w:id="610" w:name="_Toc144974649"/>
      <w:bookmarkStart w:id="611" w:name="_Toc152042459"/>
      <w:bookmarkStart w:id="612" w:name="_Toc152045681"/>
      <w:bookmarkStart w:id="613" w:name="_Toc6459"/>
      <w:bookmarkStart w:id="614" w:name="_Toc179632699"/>
      <w:r>
        <w:rPr>
          <w:rFonts w:hint="eastAsia"/>
          <w:color w:val="auto"/>
          <w:highlight w:val="none"/>
        </w:rPr>
        <w:t>10.2 合同进度计划的修订</w:t>
      </w:r>
      <w:bookmarkEnd w:id="610"/>
      <w:bookmarkEnd w:id="611"/>
      <w:bookmarkEnd w:id="612"/>
      <w:bookmarkEnd w:id="613"/>
      <w:bookmarkEnd w:id="614"/>
    </w:p>
    <w:p w14:paraId="526642C2">
      <w:pPr>
        <w:spacing w:line="400" w:lineRule="exact"/>
        <w:ind w:firstLine="420" w:firstLineChars="200"/>
        <w:rPr>
          <w:color w:val="auto"/>
          <w:highlight w:val="none"/>
        </w:rPr>
      </w:pPr>
      <w:r>
        <w:rPr>
          <w:rFonts w:hint="eastAsia"/>
          <w:color w:val="auto"/>
          <w:highlight w:val="none"/>
        </w:rPr>
        <w:t>不论何种原因造成工程的实际进度与第10.1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14:paraId="41070511">
      <w:pPr>
        <w:pStyle w:val="44"/>
        <w:rPr>
          <w:color w:val="auto"/>
          <w:highlight w:val="none"/>
        </w:rPr>
      </w:pPr>
      <w:bookmarkStart w:id="615" w:name="_Toc28108"/>
      <w:bookmarkStart w:id="616" w:name="_Toc152042460"/>
      <w:bookmarkStart w:id="617" w:name="_Toc9839"/>
      <w:bookmarkStart w:id="618" w:name="_Toc152045682"/>
      <w:bookmarkStart w:id="619" w:name="_Toc7560"/>
      <w:bookmarkStart w:id="620" w:name="_Toc144974650"/>
      <w:bookmarkStart w:id="621" w:name="_Toc179632700"/>
      <w:r>
        <w:rPr>
          <w:rFonts w:hint="eastAsia"/>
          <w:color w:val="auto"/>
          <w:highlight w:val="none"/>
        </w:rPr>
        <w:t>11. 开工和竣工</w:t>
      </w:r>
      <w:bookmarkEnd w:id="615"/>
      <w:bookmarkEnd w:id="616"/>
      <w:bookmarkEnd w:id="617"/>
      <w:bookmarkEnd w:id="618"/>
      <w:bookmarkEnd w:id="619"/>
      <w:bookmarkEnd w:id="620"/>
      <w:bookmarkEnd w:id="621"/>
    </w:p>
    <w:p w14:paraId="519346B6">
      <w:pPr>
        <w:pStyle w:val="45"/>
        <w:rPr>
          <w:color w:val="auto"/>
          <w:highlight w:val="none"/>
        </w:rPr>
      </w:pPr>
      <w:bookmarkStart w:id="622" w:name="_Toc179632701"/>
      <w:bookmarkStart w:id="623" w:name="_Toc152042461"/>
      <w:bookmarkStart w:id="624" w:name="_Toc152045683"/>
      <w:bookmarkStart w:id="625" w:name="_Toc17766"/>
      <w:bookmarkStart w:id="626" w:name="_Toc144974651"/>
      <w:r>
        <w:rPr>
          <w:rFonts w:hint="eastAsia"/>
          <w:color w:val="auto"/>
          <w:highlight w:val="none"/>
        </w:rPr>
        <w:t>11.1 开工</w:t>
      </w:r>
      <w:bookmarkEnd w:id="622"/>
      <w:bookmarkEnd w:id="623"/>
      <w:bookmarkEnd w:id="624"/>
      <w:bookmarkEnd w:id="625"/>
      <w:bookmarkEnd w:id="626"/>
    </w:p>
    <w:p w14:paraId="40110203">
      <w:pPr>
        <w:spacing w:line="400" w:lineRule="exact"/>
        <w:ind w:firstLine="420" w:firstLineChars="200"/>
        <w:rPr>
          <w:color w:val="auto"/>
          <w:highlight w:val="none"/>
        </w:rPr>
      </w:pPr>
      <w:r>
        <w:rPr>
          <w:rFonts w:hint="eastAsia"/>
          <w:color w:val="auto"/>
          <w:highlight w:val="none"/>
        </w:rPr>
        <w:t>11.1.1 监理人应在开工日期7天前向承包人发出开工通知。监理人在发出开工通知前应获得发包人同意。工期自监理人发出的开工通知中载明的开工日期起计算。承包人应在开工日期后尽快施工。</w:t>
      </w:r>
    </w:p>
    <w:p w14:paraId="0E3FC710">
      <w:pPr>
        <w:spacing w:line="400" w:lineRule="exact"/>
        <w:ind w:firstLine="420" w:firstLineChars="200"/>
        <w:rPr>
          <w:color w:val="auto"/>
          <w:highlight w:val="none"/>
          <w:shd w:val="pct10" w:color="auto" w:fill="FFFFFF"/>
        </w:rPr>
      </w:pPr>
      <w:r>
        <w:rPr>
          <w:rFonts w:hint="eastAsia"/>
          <w:color w:val="auto"/>
          <w:highlight w:val="none"/>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4616D039">
      <w:pPr>
        <w:pStyle w:val="45"/>
        <w:rPr>
          <w:color w:val="auto"/>
          <w:highlight w:val="none"/>
        </w:rPr>
      </w:pPr>
      <w:bookmarkStart w:id="627" w:name="_Toc14307"/>
      <w:bookmarkStart w:id="628" w:name="_Toc152042462"/>
      <w:bookmarkStart w:id="629" w:name="_Toc179632702"/>
      <w:bookmarkStart w:id="630" w:name="_Toc144974652"/>
      <w:bookmarkStart w:id="631" w:name="_Toc152045684"/>
      <w:r>
        <w:rPr>
          <w:rFonts w:hint="eastAsia"/>
          <w:color w:val="auto"/>
          <w:highlight w:val="none"/>
        </w:rPr>
        <w:t>11.2 竣工</w:t>
      </w:r>
      <w:bookmarkEnd w:id="627"/>
      <w:bookmarkEnd w:id="628"/>
      <w:bookmarkEnd w:id="629"/>
      <w:bookmarkEnd w:id="630"/>
      <w:bookmarkEnd w:id="631"/>
    </w:p>
    <w:p w14:paraId="2D733E5F">
      <w:pPr>
        <w:spacing w:line="400" w:lineRule="exact"/>
        <w:ind w:firstLine="420" w:firstLineChars="200"/>
        <w:rPr>
          <w:color w:val="auto"/>
          <w:highlight w:val="none"/>
        </w:rPr>
      </w:pPr>
      <w:r>
        <w:rPr>
          <w:rFonts w:hint="eastAsia"/>
          <w:color w:val="auto"/>
          <w:highlight w:val="none"/>
        </w:rPr>
        <w:t>承包人应在第1.1.4.3目约定的期限内完成合同工程。实际竣工日期在接收证书中写明。</w:t>
      </w:r>
    </w:p>
    <w:p w14:paraId="4DFD2CFF">
      <w:pPr>
        <w:pStyle w:val="45"/>
        <w:rPr>
          <w:color w:val="auto"/>
          <w:highlight w:val="none"/>
        </w:rPr>
      </w:pPr>
      <w:bookmarkStart w:id="632" w:name="_Toc152042463"/>
      <w:bookmarkStart w:id="633" w:name="_Toc179632703"/>
      <w:bookmarkStart w:id="634" w:name="_Toc144974653"/>
      <w:bookmarkStart w:id="635" w:name="_Toc18685"/>
      <w:bookmarkStart w:id="636" w:name="_Toc152045685"/>
      <w:r>
        <w:rPr>
          <w:rFonts w:hint="eastAsia"/>
          <w:color w:val="auto"/>
          <w:highlight w:val="none"/>
        </w:rPr>
        <w:t>11.3 发包人的工期延误</w:t>
      </w:r>
      <w:bookmarkEnd w:id="632"/>
      <w:bookmarkEnd w:id="633"/>
      <w:bookmarkEnd w:id="634"/>
      <w:bookmarkEnd w:id="635"/>
      <w:bookmarkEnd w:id="636"/>
    </w:p>
    <w:p w14:paraId="2DE9B5D7">
      <w:pPr>
        <w:spacing w:line="400" w:lineRule="exact"/>
        <w:ind w:firstLine="420" w:firstLineChars="200"/>
        <w:rPr>
          <w:color w:val="auto"/>
          <w:highlight w:val="none"/>
        </w:rPr>
      </w:pPr>
      <w:r>
        <w:rPr>
          <w:rFonts w:hint="eastAsia"/>
          <w:color w:val="auto"/>
          <w:highlight w:val="none"/>
        </w:rPr>
        <w:t>在履行合同过程中，由于发包人的下列原因造成工期延误的，承包人有权要求发包人延长工期和（或）增加费用，并支付合理利润。需要修订合同进度计划的，按照第10.2款的约定办理。</w:t>
      </w:r>
    </w:p>
    <w:p w14:paraId="027C4356">
      <w:pPr>
        <w:spacing w:line="400" w:lineRule="exact"/>
        <w:ind w:firstLine="359" w:firstLineChars="171"/>
        <w:rPr>
          <w:color w:val="auto"/>
          <w:highlight w:val="none"/>
        </w:rPr>
      </w:pPr>
      <w:r>
        <w:rPr>
          <w:rFonts w:hint="eastAsia"/>
          <w:color w:val="auto"/>
          <w:highlight w:val="none"/>
        </w:rPr>
        <w:t>（1）增加合同工作内容；</w:t>
      </w:r>
    </w:p>
    <w:p w14:paraId="7436B8E0">
      <w:pPr>
        <w:spacing w:line="400" w:lineRule="exact"/>
        <w:ind w:firstLine="359" w:firstLineChars="171"/>
        <w:rPr>
          <w:color w:val="auto"/>
          <w:highlight w:val="none"/>
        </w:rPr>
      </w:pPr>
      <w:r>
        <w:rPr>
          <w:rFonts w:hint="eastAsia"/>
          <w:color w:val="auto"/>
          <w:highlight w:val="none"/>
        </w:rPr>
        <w:t>（2）改变合同中任何一项工作的质量要求或其他特性；</w:t>
      </w:r>
    </w:p>
    <w:p w14:paraId="610E66D1">
      <w:pPr>
        <w:spacing w:line="400" w:lineRule="exact"/>
        <w:ind w:firstLine="359" w:firstLineChars="171"/>
        <w:rPr>
          <w:color w:val="auto"/>
          <w:highlight w:val="none"/>
        </w:rPr>
      </w:pPr>
      <w:r>
        <w:rPr>
          <w:rFonts w:hint="eastAsia"/>
          <w:color w:val="auto"/>
          <w:highlight w:val="none"/>
        </w:rPr>
        <w:t>（3）发包人迟延提供材料、工程设备或变更交货地点的；</w:t>
      </w:r>
    </w:p>
    <w:p w14:paraId="561D7D9D">
      <w:pPr>
        <w:spacing w:line="400" w:lineRule="exact"/>
        <w:ind w:firstLine="359" w:firstLineChars="171"/>
        <w:rPr>
          <w:color w:val="auto"/>
          <w:highlight w:val="none"/>
        </w:rPr>
      </w:pPr>
      <w:r>
        <w:rPr>
          <w:rFonts w:hint="eastAsia"/>
          <w:color w:val="auto"/>
          <w:highlight w:val="none"/>
        </w:rPr>
        <w:t>（4）因发包人原因导致的暂停施工；</w:t>
      </w:r>
    </w:p>
    <w:p w14:paraId="7C30B59B">
      <w:pPr>
        <w:spacing w:line="400" w:lineRule="exact"/>
        <w:ind w:firstLine="359" w:firstLineChars="171"/>
        <w:rPr>
          <w:color w:val="auto"/>
          <w:highlight w:val="none"/>
        </w:rPr>
      </w:pPr>
      <w:r>
        <w:rPr>
          <w:rFonts w:hint="eastAsia"/>
          <w:color w:val="auto"/>
          <w:highlight w:val="none"/>
        </w:rPr>
        <w:t>（5）提供图纸延误；</w:t>
      </w:r>
    </w:p>
    <w:p w14:paraId="40B311A4">
      <w:pPr>
        <w:spacing w:line="400" w:lineRule="exact"/>
        <w:ind w:firstLine="359" w:firstLineChars="171"/>
        <w:rPr>
          <w:color w:val="auto"/>
          <w:highlight w:val="none"/>
        </w:rPr>
      </w:pPr>
      <w:r>
        <w:rPr>
          <w:rFonts w:hint="eastAsia"/>
          <w:color w:val="auto"/>
          <w:highlight w:val="none"/>
        </w:rPr>
        <w:t>（6）未按合同约定及时支付预付款、进度款；</w:t>
      </w:r>
    </w:p>
    <w:p w14:paraId="038D6FDE">
      <w:pPr>
        <w:spacing w:line="400" w:lineRule="exact"/>
        <w:ind w:firstLine="359" w:firstLineChars="171"/>
        <w:rPr>
          <w:color w:val="auto"/>
          <w:highlight w:val="none"/>
        </w:rPr>
      </w:pPr>
      <w:r>
        <w:rPr>
          <w:rFonts w:hint="eastAsia"/>
          <w:color w:val="auto"/>
          <w:highlight w:val="none"/>
        </w:rPr>
        <w:t>（7）发包人造成工期延误的其他原因。</w:t>
      </w:r>
    </w:p>
    <w:p w14:paraId="0273FAD9">
      <w:pPr>
        <w:pStyle w:val="45"/>
        <w:rPr>
          <w:color w:val="auto"/>
          <w:highlight w:val="none"/>
        </w:rPr>
      </w:pPr>
      <w:bookmarkStart w:id="637" w:name="_Toc152045686"/>
      <w:bookmarkStart w:id="638" w:name="_Toc144974654"/>
      <w:bookmarkStart w:id="639" w:name="_Toc7854"/>
      <w:bookmarkStart w:id="640" w:name="_Toc152042464"/>
      <w:bookmarkStart w:id="641" w:name="_Toc179632704"/>
      <w:r>
        <w:rPr>
          <w:rFonts w:hint="eastAsia"/>
          <w:color w:val="auto"/>
          <w:highlight w:val="none"/>
        </w:rPr>
        <w:t>11.4 异常恶劣的气候条件</w:t>
      </w:r>
      <w:bookmarkEnd w:id="637"/>
      <w:bookmarkEnd w:id="638"/>
      <w:bookmarkEnd w:id="639"/>
      <w:bookmarkEnd w:id="640"/>
      <w:bookmarkEnd w:id="641"/>
    </w:p>
    <w:p w14:paraId="709F03BC">
      <w:pPr>
        <w:spacing w:line="400" w:lineRule="exact"/>
        <w:ind w:firstLine="359" w:firstLineChars="171"/>
        <w:rPr>
          <w:color w:val="auto"/>
          <w:highlight w:val="none"/>
        </w:rPr>
      </w:pPr>
      <w:r>
        <w:rPr>
          <w:rFonts w:hint="eastAsia"/>
          <w:color w:val="auto"/>
          <w:highlight w:val="none"/>
        </w:rPr>
        <w:t>由于出现专用合同条款规定的异常恶劣气候的条件导致工期延误的，承包人有权要求发包人延长工期。</w:t>
      </w:r>
    </w:p>
    <w:p w14:paraId="39EB50F9">
      <w:pPr>
        <w:pStyle w:val="45"/>
        <w:rPr>
          <w:color w:val="auto"/>
          <w:highlight w:val="none"/>
        </w:rPr>
      </w:pPr>
      <w:bookmarkStart w:id="642" w:name="_Toc152042465"/>
      <w:bookmarkStart w:id="643" w:name="_Toc179632705"/>
      <w:bookmarkStart w:id="644" w:name="_Toc144974655"/>
      <w:bookmarkStart w:id="645" w:name="_Toc31378"/>
      <w:bookmarkStart w:id="646" w:name="_Toc152045687"/>
      <w:r>
        <w:rPr>
          <w:rFonts w:hint="eastAsia"/>
          <w:color w:val="auto"/>
          <w:highlight w:val="none"/>
        </w:rPr>
        <w:t>11.5 承包人的工期延误</w:t>
      </w:r>
      <w:bookmarkEnd w:id="642"/>
      <w:bookmarkEnd w:id="643"/>
      <w:bookmarkEnd w:id="644"/>
      <w:bookmarkEnd w:id="645"/>
      <w:bookmarkEnd w:id="646"/>
    </w:p>
    <w:p w14:paraId="27F157AF">
      <w:pPr>
        <w:spacing w:line="400" w:lineRule="exact"/>
        <w:ind w:firstLine="420" w:firstLineChars="200"/>
        <w:rPr>
          <w:color w:val="auto"/>
          <w:highlight w:val="none"/>
        </w:rPr>
      </w:pPr>
      <w:r>
        <w:rPr>
          <w:rFonts w:hint="eastAsia"/>
          <w:color w:val="auto"/>
          <w:highlight w:val="none"/>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11EECF5E">
      <w:pPr>
        <w:pStyle w:val="45"/>
        <w:rPr>
          <w:color w:val="auto"/>
          <w:highlight w:val="none"/>
        </w:rPr>
      </w:pPr>
      <w:bookmarkStart w:id="647" w:name="_Toc144974656"/>
      <w:bookmarkStart w:id="648" w:name="_Toc10285"/>
      <w:bookmarkStart w:id="649" w:name="_Toc152042466"/>
      <w:bookmarkStart w:id="650" w:name="_Toc152045688"/>
      <w:bookmarkStart w:id="651" w:name="_Toc179632706"/>
      <w:r>
        <w:rPr>
          <w:rFonts w:hint="eastAsia"/>
          <w:color w:val="auto"/>
          <w:highlight w:val="none"/>
        </w:rPr>
        <w:t>11.6</w:t>
      </w:r>
      <w:bookmarkEnd w:id="647"/>
      <w:bookmarkStart w:id="652" w:name="_Toc144974657"/>
      <w:r>
        <w:rPr>
          <w:rFonts w:hint="eastAsia"/>
          <w:color w:val="auto"/>
          <w:highlight w:val="none"/>
        </w:rPr>
        <w:t xml:space="preserve"> 工期提前</w:t>
      </w:r>
      <w:bookmarkEnd w:id="648"/>
      <w:bookmarkEnd w:id="649"/>
      <w:bookmarkEnd w:id="650"/>
      <w:bookmarkEnd w:id="651"/>
      <w:bookmarkEnd w:id="652"/>
    </w:p>
    <w:p w14:paraId="390F65FD">
      <w:pPr>
        <w:spacing w:line="400" w:lineRule="exact"/>
        <w:ind w:firstLine="420" w:firstLineChars="200"/>
        <w:rPr>
          <w:color w:val="auto"/>
          <w:highlight w:val="none"/>
        </w:rPr>
      </w:pPr>
      <w:r>
        <w:rPr>
          <w:rFonts w:hint="eastAsia"/>
          <w:color w:val="auto"/>
          <w:highlight w:val="none"/>
        </w:rPr>
        <w:t xml:space="preserve">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 </w:t>
      </w:r>
    </w:p>
    <w:p w14:paraId="793657BE">
      <w:pPr>
        <w:pStyle w:val="44"/>
        <w:rPr>
          <w:color w:val="auto"/>
          <w:highlight w:val="none"/>
        </w:rPr>
      </w:pPr>
      <w:bookmarkStart w:id="653" w:name="_Toc17965"/>
      <w:bookmarkStart w:id="654" w:name="_Toc152042467"/>
      <w:bookmarkStart w:id="655" w:name="_Toc4855"/>
      <w:bookmarkStart w:id="656" w:name="_Toc152045689"/>
      <w:bookmarkStart w:id="657" w:name="_Toc144974658"/>
      <w:bookmarkStart w:id="658" w:name="_Toc2738"/>
      <w:bookmarkStart w:id="659" w:name="_Toc179632707"/>
      <w:r>
        <w:rPr>
          <w:rFonts w:hint="eastAsia"/>
          <w:color w:val="auto"/>
          <w:highlight w:val="none"/>
        </w:rPr>
        <w:t>12. 暂停施工</w:t>
      </w:r>
      <w:bookmarkEnd w:id="653"/>
      <w:bookmarkEnd w:id="654"/>
      <w:bookmarkEnd w:id="655"/>
      <w:bookmarkEnd w:id="656"/>
      <w:bookmarkEnd w:id="657"/>
      <w:bookmarkEnd w:id="658"/>
      <w:bookmarkEnd w:id="659"/>
    </w:p>
    <w:p w14:paraId="5368A45F">
      <w:pPr>
        <w:pStyle w:val="45"/>
        <w:rPr>
          <w:color w:val="auto"/>
          <w:highlight w:val="none"/>
        </w:rPr>
      </w:pPr>
      <w:bookmarkStart w:id="660" w:name="_Toc4473"/>
      <w:bookmarkStart w:id="661" w:name="_Toc179632708"/>
      <w:bookmarkStart w:id="662" w:name="_Toc144974659"/>
      <w:bookmarkStart w:id="663" w:name="_Toc152042468"/>
      <w:bookmarkStart w:id="664" w:name="_Toc152045690"/>
      <w:r>
        <w:rPr>
          <w:rFonts w:hint="eastAsia"/>
          <w:color w:val="auto"/>
          <w:highlight w:val="none"/>
        </w:rPr>
        <w:t>12.1 承包人暂停施工的责任</w:t>
      </w:r>
      <w:bookmarkEnd w:id="660"/>
      <w:bookmarkEnd w:id="661"/>
      <w:bookmarkEnd w:id="662"/>
      <w:bookmarkEnd w:id="663"/>
      <w:bookmarkEnd w:id="664"/>
    </w:p>
    <w:p w14:paraId="41486A4D">
      <w:pPr>
        <w:spacing w:line="400" w:lineRule="exact"/>
        <w:ind w:firstLine="420" w:firstLineChars="200"/>
        <w:rPr>
          <w:color w:val="auto"/>
          <w:highlight w:val="none"/>
        </w:rPr>
      </w:pPr>
      <w:r>
        <w:rPr>
          <w:rFonts w:hint="eastAsia"/>
          <w:color w:val="auto"/>
          <w:highlight w:val="none"/>
        </w:rPr>
        <w:t>因下列暂停施工增加的费用和（或）工期延误由承包人承担：</w:t>
      </w:r>
    </w:p>
    <w:p w14:paraId="3FE2EAB3">
      <w:pPr>
        <w:spacing w:line="400" w:lineRule="exact"/>
        <w:ind w:firstLine="359" w:firstLineChars="171"/>
        <w:rPr>
          <w:color w:val="auto"/>
          <w:highlight w:val="none"/>
        </w:rPr>
      </w:pPr>
      <w:r>
        <w:rPr>
          <w:rFonts w:hint="eastAsia"/>
          <w:color w:val="auto"/>
          <w:highlight w:val="none"/>
        </w:rPr>
        <w:t>（1）承包人违约引起的暂停施工；</w:t>
      </w:r>
    </w:p>
    <w:p w14:paraId="2272A49B">
      <w:pPr>
        <w:spacing w:line="400" w:lineRule="exact"/>
        <w:ind w:firstLine="359" w:firstLineChars="171"/>
        <w:rPr>
          <w:color w:val="auto"/>
          <w:highlight w:val="none"/>
        </w:rPr>
      </w:pPr>
      <w:r>
        <w:rPr>
          <w:rFonts w:hint="eastAsia"/>
          <w:color w:val="auto"/>
          <w:highlight w:val="none"/>
        </w:rPr>
        <w:t>（2）由于承包人原因为工程合理施工和安全保障所必需的暂停施工；</w:t>
      </w:r>
    </w:p>
    <w:p w14:paraId="7CB6D0C9">
      <w:pPr>
        <w:spacing w:line="400" w:lineRule="exact"/>
        <w:ind w:firstLine="359" w:firstLineChars="171"/>
        <w:rPr>
          <w:color w:val="auto"/>
          <w:highlight w:val="none"/>
        </w:rPr>
      </w:pPr>
      <w:r>
        <w:rPr>
          <w:rFonts w:hint="eastAsia"/>
          <w:color w:val="auto"/>
          <w:highlight w:val="none"/>
        </w:rPr>
        <w:t>（3）承包人擅自暂停施工；</w:t>
      </w:r>
    </w:p>
    <w:p w14:paraId="636A8668">
      <w:pPr>
        <w:spacing w:line="400" w:lineRule="exact"/>
        <w:ind w:firstLine="359" w:firstLineChars="171"/>
        <w:rPr>
          <w:color w:val="auto"/>
          <w:highlight w:val="none"/>
        </w:rPr>
      </w:pPr>
      <w:r>
        <w:rPr>
          <w:rFonts w:hint="eastAsia"/>
          <w:color w:val="auto"/>
          <w:highlight w:val="none"/>
        </w:rPr>
        <w:t>（4）承包人其他原因引起的暂停施工；</w:t>
      </w:r>
    </w:p>
    <w:p w14:paraId="74749BF2">
      <w:pPr>
        <w:spacing w:line="400" w:lineRule="exact"/>
        <w:ind w:firstLine="359" w:firstLineChars="171"/>
        <w:rPr>
          <w:color w:val="auto"/>
          <w:highlight w:val="none"/>
        </w:rPr>
      </w:pPr>
      <w:r>
        <w:rPr>
          <w:rFonts w:hint="eastAsia"/>
          <w:color w:val="auto"/>
          <w:highlight w:val="none"/>
        </w:rPr>
        <w:t>（5）专用合同条款约定由承包人承担的其他暂停施工。</w:t>
      </w:r>
    </w:p>
    <w:p w14:paraId="766FCA1A">
      <w:pPr>
        <w:pStyle w:val="45"/>
        <w:rPr>
          <w:color w:val="auto"/>
          <w:highlight w:val="none"/>
        </w:rPr>
      </w:pPr>
      <w:bookmarkStart w:id="665" w:name="_Toc144974660"/>
      <w:bookmarkStart w:id="666" w:name="_Toc152042469"/>
      <w:bookmarkStart w:id="667" w:name="_Toc152045691"/>
      <w:bookmarkStart w:id="668" w:name="_Toc19522"/>
      <w:bookmarkStart w:id="669" w:name="_Toc179632709"/>
      <w:r>
        <w:rPr>
          <w:rFonts w:hint="eastAsia"/>
          <w:color w:val="auto"/>
          <w:highlight w:val="none"/>
        </w:rPr>
        <w:t>12.2 发包人暂停施工的责任</w:t>
      </w:r>
      <w:bookmarkEnd w:id="665"/>
      <w:bookmarkEnd w:id="666"/>
      <w:bookmarkEnd w:id="667"/>
      <w:bookmarkEnd w:id="668"/>
      <w:bookmarkEnd w:id="669"/>
    </w:p>
    <w:p w14:paraId="4B13B39C">
      <w:pPr>
        <w:spacing w:line="400" w:lineRule="exact"/>
        <w:ind w:firstLine="420" w:firstLineChars="200"/>
        <w:rPr>
          <w:color w:val="auto"/>
          <w:highlight w:val="none"/>
        </w:rPr>
      </w:pPr>
      <w:r>
        <w:rPr>
          <w:rFonts w:hint="eastAsia"/>
          <w:color w:val="auto"/>
          <w:highlight w:val="none"/>
        </w:rPr>
        <w:t>由于发包人原因引起的暂停施工造成工期延误的，承包人有权要求发包人延长工期和（或）增加费用，并支付合理利润。</w:t>
      </w:r>
    </w:p>
    <w:p w14:paraId="2CD00B3E">
      <w:pPr>
        <w:pStyle w:val="45"/>
        <w:rPr>
          <w:color w:val="auto"/>
          <w:highlight w:val="none"/>
        </w:rPr>
      </w:pPr>
      <w:bookmarkStart w:id="670" w:name="_Toc179632710"/>
      <w:bookmarkStart w:id="671" w:name="_Toc152045692"/>
      <w:bookmarkStart w:id="672" w:name="_Toc144974661"/>
      <w:bookmarkStart w:id="673" w:name="_Toc24615"/>
      <w:bookmarkStart w:id="674" w:name="_Toc152042470"/>
      <w:r>
        <w:rPr>
          <w:rFonts w:hint="eastAsia"/>
          <w:color w:val="auto"/>
          <w:highlight w:val="none"/>
        </w:rPr>
        <w:t>12.3 监理人暂停施工指示</w:t>
      </w:r>
      <w:bookmarkEnd w:id="670"/>
      <w:bookmarkEnd w:id="671"/>
      <w:bookmarkEnd w:id="672"/>
      <w:bookmarkEnd w:id="673"/>
      <w:bookmarkEnd w:id="674"/>
    </w:p>
    <w:p w14:paraId="506A7B3E">
      <w:pPr>
        <w:spacing w:line="400" w:lineRule="exact"/>
        <w:ind w:firstLine="420" w:firstLineChars="200"/>
        <w:rPr>
          <w:color w:val="auto"/>
          <w:highlight w:val="none"/>
        </w:rPr>
      </w:pPr>
      <w:r>
        <w:rPr>
          <w:rFonts w:hint="eastAsia"/>
          <w:color w:val="auto"/>
          <w:highlight w:val="none"/>
        </w:rPr>
        <w:t>12.3.1 监理人认为有必要时，可向承包人作出暂停施工的指示，承包人应按监理人指示暂停施工。不论由于何种原因引起的暂停施工，暂停施工期间承包人应负责妥善保护工程并提供安全保障。</w:t>
      </w:r>
    </w:p>
    <w:p w14:paraId="743684FD">
      <w:pPr>
        <w:spacing w:line="400" w:lineRule="exact"/>
        <w:ind w:firstLine="420" w:firstLineChars="200"/>
        <w:rPr>
          <w:color w:val="auto"/>
          <w:highlight w:val="none"/>
        </w:rPr>
      </w:pPr>
      <w:r>
        <w:rPr>
          <w:rFonts w:hint="eastAsia"/>
          <w:color w:val="auto"/>
          <w:highlight w:val="none"/>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6E48EB9C">
      <w:pPr>
        <w:pStyle w:val="45"/>
        <w:rPr>
          <w:color w:val="auto"/>
          <w:highlight w:val="none"/>
        </w:rPr>
      </w:pPr>
      <w:bookmarkStart w:id="675" w:name="_Toc152045693"/>
      <w:bookmarkStart w:id="676" w:name="_Toc144974662"/>
      <w:bookmarkStart w:id="677" w:name="_Toc179632711"/>
      <w:bookmarkStart w:id="678" w:name="_Toc25129"/>
      <w:bookmarkStart w:id="679" w:name="_Toc152042471"/>
      <w:r>
        <w:rPr>
          <w:rFonts w:hint="eastAsia"/>
          <w:color w:val="auto"/>
          <w:highlight w:val="none"/>
        </w:rPr>
        <w:t>12.4 暂停施工后的复工</w:t>
      </w:r>
      <w:bookmarkEnd w:id="675"/>
      <w:bookmarkEnd w:id="676"/>
      <w:bookmarkEnd w:id="677"/>
      <w:bookmarkEnd w:id="678"/>
      <w:bookmarkEnd w:id="679"/>
    </w:p>
    <w:p w14:paraId="19923121">
      <w:pPr>
        <w:spacing w:line="400" w:lineRule="exact"/>
        <w:ind w:firstLine="420" w:firstLineChars="200"/>
        <w:rPr>
          <w:color w:val="auto"/>
          <w:highlight w:val="none"/>
        </w:rPr>
      </w:pPr>
      <w:r>
        <w:rPr>
          <w:rFonts w:hint="eastAsia"/>
          <w:color w:val="auto"/>
          <w:highlight w:val="none"/>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14:paraId="5C97AB9D">
      <w:pPr>
        <w:spacing w:line="400" w:lineRule="exact"/>
        <w:ind w:firstLine="420" w:firstLineChars="200"/>
        <w:rPr>
          <w:color w:val="auto"/>
          <w:highlight w:val="none"/>
        </w:rPr>
      </w:pPr>
      <w:r>
        <w:rPr>
          <w:rFonts w:hint="eastAsia"/>
          <w:color w:val="auto"/>
          <w:highlight w:val="none"/>
        </w:rPr>
        <w:t>12.4.2 承包人无故拖延和拒绝复工的，由此增加的费用和工期延误由承包人承担；因发包人原因无法按时复工的，承包人有权要求发包人延长工期和（或）增加费用，并支付合理利润。</w:t>
      </w:r>
    </w:p>
    <w:p w14:paraId="77293FCE">
      <w:pPr>
        <w:pStyle w:val="45"/>
        <w:rPr>
          <w:color w:val="auto"/>
          <w:highlight w:val="none"/>
        </w:rPr>
      </w:pPr>
      <w:bookmarkStart w:id="680" w:name="_Toc144974663"/>
      <w:bookmarkStart w:id="681" w:name="_Toc152045694"/>
      <w:bookmarkStart w:id="682" w:name="_Toc17347"/>
      <w:bookmarkStart w:id="683" w:name="_Toc152042472"/>
      <w:bookmarkStart w:id="684" w:name="_Toc179632712"/>
      <w:r>
        <w:rPr>
          <w:rFonts w:hint="eastAsia"/>
          <w:color w:val="auto"/>
          <w:highlight w:val="none"/>
        </w:rPr>
        <w:t xml:space="preserve">12.5 </w:t>
      </w:r>
      <w:r>
        <w:rPr>
          <w:color w:val="auto"/>
          <w:highlight w:val="none"/>
        </w:rPr>
        <w:t>暂停施工</w:t>
      </w:r>
      <w:r>
        <w:rPr>
          <w:rFonts w:hint="eastAsia"/>
          <w:color w:val="auto"/>
          <w:highlight w:val="none"/>
        </w:rPr>
        <w:t>持续56天以上</w:t>
      </w:r>
      <w:bookmarkEnd w:id="680"/>
      <w:bookmarkEnd w:id="681"/>
      <w:bookmarkEnd w:id="682"/>
      <w:bookmarkEnd w:id="683"/>
      <w:bookmarkEnd w:id="684"/>
    </w:p>
    <w:p w14:paraId="7056AF3D">
      <w:pPr>
        <w:spacing w:line="400" w:lineRule="exact"/>
        <w:ind w:firstLine="411" w:firstLineChars="196"/>
        <w:rPr>
          <w:color w:val="auto"/>
          <w:highlight w:val="none"/>
        </w:rPr>
      </w:pPr>
      <w:r>
        <w:rPr>
          <w:rFonts w:hint="eastAsia"/>
          <w:color w:val="auto"/>
          <w:highlight w:val="none"/>
        </w:rPr>
        <w:t xml:space="preserve">12.5.1 </w:t>
      </w:r>
      <w:r>
        <w:rPr>
          <w:color w:val="auto"/>
          <w:highlight w:val="none"/>
        </w:rPr>
        <w:t>监理人</w:t>
      </w:r>
      <w:r>
        <w:rPr>
          <w:rFonts w:hint="eastAsia"/>
          <w:color w:val="auto"/>
          <w:highlight w:val="none"/>
        </w:rPr>
        <w:t>发出</w:t>
      </w:r>
      <w:r>
        <w:rPr>
          <w:color w:val="auto"/>
          <w:highlight w:val="none"/>
        </w:rPr>
        <w:t>暂停施工指示</w:t>
      </w:r>
      <w:r>
        <w:rPr>
          <w:rFonts w:hint="eastAsia"/>
          <w:color w:val="auto"/>
          <w:highlight w:val="none"/>
        </w:rPr>
        <w:t>后56天内未向</w:t>
      </w:r>
      <w:r>
        <w:rPr>
          <w:color w:val="auto"/>
          <w:highlight w:val="none"/>
        </w:rPr>
        <w:t>承包人</w:t>
      </w:r>
      <w:r>
        <w:rPr>
          <w:rFonts w:hint="eastAsia"/>
          <w:color w:val="auto"/>
          <w:highlight w:val="none"/>
        </w:rPr>
        <w:t>发出复工通知，除了该项停工属于第12.1款的情况外，</w:t>
      </w:r>
      <w:r>
        <w:rPr>
          <w:color w:val="auto"/>
          <w:highlight w:val="none"/>
        </w:rPr>
        <w:t>承包人</w:t>
      </w:r>
      <w:r>
        <w:rPr>
          <w:rFonts w:hint="eastAsia"/>
          <w:color w:val="auto"/>
          <w:highlight w:val="none"/>
        </w:rPr>
        <w:t>可向</w:t>
      </w:r>
      <w:r>
        <w:rPr>
          <w:color w:val="auto"/>
          <w:highlight w:val="none"/>
        </w:rPr>
        <w:t>监理人</w:t>
      </w:r>
      <w:r>
        <w:rPr>
          <w:rFonts w:hint="eastAsia"/>
          <w:color w:val="auto"/>
          <w:highlight w:val="none"/>
        </w:rPr>
        <w:t>提交书面通知，要求</w:t>
      </w:r>
      <w:r>
        <w:rPr>
          <w:color w:val="auto"/>
          <w:highlight w:val="none"/>
        </w:rPr>
        <w:t>监理人</w:t>
      </w:r>
      <w:r>
        <w:rPr>
          <w:rFonts w:hint="eastAsia"/>
          <w:color w:val="auto"/>
          <w:highlight w:val="none"/>
        </w:rPr>
        <w:t>在收到书面通知后28天内准许已</w:t>
      </w:r>
      <w:r>
        <w:rPr>
          <w:color w:val="auto"/>
          <w:highlight w:val="none"/>
        </w:rPr>
        <w:t>暂停施工</w:t>
      </w:r>
      <w:r>
        <w:rPr>
          <w:rFonts w:hint="eastAsia"/>
          <w:color w:val="auto"/>
          <w:highlight w:val="none"/>
        </w:rPr>
        <w:t>的工程或其中一部分工程继续施工。如</w:t>
      </w:r>
      <w:r>
        <w:rPr>
          <w:color w:val="auto"/>
          <w:highlight w:val="none"/>
        </w:rPr>
        <w:t>监理人</w:t>
      </w:r>
      <w:r>
        <w:rPr>
          <w:rFonts w:hint="eastAsia"/>
          <w:color w:val="auto"/>
          <w:highlight w:val="none"/>
        </w:rPr>
        <w:t>逾期不予批准，则承包人可以通知</w:t>
      </w:r>
      <w:r>
        <w:rPr>
          <w:color w:val="auto"/>
          <w:highlight w:val="none"/>
        </w:rPr>
        <w:t>监理人</w:t>
      </w:r>
      <w:r>
        <w:rPr>
          <w:rFonts w:hint="eastAsia"/>
          <w:color w:val="auto"/>
          <w:highlight w:val="none"/>
        </w:rPr>
        <w:t>，将工程受影响的部分视为按第15.1（1）项的可取消工作。如</w:t>
      </w:r>
      <w:r>
        <w:rPr>
          <w:color w:val="auto"/>
          <w:highlight w:val="none"/>
        </w:rPr>
        <w:t>暂停施工</w:t>
      </w:r>
      <w:r>
        <w:rPr>
          <w:rFonts w:hint="eastAsia"/>
          <w:color w:val="auto"/>
          <w:highlight w:val="none"/>
        </w:rPr>
        <w:t>影响到整个工程，可视为发包人违约，应按第22.2款的规定办理。</w:t>
      </w:r>
    </w:p>
    <w:p w14:paraId="4A666E1F">
      <w:pPr>
        <w:spacing w:line="400" w:lineRule="exact"/>
        <w:ind w:firstLine="420" w:firstLineChars="200"/>
        <w:rPr>
          <w:color w:val="auto"/>
          <w:highlight w:val="none"/>
        </w:rPr>
      </w:pPr>
      <w:r>
        <w:rPr>
          <w:rFonts w:hint="eastAsia"/>
          <w:color w:val="auto"/>
          <w:highlight w:val="none"/>
        </w:rPr>
        <w:t>12.5.2 由于</w:t>
      </w:r>
      <w:r>
        <w:rPr>
          <w:color w:val="auto"/>
          <w:highlight w:val="none"/>
        </w:rPr>
        <w:t>承包人</w:t>
      </w:r>
      <w:r>
        <w:rPr>
          <w:rFonts w:hint="eastAsia"/>
          <w:color w:val="auto"/>
          <w:highlight w:val="none"/>
        </w:rPr>
        <w:t>责任引起的</w:t>
      </w:r>
      <w:r>
        <w:rPr>
          <w:color w:val="auto"/>
          <w:highlight w:val="none"/>
        </w:rPr>
        <w:t>暂停施工</w:t>
      </w:r>
      <w:r>
        <w:rPr>
          <w:rFonts w:hint="eastAsia"/>
          <w:color w:val="auto"/>
          <w:highlight w:val="none"/>
        </w:rPr>
        <w:t>，如</w:t>
      </w:r>
      <w:r>
        <w:rPr>
          <w:color w:val="auto"/>
          <w:highlight w:val="none"/>
        </w:rPr>
        <w:t>承包人</w:t>
      </w:r>
      <w:r>
        <w:rPr>
          <w:rFonts w:hint="eastAsia"/>
          <w:color w:val="auto"/>
          <w:highlight w:val="none"/>
        </w:rPr>
        <w:t>在收到</w:t>
      </w:r>
      <w:r>
        <w:rPr>
          <w:color w:val="auto"/>
          <w:highlight w:val="none"/>
        </w:rPr>
        <w:t>监理人暂停施工指示</w:t>
      </w:r>
      <w:r>
        <w:rPr>
          <w:rFonts w:hint="eastAsia"/>
          <w:color w:val="auto"/>
          <w:highlight w:val="none"/>
        </w:rPr>
        <w:t>后56天内不认真采取有效的复工措施，造成工期延误，可视为</w:t>
      </w:r>
      <w:r>
        <w:rPr>
          <w:color w:val="auto"/>
          <w:highlight w:val="none"/>
        </w:rPr>
        <w:t>承包人</w:t>
      </w:r>
      <w:r>
        <w:rPr>
          <w:rFonts w:hint="eastAsia"/>
          <w:color w:val="auto"/>
          <w:highlight w:val="none"/>
        </w:rPr>
        <w:t>违约，应按第22.1款的规定办理。</w:t>
      </w:r>
    </w:p>
    <w:p w14:paraId="19987665">
      <w:pPr>
        <w:pStyle w:val="44"/>
        <w:rPr>
          <w:color w:val="auto"/>
          <w:highlight w:val="none"/>
        </w:rPr>
      </w:pPr>
      <w:bookmarkStart w:id="685" w:name="_Toc30578"/>
      <w:bookmarkStart w:id="686" w:name="_Toc152045695"/>
      <w:bookmarkStart w:id="687" w:name="_Toc179632713"/>
      <w:bookmarkStart w:id="688" w:name="_Toc144974664"/>
      <w:bookmarkStart w:id="689" w:name="_Toc152042473"/>
      <w:bookmarkStart w:id="690" w:name="_Toc17928"/>
      <w:bookmarkStart w:id="691" w:name="_Toc20705"/>
      <w:r>
        <w:rPr>
          <w:rFonts w:hint="eastAsia"/>
          <w:color w:val="auto"/>
          <w:highlight w:val="none"/>
        </w:rPr>
        <w:t>13. 工程质量</w:t>
      </w:r>
      <w:bookmarkEnd w:id="685"/>
      <w:bookmarkEnd w:id="686"/>
      <w:bookmarkEnd w:id="687"/>
      <w:bookmarkEnd w:id="688"/>
      <w:bookmarkEnd w:id="689"/>
      <w:bookmarkEnd w:id="690"/>
      <w:bookmarkEnd w:id="691"/>
    </w:p>
    <w:p w14:paraId="1D1DABE5">
      <w:pPr>
        <w:pStyle w:val="45"/>
        <w:rPr>
          <w:color w:val="auto"/>
          <w:highlight w:val="none"/>
        </w:rPr>
      </w:pPr>
      <w:bookmarkStart w:id="692" w:name="_Toc152042474"/>
      <w:bookmarkStart w:id="693" w:name="_Toc28717"/>
      <w:bookmarkStart w:id="694" w:name="_Toc179632714"/>
      <w:bookmarkStart w:id="695" w:name="_Toc152045696"/>
      <w:bookmarkStart w:id="696" w:name="_Toc144974665"/>
      <w:r>
        <w:rPr>
          <w:rFonts w:hint="eastAsia"/>
          <w:color w:val="auto"/>
          <w:highlight w:val="none"/>
        </w:rPr>
        <w:t>13.1 工程质量要求</w:t>
      </w:r>
      <w:bookmarkEnd w:id="692"/>
      <w:bookmarkEnd w:id="693"/>
      <w:bookmarkEnd w:id="694"/>
      <w:bookmarkEnd w:id="695"/>
      <w:bookmarkEnd w:id="696"/>
    </w:p>
    <w:p w14:paraId="12968488">
      <w:pPr>
        <w:spacing w:line="400" w:lineRule="exact"/>
        <w:ind w:firstLine="420" w:firstLineChars="200"/>
        <w:rPr>
          <w:color w:val="auto"/>
          <w:highlight w:val="none"/>
        </w:rPr>
      </w:pPr>
      <w:r>
        <w:rPr>
          <w:rFonts w:hint="eastAsia"/>
          <w:color w:val="auto"/>
          <w:highlight w:val="none"/>
        </w:rPr>
        <w:t>13.1.1 工程质量验收按合同约定验收标准执行。</w:t>
      </w:r>
    </w:p>
    <w:p w14:paraId="582393A2">
      <w:pPr>
        <w:spacing w:line="400" w:lineRule="exact"/>
        <w:ind w:firstLine="420" w:firstLineChars="200"/>
        <w:rPr>
          <w:color w:val="auto"/>
          <w:highlight w:val="none"/>
        </w:rPr>
      </w:pPr>
      <w:r>
        <w:rPr>
          <w:rFonts w:hint="eastAsia"/>
          <w:color w:val="auto"/>
          <w:highlight w:val="none"/>
        </w:rPr>
        <w:t>13.1.2 因承包人原因造成工程质量达不到合同约定验收标准的，监理人有权要求承包人返工直至符合合同要求为止，由此造成的费用增加和（或）工期延误由承包人承担。</w:t>
      </w:r>
    </w:p>
    <w:p w14:paraId="38DB1FDA">
      <w:pPr>
        <w:spacing w:line="400" w:lineRule="exact"/>
        <w:ind w:firstLine="420" w:firstLineChars="200"/>
        <w:rPr>
          <w:color w:val="auto"/>
          <w:highlight w:val="none"/>
        </w:rPr>
      </w:pPr>
      <w:r>
        <w:rPr>
          <w:rFonts w:hint="eastAsia"/>
          <w:color w:val="auto"/>
          <w:highlight w:val="none"/>
        </w:rPr>
        <w:t>13.1.3 因发包人原因造成工程质量达不到合同约定验收标准的，发包人应承担由于承包人返工造成的费用增加和（或）工期延误，并支付承包人合理利润。</w:t>
      </w:r>
    </w:p>
    <w:p w14:paraId="051A472E">
      <w:pPr>
        <w:pStyle w:val="45"/>
        <w:rPr>
          <w:color w:val="auto"/>
          <w:highlight w:val="none"/>
        </w:rPr>
      </w:pPr>
      <w:bookmarkStart w:id="697" w:name="_Toc152042475"/>
      <w:bookmarkStart w:id="698" w:name="_Toc179632715"/>
      <w:bookmarkStart w:id="699" w:name="_Toc11344"/>
      <w:bookmarkStart w:id="700" w:name="_Toc152045697"/>
      <w:bookmarkStart w:id="701" w:name="_Toc144974666"/>
      <w:r>
        <w:rPr>
          <w:rFonts w:hint="eastAsia"/>
          <w:color w:val="auto"/>
          <w:highlight w:val="none"/>
        </w:rPr>
        <w:t>13.2 承包人的质量管理</w:t>
      </w:r>
      <w:bookmarkEnd w:id="697"/>
      <w:bookmarkEnd w:id="698"/>
      <w:bookmarkEnd w:id="699"/>
      <w:bookmarkEnd w:id="700"/>
      <w:bookmarkEnd w:id="701"/>
    </w:p>
    <w:p w14:paraId="4DC7FDA5">
      <w:pPr>
        <w:spacing w:line="400" w:lineRule="exact"/>
        <w:ind w:firstLine="420" w:firstLineChars="200"/>
        <w:rPr>
          <w:color w:val="auto"/>
          <w:highlight w:val="none"/>
        </w:rPr>
      </w:pPr>
      <w:r>
        <w:rPr>
          <w:rFonts w:hint="eastAsia"/>
          <w:color w:val="auto"/>
          <w:highlight w:val="none"/>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14:paraId="6607D743">
      <w:pPr>
        <w:spacing w:line="400" w:lineRule="exact"/>
        <w:ind w:firstLine="420" w:firstLineChars="200"/>
        <w:rPr>
          <w:color w:val="auto"/>
          <w:highlight w:val="none"/>
        </w:rPr>
      </w:pPr>
      <w:r>
        <w:rPr>
          <w:rFonts w:hint="eastAsia"/>
          <w:color w:val="auto"/>
          <w:highlight w:val="none"/>
        </w:rPr>
        <w:t>13.2.2 承包人应加强对施工人员的质量教育和技术培训，定期考核施工人员的劳动技能，严格执行规范和操作规程。</w:t>
      </w:r>
    </w:p>
    <w:p w14:paraId="73D86419">
      <w:pPr>
        <w:pStyle w:val="45"/>
        <w:rPr>
          <w:color w:val="auto"/>
          <w:highlight w:val="none"/>
        </w:rPr>
      </w:pPr>
      <w:bookmarkStart w:id="702" w:name="_Toc152045698"/>
      <w:bookmarkStart w:id="703" w:name="_Toc144974667"/>
      <w:bookmarkStart w:id="704" w:name="_Toc179632716"/>
      <w:bookmarkStart w:id="705" w:name="_Toc152042476"/>
      <w:bookmarkStart w:id="706" w:name="_Toc8162"/>
      <w:r>
        <w:rPr>
          <w:rFonts w:hint="eastAsia"/>
          <w:color w:val="auto"/>
          <w:highlight w:val="none"/>
        </w:rPr>
        <w:t>13.3 承包人的质量检查</w:t>
      </w:r>
      <w:bookmarkEnd w:id="702"/>
      <w:bookmarkEnd w:id="703"/>
      <w:bookmarkEnd w:id="704"/>
      <w:bookmarkEnd w:id="705"/>
      <w:bookmarkEnd w:id="706"/>
    </w:p>
    <w:p w14:paraId="25BB6300">
      <w:pPr>
        <w:spacing w:line="400" w:lineRule="exact"/>
        <w:ind w:firstLine="420" w:firstLineChars="200"/>
        <w:rPr>
          <w:color w:val="auto"/>
          <w:highlight w:val="none"/>
        </w:rPr>
      </w:pPr>
      <w:r>
        <w:rPr>
          <w:rFonts w:hint="eastAsia"/>
          <w:color w:val="auto"/>
          <w:highlight w:val="none"/>
        </w:rPr>
        <w:t>承包人应按合同约定对材料、工程设备以及工程的所有部位及其施工工艺进行全过程的质量检查和检验，并作详细记录，编制工程质量报表，报送监理人审查。</w:t>
      </w:r>
    </w:p>
    <w:p w14:paraId="6CD69253">
      <w:pPr>
        <w:pStyle w:val="45"/>
        <w:rPr>
          <w:color w:val="auto"/>
          <w:highlight w:val="none"/>
        </w:rPr>
      </w:pPr>
      <w:bookmarkStart w:id="707" w:name="_Toc179632717"/>
      <w:bookmarkStart w:id="708" w:name="_Toc152045699"/>
      <w:bookmarkStart w:id="709" w:name="_Toc144974668"/>
      <w:bookmarkStart w:id="710" w:name="_Toc152042477"/>
      <w:bookmarkStart w:id="711" w:name="_Toc1582"/>
      <w:r>
        <w:rPr>
          <w:rFonts w:hint="eastAsia"/>
          <w:color w:val="auto"/>
          <w:highlight w:val="none"/>
        </w:rPr>
        <w:t>13.4 监理人的质量检查</w:t>
      </w:r>
      <w:bookmarkEnd w:id="707"/>
      <w:bookmarkEnd w:id="708"/>
      <w:bookmarkEnd w:id="709"/>
      <w:bookmarkEnd w:id="710"/>
      <w:bookmarkEnd w:id="711"/>
    </w:p>
    <w:p w14:paraId="087FEEE4">
      <w:pPr>
        <w:spacing w:line="400" w:lineRule="exact"/>
        <w:ind w:firstLine="420" w:firstLineChars="200"/>
        <w:rPr>
          <w:color w:val="auto"/>
          <w:highlight w:val="none"/>
        </w:rPr>
      </w:pPr>
      <w:r>
        <w:rPr>
          <w:rFonts w:hint="eastAsia"/>
          <w:color w:val="auto"/>
          <w:highlight w:val="none"/>
        </w:rPr>
        <w:t>监理人有权对工程的所有部位及其施工工艺、材料和工程设备进行检查和检验。承包人应为监理人的检查和检验提供方便，包括监理人到施工场地，或制造、加工地点，或合同约定的其他地方进行</w:t>
      </w:r>
      <w:r>
        <w:rPr>
          <w:rFonts w:hint="eastAsia"/>
          <w:color w:val="auto"/>
          <w:highlight w:val="none"/>
          <w:lang w:eastAsia="zh-CN"/>
        </w:rPr>
        <w:t>查看</w:t>
      </w:r>
      <w:r>
        <w:rPr>
          <w:rFonts w:hint="eastAsia"/>
          <w:color w:val="auto"/>
          <w:highlight w:val="none"/>
        </w:rPr>
        <w:t>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1B018DFF">
      <w:pPr>
        <w:pStyle w:val="45"/>
        <w:rPr>
          <w:color w:val="auto"/>
          <w:highlight w:val="none"/>
        </w:rPr>
      </w:pPr>
      <w:bookmarkStart w:id="712" w:name="_Toc144974669"/>
      <w:bookmarkStart w:id="713" w:name="_Toc179632718"/>
      <w:bookmarkStart w:id="714" w:name="_Toc152042478"/>
      <w:bookmarkStart w:id="715" w:name="_Toc152045700"/>
      <w:bookmarkStart w:id="716" w:name="_Toc9583"/>
      <w:r>
        <w:rPr>
          <w:rFonts w:hint="eastAsia"/>
          <w:color w:val="auto"/>
          <w:highlight w:val="none"/>
        </w:rPr>
        <w:t>13.5 工程隐蔽部位覆盖前的检查</w:t>
      </w:r>
      <w:bookmarkEnd w:id="712"/>
      <w:bookmarkEnd w:id="713"/>
      <w:bookmarkEnd w:id="714"/>
      <w:bookmarkEnd w:id="715"/>
      <w:bookmarkEnd w:id="716"/>
    </w:p>
    <w:p w14:paraId="6183E711">
      <w:pPr>
        <w:spacing w:line="400" w:lineRule="exact"/>
        <w:ind w:firstLine="420" w:firstLineChars="200"/>
        <w:rPr>
          <w:color w:val="auto"/>
          <w:highlight w:val="none"/>
        </w:rPr>
      </w:pPr>
      <w:r>
        <w:rPr>
          <w:rFonts w:hint="eastAsia"/>
          <w:color w:val="auto"/>
          <w:highlight w:val="none"/>
        </w:rPr>
        <w:t xml:space="preserve">13.5.1 </w:t>
      </w:r>
      <w:r>
        <w:rPr>
          <w:rFonts w:hint="eastAsia" w:ascii="黑体" w:eastAsia="黑体"/>
          <w:color w:val="auto"/>
          <w:highlight w:val="none"/>
        </w:rPr>
        <w:t>通知监理人检查</w:t>
      </w:r>
    </w:p>
    <w:p w14:paraId="6B862469">
      <w:pPr>
        <w:spacing w:line="400" w:lineRule="exact"/>
        <w:ind w:firstLine="420" w:firstLineChars="200"/>
        <w:rPr>
          <w:color w:val="auto"/>
          <w:highlight w:val="none"/>
        </w:rPr>
      </w:pPr>
      <w:r>
        <w:rPr>
          <w:rFonts w:hint="eastAsia"/>
          <w:color w:val="auto"/>
          <w:highlight w:val="none"/>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1FB61F88">
      <w:pPr>
        <w:spacing w:line="400" w:lineRule="exact"/>
        <w:ind w:firstLine="420" w:firstLineChars="200"/>
        <w:rPr>
          <w:color w:val="auto"/>
          <w:highlight w:val="none"/>
        </w:rPr>
      </w:pPr>
      <w:r>
        <w:rPr>
          <w:rFonts w:hint="eastAsia"/>
          <w:color w:val="auto"/>
          <w:highlight w:val="none"/>
        </w:rPr>
        <w:t xml:space="preserve">13.5.2 </w:t>
      </w:r>
      <w:r>
        <w:rPr>
          <w:rFonts w:hint="eastAsia" w:ascii="黑体" w:eastAsia="黑体"/>
          <w:color w:val="auto"/>
          <w:highlight w:val="none"/>
        </w:rPr>
        <w:t>监理人未到场检查</w:t>
      </w:r>
    </w:p>
    <w:p w14:paraId="0442B2D4">
      <w:pPr>
        <w:spacing w:line="400" w:lineRule="exact"/>
        <w:ind w:firstLine="420" w:firstLineChars="200"/>
        <w:rPr>
          <w:color w:val="auto"/>
          <w:highlight w:val="none"/>
        </w:rPr>
      </w:pPr>
      <w:r>
        <w:rPr>
          <w:rFonts w:hint="eastAsia"/>
          <w:color w:val="auto"/>
          <w:highlight w:val="none"/>
        </w:rPr>
        <w:t>监理人未按第13.5.1项约定的时间进行检查的，除监理人另有指示外，承包人可自行完成覆盖工作，并作相应记录报送监理人，监理人应签字确认。监理人事后对检查记录有疑问的，可按第13.5.3项的约定重新检查。</w:t>
      </w:r>
    </w:p>
    <w:p w14:paraId="6F01E268">
      <w:pPr>
        <w:spacing w:line="400" w:lineRule="exact"/>
        <w:ind w:firstLine="420" w:firstLineChars="200"/>
        <w:rPr>
          <w:color w:val="auto"/>
          <w:highlight w:val="none"/>
        </w:rPr>
      </w:pPr>
      <w:r>
        <w:rPr>
          <w:rFonts w:hint="eastAsia"/>
          <w:color w:val="auto"/>
          <w:highlight w:val="none"/>
        </w:rPr>
        <w:t xml:space="preserve">13.5.3 </w:t>
      </w:r>
      <w:r>
        <w:rPr>
          <w:rFonts w:hint="eastAsia" w:ascii="黑体" w:eastAsia="黑体"/>
          <w:color w:val="auto"/>
          <w:highlight w:val="none"/>
        </w:rPr>
        <w:t>监理人重新检查</w:t>
      </w:r>
    </w:p>
    <w:p w14:paraId="2286CC6A">
      <w:pPr>
        <w:spacing w:line="400" w:lineRule="exact"/>
        <w:ind w:firstLine="420" w:firstLineChars="200"/>
        <w:rPr>
          <w:color w:val="auto"/>
          <w:highlight w:val="none"/>
        </w:rPr>
      </w:pPr>
      <w:r>
        <w:rPr>
          <w:rFonts w:hint="eastAsia"/>
          <w:color w:val="auto"/>
          <w:highlight w:val="none"/>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2C5E5D4A">
      <w:pPr>
        <w:spacing w:line="400" w:lineRule="exact"/>
        <w:ind w:firstLine="420" w:firstLineChars="200"/>
        <w:rPr>
          <w:color w:val="auto"/>
          <w:highlight w:val="none"/>
        </w:rPr>
      </w:pPr>
      <w:r>
        <w:rPr>
          <w:rFonts w:hint="eastAsia"/>
          <w:color w:val="auto"/>
          <w:highlight w:val="none"/>
        </w:rPr>
        <w:t xml:space="preserve">13.5.4 </w:t>
      </w:r>
      <w:r>
        <w:rPr>
          <w:rFonts w:hint="eastAsia" w:ascii="黑体" w:eastAsia="黑体"/>
          <w:color w:val="auto"/>
          <w:highlight w:val="none"/>
        </w:rPr>
        <w:t>承包人私自覆盖</w:t>
      </w:r>
    </w:p>
    <w:p w14:paraId="1994D3BA">
      <w:pPr>
        <w:spacing w:line="400" w:lineRule="exact"/>
        <w:ind w:firstLine="420" w:firstLineChars="200"/>
        <w:rPr>
          <w:color w:val="auto"/>
          <w:highlight w:val="none"/>
        </w:rPr>
      </w:pPr>
      <w:r>
        <w:rPr>
          <w:rFonts w:hint="eastAsia"/>
          <w:color w:val="auto"/>
          <w:highlight w:val="none"/>
        </w:rPr>
        <w:t>承包人未通知监理人到场检查，私自将工程隐蔽部位覆盖的，监理人有权指示承包人钻孔探测或揭开检查，由此增加的费用和（或）工期延误由承包人承担。</w:t>
      </w:r>
    </w:p>
    <w:p w14:paraId="491C9EAE">
      <w:pPr>
        <w:pStyle w:val="45"/>
        <w:rPr>
          <w:color w:val="auto"/>
          <w:highlight w:val="none"/>
        </w:rPr>
      </w:pPr>
      <w:bookmarkStart w:id="717" w:name="_Toc152042479"/>
      <w:bookmarkStart w:id="718" w:name="_Toc179632719"/>
      <w:bookmarkStart w:id="719" w:name="_Toc144974670"/>
      <w:bookmarkStart w:id="720" w:name="_Toc152045701"/>
      <w:bookmarkStart w:id="721" w:name="_Toc20909"/>
      <w:r>
        <w:rPr>
          <w:rFonts w:hint="eastAsia"/>
          <w:color w:val="auto"/>
          <w:highlight w:val="none"/>
        </w:rPr>
        <w:t>13.6 清除不合格工程</w:t>
      </w:r>
      <w:bookmarkEnd w:id="717"/>
      <w:bookmarkEnd w:id="718"/>
      <w:bookmarkEnd w:id="719"/>
      <w:bookmarkEnd w:id="720"/>
      <w:bookmarkEnd w:id="721"/>
    </w:p>
    <w:p w14:paraId="75D3D122">
      <w:pPr>
        <w:spacing w:line="400" w:lineRule="exact"/>
        <w:ind w:firstLine="420" w:firstLineChars="200"/>
        <w:rPr>
          <w:color w:val="auto"/>
          <w:highlight w:val="none"/>
        </w:rPr>
      </w:pPr>
      <w:r>
        <w:rPr>
          <w:rFonts w:hint="eastAsia"/>
          <w:color w:val="auto"/>
          <w:highlight w:val="none"/>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499DD5D2">
      <w:pPr>
        <w:spacing w:line="400" w:lineRule="exact"/>
        <w:ind w:firstLine="420" w:firstLineChars="200"/>
        <w:rPr>
          <w:color w:val="auto"/>
          <w:highlight w:val="none"/>
        </w:rPr>
      </w:pPr>
      <w:r>
        <w:rPr>
          <w:rFonts w:hint="eastAsia"/>
          <w:color w:val="auto"/>
          <w:highlight w:val="none"/>
        </w:rPr>
        <w:t>13.6.2 由于发包人提供的材料或工程设备不合格造成的工程不合格，需要承包人采取措施补救的，发包人应承担由此增加的费用和（或）工期延误，并支付承包人合理利润。</w:t>
      </w:r>
    </w:p>
    <w:p w14:paraId="41330491">
      <w:pPr>
        <w:pStyle w:val="44"/>
        <w:rPr>
          <w:color w:val="auto"/>
          <w:highlight w:val="none"/>
        </w:rPr>
      </w:pPr>
      <w:bookmarkStart w:id="722" w:name="_Toc1219"/>
      <w:bookmarkStart w:id="723" w:name="_Toc144974671"/>
      <w:bookmarkStart w:id="724" w:name="_Toc152042480"/>
      <w:bookmarkStart w:id="725" w:name="_Toc152045702"/>
      <w:bookmarkStart w:id="726" w:name="_Toc179632720"/>
      <w:bookmarkStart w:id="727" w:name="_Toc28068"/>
      <w:bookmarkStart w:id="728" w:name="_Toc19021"/>
      <w:r>
        <w:rPr>
          <w:rFonts w:hint="eastAsia"/>
          <w:color w:val="auto"/>
          <w:highlight w:val="none"/>
        </w:rPr>
        <w:t>14. 试验和检验</w:t>
      </w:r>
      <w:bookmarkEnd w:id="722"/>
      <w:bookmarkEnd w:id="723"/>
      <w:bookmarkEnd w:id="724"/>
      <w:bookmarkEnd w:id="725"/>
      <w:bookmarkEnd w:id="726"/>
      <w:bookmarkEnd w:id="727"/>
      <w:bookmarkEnd w:id="728"/>
    </w:p>
    <w:p w14:paraId="5DF54E1D">
      <w:pPr>
        <w:pStyle w:val="45"/>
        <w:rPr>
          <w:color w:val="auto"/>
          <w:highlight w:val="none"/>
        </w:rPr>
      </w:pPr>
      <w:bookmarkStart w:id="729" w:name="_Toc15261"/>
      <w:bookmarkStart w:id="730" w:name="_Toc152045703"/>
      <w:bookmarkStart w:id="731" w:name="_Toc152042481"/>
      <w:bookmarkStart w:id="732" w:name="_Toc144974672"/>
      <w:bookmarkStart w:id="733" w:name="_Toc179632721"/>
      <w:r>
        <w:rPr>
          <w:rFonts w:hint="eastAsia"/>
          <w:color w:val="auto"/>
          <w:highlight w:val="none"/>
        </w:rPr>
        <w:t>14.1 材料、工程设备和工程的试验和检验</w:t>
      </w:r>
      <w:bookmarkEnd w:id="729"/>
      <w:bookmarkEnd w:id="730"/>
      <w:bookmarkEnd w:id="731"/>
      <w:bookmarkEnd w:id="732"/>
      <w:bookmarkEnd w:id="733"/>
    </w:p>
    <w:p w14:paraId="760278C8">
      <w:pPr>
        <w:spacing w:line="400" w:lineRule="exact"/>
        <w:ind w:firstLine="420" w:firstLineChars="200"/>
        <w:rPr>
          <w:color w:val="auto"/>
          <w:highlight w:val="none"/>
        </w:rPr>
      </w:pPr>
      <w:r>
        <w:rPr>
          <w:rFonts w:hint="eastAsia"/>
          <w:color w:val="auto"/>
          <w:highlight w:val="none"/>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3EEC9A6E">
      <w:pPr>
        <w:spacing w:line="400" w:lineRule="exact"/>
        <w:ind w:firstLine="420" w:firstLineChars="200"/>
        <w:rPr>
          <w:color w:val="auto"/>
          <w:highlight w:val="none"/>
        </w:rPr>
      </w:pPr>
      <w:r>
        <w:rPr>
          <w:rFonts w:hint="eastAsia"/>
          <w:color w:val="auto"/>
          <w:highlight w:val="none"/>
        </w:rPr>
        <w:t>14.1.2 监理人未按合同约定派员参加试验和检验的，除监理人另有指示外，承包人可自行试验和检验，并应立即将试验和检验结果报送监理人，监理人应签字确认。</w:t>
      </w:r>
    </w:p>
    <w:p w14:paraId="2B37AE2E">
      <w:pPr>
        <w:spacing w:line="400" w:lineRule="exact"/>
        <w:ind w:firstLine="420" w:firstLineChars="200"/>
        <w:rPr>
          <w:color w:val="auto"/>
          <w:highlight w:val="none"/>
        </w:rPr>
      </w:pPr>
      <w:r>
        <w:rPr>
          <w:rFonts w:hint="eastAsia"/>
          <w:color w:val="auto"/>
          <w:highlight w:val="none"/>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20951B07">
      <w:pPr>
        <w:pStyle w:val="45"/>
        <w:rPr>
          <w:color w:val="auto"/>
          <w:highlight w:val="none"/>
        </w:rPr>
      </w:pPr>
      <w:bookmarkStart w:id="734" w:name="_Toc8260"/>
      <w:bookmarkStart w:id="735" w:name="_Toc152045704"/>
      <w:bookmarkStart w:id="736" w:name="_Toc144974673"/>
      <w:bookmarkStart w:id="737" w:name="_Toc179632722"/>
      <w:bookmarkStart w:id="738" w:name="_Toc152042482"/>
      <w:r>
        <w:rPr>
          <w:rFonts w:hint="eastAsia"/>
          <w:color w:val="auto"/>
          <w:highlight w:val="none"/>
        </w:rPr>
        <w:t>14.2 现场材料试验</w:t>
      </w:r>
      <w:bookmarkEnd w:id="734"/>
      <w:bookmarkEnd w:id="735"/>
      <w:bookmarkEnd w:id="736"/>
      <w:bookmarkEnd w:id="737"/>
      <w:bookmarkEnd w:id="738"/>
    </w:p>
    <w:p w14:paraId="47326D3D">
      <w:pPr>
        <w:spacing w:line="400" w:lineRule="exact"/>
        <w:ind w:firstLine="420" w:firstLineChars="200"/>
        <w:rPr>
          <w:color w:val="auto"/>
          <w:highlight w:val="none"/>
        </w:rPr>
      </w:pPr>
      <w:r>
        <w:rPr>
          <w:rFonts w:hint="eastAsia"/>
          <w:color w:val="auto"/>
          <w:highlight w:val="none"/>
        </w:rPr>
        <w:t>14.2.1 承包人根据合同约定或监理人指示进行的现场材料试验，应由承包人提供试验场所、试验人员、试验设备器材以及其他必要的试验条件。</w:t>
      </w:r>
    </w:p>
    <w:p w14:paraId="42DEF61E">
      <w:pPr>
        <w:spacing w:line="400" w:lineRule="exact"/>
        <w:ind w:firstLine="420" w:firstLineChars="200"/>
        <w:rPr>
          <w:color w:val="auto"/>
          <w:highlight w:val="none"/>
        </w:rPr>
      </w:pPr>
      <w:r>
        <w:rPr>
          <w:rFonts w:hint="eastAsia"/>
          <w:color w:val="auto"/>
          <w:highlight w:val="none"/>
        </w:rPr>
        <w:t>14.2.2 监理人在必要时可以使用承包人的试验场所、试验设备器材以及其他试验条件，进行以工程质量检查为目的的复核性材料试验，承包人应予以协助。</w:t>
      </w:r>
    </w:p>
    <w:p w14:paraId="15A235C1">
      <w:pPr>
        <w:pStyle w:val="45"/>
        <w:rPr>
          <w:color w:val="auto"/>
          <w:highlight w:val="none"/>
        </w:rPr>
      </w:pPr>
      <w:bookmarkStart w:id="739" w:name="_Toc10760"/>
      <w:bookmarkStart w:id="740" w:name="_Toc144974674"/>
      <w:bookmarkStart w:id="741" w:name="_Toc152045705"/>
      <w:bookmarkStart w:id="742" w:name="_Toc152042483"/>
      <w:bookmarkStart w:id="743" w:name="_Toc179632723"/>
      <w:r>
        <w:rPr>
          <w:rFonts w:hint="eastAsia"/>
          <w:color w:val="auto"/>
          <w:highlight w:val="none"/>
        </w:rPr>
        <w:t>14.3 现场工艺试验</w:t>
      </w:r>
      <w:bookmarkEnd w:id="739"/>
      <w:bookmarkEnd w:id="740"/>
      <w:bookmarkEnd w:id="741"/>
      <w:bookmarkEnd w:id="742"/>
      <w:bookmarkEnd w:id="743"/>
    </w:p>
    <w:p w14:paraId="60A03E70">
      <w:pPr>
        <w:spacing w:line="400" w:lineRule="exact"/>
        <w:ind w:firstLine="420" w:firstLineChars="200"/>
        <w:rPr>
          <w:color w:val="auto"/>
          <w:highlight w:val="none"/>
        </w:rPr>
      </w:pPr>
      <w:r>
        <w:rPr>
          <w:rFonts w:hint="eastAsia"/>
          <w:color w:val="auto"/>
          <w:highlight w:val="none"/>
        </w:rPr>
        <w:t>承包人应按合同约定或监理人指示进行现场工艺试验。对大型的现场工艺试验，监理人认为必要时，应由承包人根据监理人提出的工艺试验要求，编制工艺试验措施计划，报送监理人审批。</w:t>
      </w:r>
    </w:p>
    <w:p w14:paraId="6E6B58E1">
      <w:pPr>
        <w:pStyle w:val="44"/>
        <w:rPr>
          <w:color w:val="auto"/>
          <w:highlight w:val="none"/>
        </w:rPr>
      </w:pPr>
      <w:bookmarkStart w:id="744" w:name="_Toc179632724"/>
      <w:bookmarkStart w:id="745" w:name="_Toc144974675"/>
      <w:bookmarkStart w:id="746" w:name="_Toc152042484"/>
      <w:bookmarkStart w:id="747" w:name="_Toc152045706"/>
      <w:bookmarkStart w:id="748" w:name="_Toc16782"/>
      <w:bookmarkStart w:id="749" w:name="_Toc15169"/>
      <w:bookmarkStart w:id="750" w:name="_Toc23332"/>
      <w:r>
        <w:rPr>
          <w:rFonts w:hint="eastAsia"/>
          <w:color w:val="auto"/>
          <w:highlight w:val="none"/>
        </w:rPr>
        <w:t>15. 变更</w:t>
      </w:r>
      <w:bookmarkEnd w:id="744"/>
      <w:bookmarkEnd w:id="745"/>
      <w:bookmarkEnd w:id="746"/>
      <w:bookmarkEnd w:id="747"/>
      <w:bookmarkEnd w:id="748"/>
      <w:bookmarkEnd w:id="749"/>
      <w:bookmarkEnd w:id="750"/>
    </w:p>
    <w:p w14:paraId="0DE3EE03">
      <w:pPr>
        <w:pStyle w:val="45"/>
        <w:rPr>
          <w:color w:val="auto"/>
          <w:highlight w:val="none"/>
        </w:rPr>
      </w:pPr>
      <w:bookmarkStart w:id="751" w:name="_Toc144974676"/>
      <w:bookmarkStart w:id="752" w:name="_Toc152042485"/>
      <w:bookmarkStart w:id="753" w:name="_Toc15101"/>
      <w:bookmarkStart w:id="754" w:name="_Toc179632725"/>
      <w:bookmarkStart w:id="755" w:name="_Toc152045707"/>
      <w:r>
        <w:rPr>
          <w:rFonts w:hint="eastAsia"/>
          <w:color w:val="auto"/>
          <w:highlight w:val="none"/>
        </w:rPr>
        <w:t>15.1 变更的范围和内容</w:t>
      </w:r>
      <w:bookmarkEnd w:id="751"/>
      <w:bookmarkEnd w:id="752"/>
      <w:bookmarkEnd w:id="753"/>
      <w:bookmarkEnd w:id="754"/>
      <w:bookmarkEnd w:id="755"/>
    </w:p>
    <w:p w14:paraId="2FBAD93F">
      <w:pPr>
        <w:spacing w:line="400" w:lineRule="exact"/>
        <w:ind w:firstLine="420" w:firstLineChars="200"/>
        <w:rPr>
          <w:color w:val="auto"/>
          <w:highlight w:val="none"/>
        </w:rPr>
      </w:pPr>
      <w:r>
        <w:rPr>
          <w:rFonts w:hint="eastAsia"/>
          <w:color w:val="auto"/>
          <w:highlight w:val="none"/>
        </w:rPr>
        <w:t>除专用合同条款另有约定外，在履行合同中发生以下情形之一，应按照本条规定进行变更。</w:t>
      </w:r>
    </w:p>
    <w:p w14:paraId="68EECB31">
      <w:pPr>
        <w:spacing w:line="400" w:lineRule="exact"/>
        <w:ind w:firstLine="359" w:firstLineChars="171"/>
        <w:rPr>
          <w:color w:val="auto"/>
          <w:highlight w:val="none"/>
        </w:rPr>
      </w:pPr>
      <w:r>
        <w:rPr>
          <w:rFonts w:hint="eastAsia"/>
          <w:color w:val="auto"/>
          <w:highlight w:val="none"/>
        </w:rPr>
        <w:t>（1）取消合同中任何一项工作，但被取消的工作不能转由发包人或其他人实施；</w:t>
      </w:r>
    </w:p>
    <w:p w14:paraId="41E8AFE2">
      <w:pPr>
        <w:spacing w:line="400" w:lineRule="exact"/>
        <w:ind w:firstLine="359" w:firstLineChars="171"/>
        <w:rPr>
          <w:color w:val="auto"/>
          <w:highlight w:val="none"/>
        </w:rPr>
      </w:pPr>
      <w:r>
        <w:rPr>
          <w:rFonts w:hint="eastAsia"/>
          <w:color w:val="auto"/>
          <w:highlight w:val="none"/>
        </w:rPr>
        <w:t>（2）改变合同中任何一项工作的质量或其他特性；</w:t>
      </w:r>
    </w:p>
    <w:p w14:paraId="4F2C5FB1">
      <w:pPr>
        <w:spacing w:line="400" w:lineRule="exact"/>
        <w:ind w:firstLine="359" w:firstLineChars="171"/>
        <w:rPr>
          <w:color w:val="auto"/>
          <w:highlight w:val="none"/>
        </w:rPr>
      </w:pPr>
      <w:r>
        <w:rPr>
          <w:rFonts w:hint="eastAsia"/>
          <w:color w:val="auto"/>
          <w:highlight w:val="none"/>
        </w:rPr>
        <w:t>（3）改变合同工程的基线、标高、位置或尺寸；</w:t>
      </w:r>
    </w:p>
    <w:p w14:paraId="45A19CE0">
      <w:pPr>
        <w:spacing w:line="400" w:lineRule="exact"/>
        <w:ind w:firstLine="359" w:firstLineChars="171"/>
        <w:rPr>
          <w:color w:val="auto"/>
          <w:highlight w:val="none"/>
        </w:rPr>
      </w:pPr>
      <w:r>
        <w:rPr>
          <w:rFonts w:hint="eastAsia"/>
          <w:color w:val="auto"/>
          <w:highlight w:val="none"/>
        </w:rPr>
        <w:t>（4）改变合同中任何一项工作的施工时间或改变已批准的施工工艺或顺序；</w:t>
      </w:r>
    </w:p>
    <w:p w14:paraId="366D5FAA">
      <w:pPr>
        <w:spacing w:line="400" w:lineRule="exact"/>
        <w:ind w:firstLine="359" w:firstLineChars="171"/>
        <w:rPr>
          <w:color w:val="auto"/>
          <w:highlight w:val="none"/>
        </w:rPr>
      </w:pPr>
      <w:r>
        <w:rPr>
          <w:rFonts w:hint="eastAsia"/>
          <w:color w:val="auto"/>
          <w:highlight w:val="none"/>
        </w:rPr>
        <w:t>（5）为完成工程需要追加的额外工作。</w:t>
      </w:r>
    </w:p>
    <w:p w14:paraId="148D19FA">
      <w:pPr>
        <w:pStyle w:val="45"/>
        <w:rPr>
          <w:color w:val="auto"/>
          <w:highlight w:val="none"/>
        </w:rPr>
      </w:pPr>
      <w:bookmarkStart w:id="756" w:name="_Toc152042486"/>
      <w:bookmarkStart w:id="757" w:name="_Toc9410"/>
      <w:bookmarkStart w:id="758" w:name="_Toc144974677"/>
      <w:bookmarkStart w:id="759" w:name="_Toc152045708"/>
      <w:bookmarkStart w:id="760" w:name="_Toc179632726"/>
      <w:r>
        <w:rPr>
          <w:rFonts w:hint="eastAsia"/>
          <w:color w:val="auto"/>
          <w:highlight w:val="none"/>
        </w:rPr>
        <w:t>15.2 变更权</w:t>
      </w:r>
      <w:bookmarkEnd w:id="756"/>
      <w:bookmarkEnd w:id="757"/>
      <w:bookmarkEnd w:id="758"/>
      <w:bookmarkEnd w:id="759"/>
      <w:bookmarkEnd w:id="760"/>
    </w:p>
    <w:p w14:paraId="0AFE6DF9">
      <w:pPr>
        <w:spacing w:line="400" w:lineRule="exact"/>
        <w:ind w:firstLine="420" w:firstLineChars="200"/>
        <w:rPr>
          <w:color w:val="auto"/>
          <w:highlight w:val="none"/>
        </w:rPr>
      </w:pPr>
      <w:r>
        <w:rPr>
          <w:rFonts w:hint="eastAsia"/>
          <w:color w:val="auto"/>
          <w:highlight w:val="none"/>
        </w:rPr>
        <w:t>在履行合同过程中，经发包人同意，监理人可按第15.3款约定的变更程序向承包人作出变更指示，承包人应遵照执行。没有监理人的变更指示，承包人不得擅自变更。</w:t>
      </w:r>
    </w:p>
    <w:p w14:paraId="60BE0418">
      <w:pPr>
        <w:pStyle w:val="45"/>
        <w:rPr>
          <w:color w:val="auto"/>
          <w:highlight w:val="none"/>
        </w:rPr>
      </w:pPr>
      <w:bookmarkStart w:id="761" w:name="_Toc152045709"/>
      <w:bookmarkStart w:id="762" w:name="_Toc25333"/>
      <w:bookmarkStart w:id="763" w:name="_Toc179632727"/>
      <w:bookmarkStart w:id="764" w:name="_Toc144974678"/>
      <w:bookmarkStart w:id="765" w:name="_Toc152042487"/>
      <w:r>
        <w:rPr>
          <w:rFonts w:hint="eastAsia"/>
          <w:color w:val="auto"/>
          <w:highlight w:val="none"/>
        </w:rPr>
        <w:t>15.3 变更程序</w:t>
      </w:r>
      <w:bookmarkEnd w:id="761"/>
      <w:bookmarkEnd w:id="762"/>
      <w:bookmarkEnd w:id="763"/>
      <w:bookmarkEnd w:id="764"/>
      <w:bookmarkEnd w:id="765"/>
    </w:p>
    <w:p w14:paraId="63EEA2DB">
      <w:pPr>
        <w:spacing w:line="400" w:lineRule="exact"/>
        <w:ind w:firstLine="420" w:firstLineChars="200"/>
        <w:rPr>
          <w:color w:val="auto"/>
          <w:highlight w:val="none"/>
        </w:rPr>
      </w:pPr>
      <w:r>
        <w:rPr>
          <w:rFonts w:hint="eastAsia"/>
          <w:color w:val="auto"/>
          <w:highlight w:val="none"/>
        </w:rPr>
        <w:t xml:space="preserve">15.3.1 </w:t>
      </w:r>
      <w:r>
        <w:rPr>
          <w:rFonts w:hint="eastAsia" w:ascii="黑体" w:eastAsia="黑体"/>
          <w:color w:val="auto"/>
          <w:highlight w:val="none"/>
        </w:rPr>
        <w:t>变更的提出</w:t>
      </w:r>
    </w:p>
    <w:p w14:paraId="0898FE3C">
      <w:pPr>
        <w:spacing w:line="400" w:lineRule="exact"/>
        <w:ind w:firstLine="420" w:firstLineChars="200"/>
        <w:rPr>
          <w:color w:val="auto"/>
          <w:highlight w:val="none"/>
        </w:rPr>
      </w:pPr>
      <w:r>
        <w:rPr>
          <w:rFonts w:hint="eastAsia"/>
          <w:color w:val="auto"/>
          <w:highlight w:val="none"/>
        </w:rPr>
        <w:t xml:space="preserve">（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14:paraId="28DB7FB5">
      <w:pPr>
        <w:spacing w:line="400" w:lineRule="exact"/>
        <w:ind w:firstLine="420" w:firstLineChars="200"/>
        <w:rPr>
          <w:color w:val="auto"/>
          <w:highlight w:val="none"/>
        </w:rPr>
      </w:pPr>
      <w:r>
        <w:rPr>
          <w:rFonts w:hint="eastAsia"/>
          <w:color w:val="auto"/>
          <w:highlight w:val="none"/>
        </w:rPr>
        <w:t>（2）在合同履行过程中，发生第15.1款约定情形的，监理人应按照第15.3.3项约定向承包人发出变更指示。</w:t>
      </w:r>
    </w:p>
    <w:p w14:paraId="1FB10DCE">
      <w:pPr>
        <w:spacing w:line="400" w:lineRule="exact"/>
        <w:ind w:firstLine="420" w:firstLineChars="200"/>
        <w:rPr>
          <w:color w:val="auto"/>
          <w:highlight w:val="none"/>
        </w:rPr>
      </w:pPr>
      <w:r>
        <w:rPr>
          <w:rFonts w:hint="eastAsia"/>
          <w:color w:val="auto"/>
          <w:highlight w:val="none"/>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14:paraId="22492CB9">
      <w:pPr>
        <w:spacing w:line="400" w:lineRule="exact"/>
        <w:ind w:firstLine="420" w:firstLineChars="200"/>
        <w:rPr>
          <w:color w:val="auto"/>
          <w:highlight w:val="none"/>
        </w:rPr>
      </w:pPr>
      <w:r>
        <w:rPr>
          <w:rFonts w:hint="eastAsia"/>
          <w:color w:val="auto"/>
          <w:highlight w:val="none"/>
        </w:rPr>
        <w:t>（4）若承包人收到监理人的变更意向书后认为难以实施此项变更，应立即通知监理人，说明原因并附详细依据。监理人与承包人和发包人协商后确定撤销</w:t>
      </w:r>
      <w:r>
        <w:rPr>
          <w:rFonts w:hint="eastAsia" w:ascii="宋体" w:hAnsi="宋体"/>
          <w:color w:val="auto"/>
          <w:highlight w:val="none"/>
        </w:rPr>
        <w:t>、</w:t>
      </w:r>
      <w:r>
        <w:rPr>
          <w:rFonts w:hint="eastAsia"/>
          <w:color w:val="auto"/>
          <w:highlight w:val="none"/>
        </w:rPr>
        <w:t>改变或不改变原变更意向书。</w:t>
      </w:r>
    </w:p>
    <w:p w14:paraId="2D7CDE9B">
      <w:pPr>
        <w:spacing w:line="400" w:lineRule="exact"/>
        <w:ind w:firstLine="420" w:firstLineChars="200"/>
        <w:rPr>
          <w:color w:val="auto"/>
          <w:highlight w:val="none"/>
        </w:rPr>
      </w:pPr>
      <w:r>
        <w:rPr>
          <w:rFonts w:hint="eastAsia"/>
          <w:color w:val="auto"/>
          <w:highlight w:val="none"/>
        </w:rPr>
        <w:t xml:space="preserve">15.3.2 </w:t>
      </w:r>
      <w:r>
        <w:rPr>
          <w:rFonts w:hint="eastAsia" w:ascii="黑体" w:eastAsia="黑体"/>
          <w:color w:val="auto"/>
          <w:highlight w:val="none"/>
        </w:rPr>
        <w:t>变更估价</w:t>
      </w:r>
    </w:p>
    <w:p w14:paraId="7A566F1F">
      <w:pPr>
        <w:spacing w:line="400" w:lineRule="exact"/>
        <w:ind w:firstLine="420" w:firstLineChars="200"/>
        <w:rPr>
          <w:color w:val="auto"/>
          <w:highlight w:val="none"/>
        </w:rPr>
      </w:pPr>
      <w:r>
        <w:rPr>
          <w:rFonts w:hint="eastAsia"/>
          <w:color w:val="auto"/>
          <w:highlight w:val="none"/>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14:paraId="2F518A1E">
      <w:pPr>
        <w:spacing w:line="400" w:lineRule="exact"/>
        <w:ind w:firstLine="420" w:firstLineChars="200"/>
        <w:rPr>
          <w:color w:val="auto"/>
          <w:highlight w:val="none"/>
        </w:rPr>
      </w:pPr>
      <w:r>
        <w:rPr>
          <w:rFonts w:hint="eastAsia"/>
          <w:color w:val="auto"/>
          <w:highlight w:val="none"/>
        </w:rPr>
        <w:t>（2）变更工作影响工期的，承包人应提出调整工期的具体细节。监理人认为有必要时，可要求承包人提交要求提前或延长工期的施工进度计划及相应施工措施等详细资料。</w:t>
      </w:r>
    </w:p>
    <w:p w14:paraId="004A8F7D">
      <w:pPr>
        <w:spacing w:line="400" w:lineRule="exact"/>
        <w:ind w:firstLine="420" w:firstLineChars="200"/>
        <w:rPr>
          <w:color w:val="auto"/>
          <w:highlight w:val="none"/>
        </w:rPr>
      </w:pPr>
      <w:r>
        <w:rPr>
          <w:rFonts w:hint="eastAsia"/>
          <w:color w:val="auto"/>
          <w:highlight w:val="none"/>
        </w:rPr>
        <w:t>（3）除专用合同条款对期限另有约定外，监理人收到承包人变更报价书后的14天内，根据第15.4款约定的估价原则，按照第3.5款商定或确定变更价格。</w:t>
      </w:r>
    </w:p>
    <w:p w14:paraId="7725C1CD">
      <w:pPr>
        <w:spacing w:line="400" w:lineRule="exact"/>
        <w:ind w:firstLine="420" w:firstLineChars="200"/>
        <w:rPr>
          <w:color w:val="auto"/>
          <w:highlight w:val="none"/>
        </w:rPr>
      </w:pPr>
      <w:r>
        <w:rPr>
          <w:rFonts w:hint="eastAsia"/>
          <w:color w:val="auto"/>
          <w:highlight w:val="none"/>
        </w:rPr>
        <w:t xml:space="preserve">15.3.3 </w:t>
      </w:r>
      <w:r>
        <w:rPr>
          <w:rFonts w:hint="eastAsia" w:ascii="黑体" w:eastAsia="黑体"/>
          <w:color w:val="auto"/>
          <w:highlight w:val="none"/>
        </w:rPr>
        <w:t>变更指示</w:t>
      </w:r>
    </w:p>
    <w:p w14:paraId="53266E14">
      <w:pPr>
        <w:spacing w:line="400" w:lineRule="exact"/>
        <w:ind w:firstLine="420" w:firstLineChars="200"/>
        <w:rPr>
          <w:color w:val="auto"/>
          <w:highlight w:val="none"/>
        </w:rPr>
      </w:pPr>
      <w:r>
        <w:rPr>
          <w:rFonts w:hint="eastAsia"/>
          <w:color w:val="auto"/>
          <w:highlight w:val="none"/>
        </w:rPr>
        <w:t>（1）变更指示只能由监理人发出。</w:t>
      </w:r>
    </w:p>
    <w:p w14:paraId="3F181C68">
      <w:pPr>
        <w:spacing w:line="400" w:lineRule="exact"/>
        <w:ind w:firstLine="420" w:firstLineChars="200"/>
        <w:rPr>
          <w:color w:val="auto"/>
          <w:highlight w:val="none"/>
        </w:rPr>
      </w:pPr>
      <w:r>
        <w:rPr>
          <w:rFonts w:hint="eastAsia"/>
          <w:color w:val="auto"/>
          <w:highlight w:val="none"/>
        </w:rPr>
        <w:t>（2）变更指示应说明变更的目的、范围、变更内容以及变更的工程量及其进度和技术要求，并附有关图纸和文件。承包人收到变更指示后，应按变更指示进行变更工作。</w:t>
      </w:r>
    </w:p>
    <w:p w14:paraId="38E7C4EE">
      <w:pPr>
        <w:pStyle w:val="45"/>
        <w:rPr>
          <w:color w:val="auto"/>
          <w:highlight w:val="none"/>
        </w:rPr>
      </w:pPr>
      <w:bookmarkStart w:id="766" w:name="_Toc179632728"/>
      <w:bookmarkStart w:id="767" w:name="_Toc21133"/>
      <w:bookmarkStart w:id="768" w:name="_Toc144974679"/>
      <w:bookmarkStart w:id="769" w:name="_Toc152045710"/>
      <w:bookmarkStart w:id="770" w:name="_Toc152042488"/>
      <w:r>
        <w:rPr>
          <w:rFonts w:hint="eastAsia"/>
          <w:color w:val="auto"/>
          <w:highlight w:val="none"/>
        </w:rPr>
        <w:t>15.4 变更的估价原则</w:t>
      </w:r>
      <w:bookmarkEnd w:id="766"/>
      <w:bookmarkEnd w:id="767"/>
      <w:bookmarkEnd w:id="768"/>
      <w:bookmarkEnd w:id="769"/>
      <w:bookmarkEnd w:id="770"/>
    </w:p>
    <w:p w14:paraId="28C59EC7">
      <w:pPr>
        <w:spacing w:line="400" w:lineRule="exact"/>
        <w:ind w:firstLine="420" w:firstLineChars="200"/>
        <w:rPr>
          <w:color w:val="auto"/>
          <w:highlight w:val="none"/>
        </w:rPr>
      </w:pPr>
      <w:r>
        <w:rPr>
          <w:rFonts w:hint="eastAsia"/>
          <w:color w:val="auto"/>
          <w:highlight w:val="none"/>
        </w:rPr>
        <w:t>除专用合同条款另有约定外，因变更引起的价格调整按照本款约定处理。</w:t>
      </w:r>
    </w:p>
    <w:p w14:paraId="705DE3FA">
      <w:pPr>
        <w:spacing w:line="400" w:lineRule="exact"/>
        <w:ind w:firstLine="420" w:firstLineChars="200"/>
        <w:rPr>
          <w:color w:val="auto"/>
          <w:highlight w:val="none"/>
        </w:rPr>
      </w:pPr>
      <w:r>
        <w:rPr>
          <w:rFonts w:hint="eastAsia"/>
          <w:color w:val="auto"/>
          <w:highlight w:val="none"/>
        </w:rPr>
        <w:t>15.4.1 已标价工程量清单中有适用于变更工作的子目的，采用该子目的单价。</w:t>
      </w:r>
    </w:p>
    <w:p w14:paraId="19385CFD">
      <w:pPr>
        <w:spacing w:line="400" w:lineRule="exact"/>
        <w:ind w:firstLine="420" w:firstLineChars="200"/>
        <w:rPr>
          <w:color w:val="auto"/>
          <w:highlight w:val="none"/>
        </w:rPr>
      </w:pPr>
      <w:r>
        <w:rPr>
          <w:rFonts w:hint="eastAsia"/>
          <w:color w:val="auto"/>
          <w:highlight w:val="none"/>
        </w:rPr>
        <w:t>15.4.2 已标价工程量清单中无适用于变更工作的子目，但有类似子目的，可在合理范围内参照类似子目的单价，由监理人按第3.5款商定或确定变更工作的单价。</w:t>
      </w:r>
    </w:p>
    <w:p w14:paraId="183C9EE2">
      <w:pPr>
        <w:spacing w:line="400" w:lineRule="exact"/>
        <w:ind w:firstLine="420" w:firstLineChars="200"/>
        <w:rPr>
          <w:color w:val="auto"/>
          <w:highlight w:val="none"/>
        </w:rPr>
      </w:pPr>
      <w:r>
        <w:rPr>
          <w:rFonts w:hint="eastAsia"/>
          <w:color w:val="auto"/>
          <w:highlight w:val="none"/>
        </w:rPr>
        <w:t>15.4.3 已标价工程量清单中无适用或类似子目的单价，可按照成本加利润的原则，由监理人按第3.5款商定或确定变更工作的单价。</w:t>
      </w:r>
    </w:p>
    <w:p w14:paraId="19BB3272">
      <w:pPr>
        <w:pStyle w:val="45"/>
        <w:rPr>
          <w:color w:val="auto"/>
          <w:highlight w:val="none"/>
        </w:rPr>
      </w:pPr>
      <w:bookmarkStart w:id="771" w:name="_Toc28446"/>
      <w:bookmarkStart w:id="772" w:name="_Toc152042489"/>
      <w:bookmarkStart w:id="773" w:name="_Toc144974680"/>
      <w:bookmarkStart w:id="774" w:name="_Toc152045711"/>
      <w:bookmarkStart w:id="775" w:name="_Toc179632729"/>
      <w:r>
        <w:rPr>
          <w:rFonts w:hint="eastAsia"/>
          <w:color w:val="auto"/>
          <w:highlight w:val="none"/>
        </w:rPr>
        <w:t>15.5 承包人的合理化建议</w:t>
      </w:r>
      <w:bookmarkEnd w:id="771"/>
      <w:bookmarkEnd w:id="772"/>
      <w:bookmarkEnd w:id="773"/>
      <w:bookmarkEnd w:id="774"/>
      <w:bookmarkEnd w:id="775"/>
    </w:p>
    <w:p w14:paraId="006B4F0B">
      <w:pPr>
        <w:spacing w:line="400" w:lineRule="exact"/>
        <w:ind w:firstLine="420" w:firstLineChars="200"/>
        <w:rPr>
          <w:color w:val="auto"/>
          <w:highlight w:val="none"/>
        </w:rPr>
      </w:pPr>
      <w:r>
        <w:rPr>
          <w:rFonts w:hint="eastAsia"/>
          <w:color w:val="auto"/>
          <w:highlight w:val="none"/>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14:paraId="3D9D63B0">
      <w:pPr>
        <w:spacing w:line="400" w:lineRule="exact"/>
        <w:ind w:firstLine="420" w:firstLineChars="200"/>
        <w:rPr>
          <w:color w:val="auto"/>
          <w:highlight w:val="none"/>
        </w:rPr>
      </w:pPr>
      <w:r>
        <w:rPr>
          <w:rFonts w:hint="eastAsia"/>
          <w:color w:val="auto"/>
          <w:highlight w:val="none"/>
        </w:rPr>
        <w:t>15.5.2 承包人提出的合理化建议降低了合同价格、缩短了工期或者提高了工程经济效益的，发包人可按国家有关规定在专用合同条款中约定给予奖励。</w:t>
      </w:r>
    </w:p>
    <w:p w14:paraId="05EA9A69">
      <w:pPr>
        <w:pStyle w:val="45"/>
        <w:rPr>
          <w:color w:val="auto"/>
          <w:highlight w:val="none"/>
        </w:rPr>
      </w:pPr>
      <w:bookmarkStart w:id="776" w:name="_Toc152042490"/>
      <w:bookmarkStart w:id="777" w:name="_Toc22923"/>
      <w:bookmarkStart w:id="778" w:name="_Toc179632730"/>
      <w:bookmarkStart w:id="779" w:name="_Toc144974681"/>
      <w:bookmarkStart w:id="780" w:name="_Toc152045712"/>
      <w:r>
        <w:rPr>
          <w:rFonts w:hint="eastAsia"/>
          <w:color w:val="auto"/>
          <w:highlight w:val="none"/>
        </w:rPr>
        <w:t>15.6 暂列金额</w:t>
      </w:r>
      <w:bookmarkEnd w:id="776"/>
      <w:bookmarkEnd w:id="777"/>
      <w:bookmarkEnd w:id="778"/>
      <w:bookmarkEnd w:id="779"/>
      <w:bookmarkEnd w:id="780"/>
    </w:p>
    <w:p w14:paraId="26A0100A">
      <w:pPr>
        <w:spacing w:line="400" w:lineRule="exact"/>
        <w:ind w:firstLine="420" w:firstLineChars="200"/>
        <w:rPr>
          <w:color w:val="auto"/>
          <w:highlight w:val="none"/>
        </w:rPr>
      </w:pPr>
      <w:r>
        <w:rPr>
          <w:rFonts w:hint="eastAsia"/>
          <w:color w:val="auto"/>
          <w:highlight w:val="none"/>
        </w:rPr>
        <w:t>暂列金额只能按照监理人的指示使用，并对合同价格进行相应调整。</w:t>
      </w:r>
    </w:p>
    <w:p w14:paraId="7CA8055E">
      <w:pPr>
        <w:pStyle w:val="45"/>
        <w:rPr>
          <w:color w:val="auto"/>
          <w:highlight w:val="none"/>
        </w:rPr>
      </w:pPr>
      <w:bookmarkStart w:id="781" w:name="_Toc152045713"/>
      <w:bookmarkStart w:id="782" w:name="_Toc4950"/>
      <w:bookmarkStart w:id="783" w:name="_Toc144974682"/>
      <w:bookmarkStart w:id="784" w:name="_Toc152042491"/>
      <w:bookmarkStart w:id="785" w:name="_Toc179632731"/>
      <w:r>
        <w:rPr>
          <w:rFonts w:hint="eastAsia"/>
          <w:color w:val="auto"/>
          <w:highlight w:val="none"/>
        </w:rPr>
        <w:t>15.7 计日工</w:t>
      </w:r>
      <w:bookmarkEnd w:id="781"/>
      <w:bookmarkEnd w:id="782"/>
      <w:bookmarkEnd w:id="783"/>
      <w:bookmarkEnd w:id="784"/>
      <w:bookmarkEnd w:id="785"/>
    </w:p>
    <w:p w14:paraId="77505A71">
      <w:pPr>
        <w:spacing w:line="400" w:lineRule="exact"/>
        <w:ind w:firstLine="420" w:firstLineChars="200"/>
        <w:rPr>
          <w:color w:val="auto"/>
          <w:highlight w:val="none"/>
          <w:shd w:val="pct10" w:color="auto" w:fill="FFFFFF"/>
        </w:rPr>
      </w:pPr>
      <w:r>
        <w:rPr>
          <w:rFonts w:hint="eastAsia"/>
          <w:color w:val="auto"/>
          <w:highlight w:val="none"/>
        </w:rPr>
        <w:t>15.7.1 发包人认为有必要时，</w:t>
      </w:r>
      <w:r>
        <w:rPr>
          <w:rFonts w:hint="eastAsia"/>
          <w:color w:val="auto"/>
          <w:szCs w:val="21"/>
          <w:highlight w:val="none"/>
        </w:rPr>
        <w:t>由</w:t>
      </w:r>
      <w:r>
        <w:rPr>
          <w:rFonts w:hint="eastAsia"/>
          <w:color w:val="auto"/>
          <w:highlight w:val="none"/>
        </w:rPr>
        <w:t>监理人通知承包人以计日工方式实施变更的零星工作。其价款按列入已标价工程量清单中的计日工计价子目及其单价进行计算。</w:t>
      </w:r>
    </w:p>
    <w:p w14:paraId="0681D836">
      <w:pPr>
        <w:spacing w:line="400" w:lineRule="exact"/>
        <w:ind w:firstLine="420" w:firstLineChars="200"/>
        <w:rPr>
          <w:color w:val="auto"/>
          <w:highlight w:val="none"/>
        </w:rPr>
      </w:pPr>
      <w:r>
        <w:rPr>
          <w:rFonts w:hint="eastAsia"/>
          <w:color w:val="auto"/>
          <w:highlight w:val="none"/>
        </w:rPr>
        <w:t>15.7.2 采用计日工计价的任何一项变更工作，应从暂列金额中支付，承包人应在该项变更的实施过程中，每天提交以下报表和有关凭证报送监理人审批：</w:t>
      </w:r>
    </w:p>
    <w:p w14:paraId="67395B18">
      <w:pPr>
        <w:spacing w:line="400" w:lineRule="exact"/>
        <w:ind w:firstLine="718" w:firstLineChars="342"/>
        <w:rPr>
          <w:color w:val="auto"/>
          <w:highlight w:val="none"/>
        </w:rPr>
      </w:pPr>
      <w:r>
        <w:rPr>
          <w:rFonts w:hint="eastAsia"/>
          <w:color w:val="auto"/>
          <w:highlight w:val="none"/>
        </w:rPr>
        <w:t>（1）工作名称、内容和数量；</w:t>
      </w:r>
    </w:p>
    <w:p w14:paraId="2BC79F16">
      <w:pPr>
        <w:spacing w:line="400" w:lineRule="exact"/>
        <w:ind w:firstLine="718" w:firstLineChars="342"/>
        <w:rPr>
          <w:color w:val="auto"/>
          <w:highlight w:val="none"/>
        </w:rPr>
      </w:pPr>
      <w:r>
        <w:rPr>
          <w:rFonts w:hint="eastAsia"/>
          <w:color w:val="auto"/>
          <w:highlight w:val="none"/>
        </w:rPr>
        <w:t>（2）投入该工作所有人员的姓名、工种、级别和耗用工时；</w:t>
      </w:r>
    </w:p>
    <w:p w14:paraId="1A5A8D7D">
      <w:pPr>
        <w:spacing w:line="400" w:lineRule="exact"/>
        <w:ind w:firstLine="718" w:firstLineChars="342"/>
        <w:rPr>
          <w:color w:val="auto"/>
          <w:highlight w:val="none"/>
        </w:rPr>
      </w:pPr>
      <w:r>
        <w:rPr>
          <w:rFonts w:hint="eastAsia"/>
          <w:color w:val="auto"/>
          <w:highlight w:val="none"/>
        </w:rPr>
        <w:t>（3）投入该工作的材料类别和数量；</w:t>
      </w:r>
    </w:p>
    <w:p w14:paraId="02589F5B">
      <w:pPr>
        <w:spacing w:line="400" w:lineRule="exact"/>
        <w:ind w:firstLine="718" w:firstLineChars="342"/>
        <w:rPr>
          <w:color w:val="auto"/>
          <w:highlight w:val="none"/>
        </w:rPr>
      </w:pPr>
      <w:r>
        <w:rPr>
          <w:rFonts w:hint="eastAsia"/>
          <w:color w:val="auto"/>
          <w:highlight w:val="none"/>
        </w:rPr>
        <w:t>（4）投入该工作的施工设备型号、台数和耗用台时；</w:t>
      </w:r>
    </w:p>
    <w:p w14:paraId="19DFA50C">
      <w:pPr>
        <w:spacing w:line="400" w:lineRule="exact"/>
        <w:ind w:firstLine="718" w:firstLineChars="342"/>
        <w:rPr>
          <w:color w:val="auto"/>
          <w:highlight w:val="none"/>
        </w:rPr>
      </w:pPr>
      <w:r>
        <w:rPr>
          <w:rFonts w:hint="eastAsia"/>
          <w:color w:val="auto"/>
          <w:highlight w:val="none"/>
        </w:rPr>
        <w:t>（5）监理人要求提交的其他资料和凭证。</w:t>
      </w:r>
    </w:p>
    <w:p w14:paraId="103E0CAE">
      <w:pPr>
        <w:spacing w:line="400" w:lineRule="exact"/>
        <w:ind w:firstLine="420" w:firstLineChars="200"/>
        <w:rPr>
          <w:color w:val="auto"/>
          <w:highlight w:val="none"/>
        </w:rPr>
      </w:pPr>
      <w:r>
        <w:rPr>
          <w:rFonts w:hint="eastAsia"/>
          <w:color w:val="auto"/>
          <w:highlight w:val="none"/>
        </w:rPr>
        <w:t>15.7.3 计日工由承包人汇总后，按第17.3.2项的约定列入进度付款申请单，由监理人复核并经发包人同意后列入进度付款。</w:t>
      </w:r>
    </w:p>
    <w:p w14:paraId="75F469DE">
      <w:pPr>
        <w:pStyle w:val="45"/>
        <w:rPr>
          <w:color w:val="auto"/>
          <w:highlight w:val="none"/>
        </w:rPr>
      </w:pPr>
      <w:bookmarkStart w:id="786" w:name="_Toc179632732"/>
      <w:bookmarkStart w:id="787" w:name="_Toc3698"/>
      <w:bookmarkStart w:id="788" w:name="_Toc152045714"/>
      <w:bookmarkStart w:id="789" w:name="_Toc152042492"/>
      <w:bookmarkStart w:id="790" w:name="_Toc144974683"/>
      <w:r>
        <w:rPr>
          <w:rFonts w:hint="eastAsia"/>
          <w:color w:val="auto"/>
          <w:highlight w:val="none"/>
        </w:rPr>
        <w:t>15.8 暂估价</w:t>
      </w:r>
      <w:bookmarkEnd w:id="786"/>
      <w:bookmarkEnd w:id="787"/>
      <w:bookmarkEnd w:id="788"/>
      <w:bookmarkEnd w:id="789"/>
      <w:bookmarkEnd w:id="790"/>
    </w:p>
    <w:p w14:paraId="7F6B1E49">
      <w:pPr>
        <w:spacing w:line="400" w:lineRule="exact"/>
        <w:rPr>
          <w:color w:val="auto"/>
          <w:highlight w:val="none"/>
        </w:rPr>
      </w:pPr>
      <w:r>
        <w:rPr>
          <w:rFonts w:hint="eastAsia"/>
          <w:color w:val="auto"/>
          <w:highlight w:val="none"/>
        </w:rPr>
        <w:t xml:space="preserve">    15.8.1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14:paraId="7E33B865">
      <w:pPr>
        <w:spacing w:line="400" w:lineRule="exact"/>
        <w:ind w:firstLine="420" w:firstLineChars="200"/>
        <w:rPr>
          <w:color w:val="auto"/>
          <w:highlight w:val="none"/>
        </w:rPr>
      </w:pPr>
      <w:r>
        <w:rPr>
          <w:rFonts w:hint="eastAsia"/>
          <w:color w:val="auto"/>
          <w:highlight w:val="none"/>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0E9E2ACA">
      <w:pPr>
        <w:spacing w:line="400" w:lineRule="exact"/>
        <w:ind w:firstLine="420" w:firstLineChars="200"/>
        <w:rPr>
          <w:color w:val="auto"/>
          <w:highlight w:val="none"/>
        </w:rPr>
      </w:pPr>
      <w:r>
        <w:rPr>
          <w:rFonts w:hint="eastAsia"/>
          <w:color w:val="auto"/>
          <w:highlight w:val="none"/>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14:paraId="6B4A61F2">
      <w:pPr>
        <w:pStyle w:val="44"/>
        <w:rPr>
          <w:color w:val="auto"/>
          <w:highlight w:val="none"/>
        </w:rPr>
      </w:pPr>
      <w:bookmarkStart w:id="791" w:name="_Toc144974684"/>
      <w:bookmarkStart w:id="792" w:name="_Toc10391"/>
      <w:bookmarkStart w:id="793" w:name="_Toc152045715"/>
      <w:bookmarkStart w:id="794" w:name="_Toc32425"/>
      <w:bookmarkStart w:id="795" w:name="_Toc179632733"/>
      <w:bookmarkStart w:id="796" w:name="_Toc5178"/>
      <w:bookmarkStart w:id="797" w:name="_Toc152042493"/>
      <w:r>
        <w:rPr>
          <w:rFonts w:hint="eastAsia"/>
          <w:color w:val="auto"/>
          <w:highlight w:val="none"/>
        </w:rPr>
        <w:t>16. 价格调整</w:t>
      </w:r>
      <w:bookmarkEnd w:id="791"/>
      <w:bookmarkEnd w:id="792"/>
      <w:bookmarkEnd w:id="793"/>
      <w:bookmarkEnd w:id="794"/>
      <w:bookmarkEnd w:id="795"/>
      <w:bookmarkEnd w:id="796"/>
      <w:bookmarkEnd w:id="797"/>
    </w:p>
    <w:p w14:paraId="230269FE">
      <w:pPr>
        <w:pStyle w:val="45"/>
        <w:rPr>
          <w:color w:val="auto"/>
          <w:highlight w:val="none"/>
        </w:rPr>
      </w:pPr>
      <w:bookmarkStart w:id="798" w:name="_Toc144974685"/>
      <w:bookmarkStart w:id="799" w:name="_Toc152042494"/>
      <w:bookmarkStart w:id="800" w:name="_Toc26857"/>
      <w:bookmarkStart w:id="801" w:name="_Toc179632734"/>
      <w:bookmarkStart w:id="802" w:name="_Toc152045716"/>
      <w:r>
        <w:rPr>
          <w:rFonts w:hint="eastAsia"/>
          <w:color w:val="auto"/>
          <w:highlight w:val="none"/>
        </w:rPr>
        <w:t>16.1 物价波动引起的价格调整</w:t>
      </w:r>
      <w:bookmarkEnd w:id="798"/>
      <w:bookmarkEnd w:id="799"/>
      <w:bookmarkEnd w:id="800"/>
      <w:bookmarkEnd w:id="801"/>
      <w:bookmarkEnd w:id="802"/>
    </w:p>
    <w:p w14:paraId="450EC840">
      <w:pPr>
        <w:spacing w:line="400" w:lineRule="exact"/>
        <w:ind w:firstLine="420" w:firstLineChars="200"/>
        <w:rPr>
          <w:color w:val="auto"/>
          <w:highlight w:val="none"/>
        </w:rPr>
      </w:pPr>
      <w:r>
        <w:rPr>
          <w:rFonts w:hint="eastAsia"/>
          <w:color w:val="auto"/>
          <w:highlight w:val="none"/>
        </w:rPr>
        <w:t>除专用合同条款另有约定外，因物价波动引起的价格调整按照本款约定处理。</w:t>
      </w:r>
    </w:p>
    <w:p w14:paraId="3FF62705">
      <w:pPr>
        <w:spacing w:line="400" w:lineRule="exact"/>
        <w:ind w:firstLine="420" w:firstLineChars="200"/>
        <w:rPr>
          <w:color w:val="auto"/>
          <w:highlight w:val="none"/>
        </w:rPr>
      </w:pPr>
      <w:r>
        <w:rPr>
          <w:rFonts w:hint="eastAsia"/>
          <w:color w:val="auto"/>
          <w:highlight w:val="none"/>
        </w:rPr>
        <w:t xml:space="preserve">16.1.1 </w:t>
      </w:r>
      <w:r>
        <w:rPr>
          <w:rFonts w:hint="eastAsia" w:ascii="黑体" w:eastAsia="黑体"/>
          <w:color w:val="auto"/>
          <w:highlight w:val="none"/>
        </w:rPr>
        <w:t>采用价格指数调整价格差额</w:t>
      </w:r>
    </w:p>
    <w:p w14:paraId="3FAAD05A">
      <w:pPr>
        <w:spacing w:line="400" w:lineRule="exact"/>
        <w:ind w:firstLine="420" w:firstLineChars="200"/>
        <w:rPr>
          <w:color w:val="auto"/>
          <w:highlight w:val="none"/>
        </w:rPr>
      </w:pPr>
      <w:r>
        <w:rPr>
          <w:rFonts w:hint="eastAsia"/>
          <w:color w:val="auto"/>
          <w:highlight w:val="none"/>
        </w:rPr>
        <w:t>16.1.1.1 价格调整公式</w:t>
      </w:r>
    </w:p>
    <w:p w14:paraId="28304D0C">
      <w:pPr>
        <w:spacing w:line="400" w:lineRule="exact"/>
        <w:ind w:firstLine="420" w:firstLineChars="200"/>
        <w:rPr>
          <w:color w:val="auto"/>
          <w:highlight w:val="none"/>
        </w:rPr>
      </w:pPr>
      <w:r>
        <w:rPr>
          <w:rFonts w:hint="eastAsia"/>
          <w:color w:val="auto"/>
          <w:highlight w:val="none"/>
        </w:rPr>
        <w:t>因人工、材料和设备等价格波动影响合同价格时，根据投标函附录中的价格指数和权重表约定的数据，按以下公式计算差额并调整合同价格。</w:t>
      </w:r>
    </w:p>
    <w:p w14:paraId="64182206">
      <w:pPr>
        <w:autoSpaceDE w:val="0"/>
        <w:autoSpaceDN w:val="0"/>
        <w:adjustRightInd w:val="0"/>
        <w:spacing w:line="1200" w:lineRule="exact"/>
        <w:ind w:right="248" w:firstLine="756" w:firstLineChars="398"/>
        <w:rPr>
          <w:color w:val="auto"/>
          <w:highlight w:val="none"/>
        </w:rPr>
      </w:pPr>
      <w:r>
        <w:rPr>
          <w:rFonts w:hint="eastAsia"/>
          <w:b/>
          <w:bCs/>
          <w:color w:val="auto"/>
          <w:kern w:val="0"/>
          <w:sz w:val="19"/>
          <w:szCs w:val="19"/>
          <w:highlight w:val="none"/>
          <w:lang w:val="zh-CN"/>
        </w:rPr>
        <w:t xml:space="preserve">        </w:t>
      </w:r>
      <w:r>
        <w:rPr>
          <w:color w:val="auto"/>
          <w:position w:val="-34"/>
          <w:highlight w:val="none"/>
        </w:rPr>
        <w:object>
          <v:shape id="_x0000_i1025" o:spt="75" type="#_x0000_t75" style="height:40pt;width:306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p>
    <w:p w14:paraId="6587E3BE">
      <w:pPr>
        <w:tabs>
          <w:tab w:val="left" w:pos="1260"/>
        </w:tabs>
        <w:spacing w:line="400" w:lineRule="exact"/>
        <w:ind w:firstLine="420" w:firstLineChars="200"/>
        <w:rPr>
          <w:color w:val="auto"/>
          <w:highlight w:val="none"/>
        </w:rPr>
      </w:pPr>
      <w:r>
        <w:rPr>
          <w:rFonts w:hint="eastAsia"/>
          <w:color w:val="auto"/>
          <w:highlight w:val="none"/>
        </w:rPr>
        <w:t xml:space="preserve"> </w:t>
      </w:r>
    </w:p>
    <w:p w14:paraId="5516E5AF">
      <w:pPr>
        <w:tabs>
          <w:tab w:val="left" w:pos="1260"/>
        </w:tabs>
        <w:spacing w:line="400" w:lineRule="exact"/>
        <w:ind w:firstLine="420" w:firstLineChars="200"/>
        <w:rPr>
          <w:color w:val="auto"/>
          <w:highlight w:val="none"/>
        </w:rPr>
      </w:pPr>
      <w:r>
        <w:rPr>
          <w:rFonts w:hint="eastAsia"/>
          <w:color w:val="auto"/>
          <w:highlight w:val="none"/>
        </w:rPr>
        <w:t>式中： △P -- 需调整的价格差额；</w:t>
      </w:r>
    </w:p>
    <w:p w14:paraId="7AF21F91">
      <w:pPr>
        <w:tabs>
          <w:tab w:val="left" w:pos="1260"/>
        </w:tabs>
        <w:spacing w:line="400" w:lineRule="exact"/>
        <w:rPr>
          <w:color w:val="auto"/>
          <w:highlight w:val="none"/>
        </w:rPr>
      </w:pPr>
      <w:r>
        <w:rPr>
          <w:rFonts w:hint="eastAsia"/>
          <w:color w:val="auto"/>
          <w:highlight w:val="none"/>
        </w:rPr>
        <w:tab/>
      </w:r>
      <w:r>
        <w:rPr>
          <w:rFonts w:hint="eastAsia"/>
          <w:color w:val="auto"/>
          <w:highlight w:val="none"/>
        </w:rPr>
        <w:t>P</w:t>
      </w:r>
      <w:r>
        <w:rPr>
          <w:rFonts w:hint="eastAsia"/>
          <w:color w:val="auto"/>
          <w:szCs w:val="21"/>
          <w:highlight w:val="none"/>
          <w:vertAlign w:val="subscript"/>
        </w:rPr>
        <w:t>0</w:t>
      </w:r>
      <w:r>
        <w:rPr>
          <w:rFonts w:hint="eastAsia"/>
          <w:color w:val="auto"/>
          <w:highlight w:val="none"/>
        </w:rPr>
        <w:t xml:space="preserve">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14:paraId="3161C8B6">
      <w:pPr>
        <w:tabs>
          <w:tab w:val="left" w:pos="1260"/>
        </w:tabs>
        <w:spacing w:line="400" w:lineRule="exact"/>
        <w:rPr>
          <w:color w:val="auto"/>
          <w:highlight w:val="none"/>
        </w:rPr>
      </w:pPr>
      <w:r>
        <w:rPr>
          <w:rFonts w:hint="eastAsia"/>
          <w:color w:val="auto"/>
          <w:highlight w:val="none"/>
        </w:rPr>
        <w:tab/>
      </w:r>
      <w:bookmarkStart w:id="803" w:name="_Toc144974686"/>
      <w:bookmarkStart w:id="804" w:name="_Toc152042495"/>
      <w:r>
        <w:rPr>
          <w:rFonts w:hint="eastAsia"/>
          <w:color w:val="auto"/>
          <w:highlight w:val="none"/>
        </w:rPr>
        <w:t>A -- 定值权重</w:t>
      </w:r>
      <w:r>
        <w:rPr>
          <w:rFonts w:hint="eastAsia"/>
          <w:color w:val="auto"/>
          <w:highlight w:val="none"/>
          <w:lang w:eastAsia="zh-CN"/>
        </w:rPr>
        <w:t>（</w:t>
      </w:r>
      <w:r>
        <w:rPr>
          <w:rFonts w:hint="eastAsia"/>
          <w:color w:val="auto"/>
          <w:highlight w:val="none"/>
        </w:rPr>
        <w:t>即不调部分的权重</w:t>
      </w:r>
      <w:r>
        <w:rPr>
          <w:rFonts w:hint="eastAsia"/>
          <w:color w:val="auto"/>
          <w:highlight w:val="none"/>
          <w:lang w:eastAsia="zh-CN"/>
        </w:rPr>
        <w:t>）</w:t>
      </w:r>
      <w:r>
        <w:rPr>
          <w:rFonts w:hint="eastAsia"/>
          <w:color w:val="auto"/>
          <w:highlight w:val="none"/>
        </w:rPr>
        <w:t>；</w:t>
      </w:r>
      <w:bookmarkEnd w:id="803"/>
      <w:bookmarkEnd w:id="804"/>
    </w:p>
    <w:p w14:paraId="37350029">
      <w:pPr>
        <w:tabs>
          <w:tab w:val="left" w:pos="1260"/>
        </w:tabs>
        <w:spacing w:line="400" w:lineRule="exact"/>
        <w:rPr>
          <w:color w:val="auto"/>
          <w:highlight w:val="none"/>
        </w:rPr>
      </w:pPr>
      <w:r>
        <w:rPr>
          <w:rFonts w:hint="eastAsia"/>
          <w:color w:val="auto"/>
          <w:highlight w:val="none"/>
        </w:rPr>
        <w:tab/>
      </w:r>
      <w:r>
        <w:rPr>
          <w:rFonts w:hint="eastAsia"/>
          <w:color w:val="auto"/>
          <w:highlight w:val="none"/>
        </w:rPr>
        <w:t>B</w:t>
      </w:r>
      <w:r>
        <w:rPr>
          <w:rFonts w:hint="eastAsia"/>
          <w:color w:val="auto"/>
          <w:szCs w:val="21"/>
          <w:highlight w:val="none"/>
          <w:vertAlign w:val="subscript"/>
        </w:rPr>
        <w:t>1</w:t>
      </w:r>
      <w:r>
        <w:rPr>
          <w:rFonts w:hint="eastAsia"/>
          <w:color w:val="auto"/>
          <w:sz w:val="15"/>
          <w:szCs w:val="15"/>
          <w:highlight w:val="none"/>
        </w:rPr>
        <w:t>;</w:t>
      </w:r>
      <w:r>
        <w:rPr>
          <w:rFonts w:hint="eastAsia"/>
          <w:color w:val="auto"/>
          <w:highlight w:val="none"/>
        </w:rPr>
        <w:t xml:space="preserve"> B</w:t>
      </w:r>
      <w:r>
        <w:rPr>
          <w:rFonts w:hint="eastAsia"/>
          <w:color w:val="auto"/>
          <w:szCs w:val="21"/>
          <w:highlight w:val="none"/>
          <w:vertAlign w:val="subscript"/>
        </w:rPr>
        <w:t>2</w:t>
      </w:r>
      <w:r>
        <w:rPr>
          <w:rFonts w:hint="eastAsia"/>
          <w:color w:val="auto"/>
          <w:highlight w:val="none"/>
        </w:rPr>
        <w:t xml:space="preserve"> ;B</w:t>
      </w:r>
      <w:r>
        <w:rPr>
          <w:rFonts w:hint="eastAsia"/>
          <w:color w:val="auto"/>
          <w:szCs w:val="21"/>
          <w:highlight w:val="none"/>
          <w:vertAlign w:val="subscript"/>
        </w:rPr>
        <w:t>3</w:t>
      </w:r>
      <w:r>
        <w:rPr>
          <w:rFonts w:hint="eastAsia" w:ascii="宋体" w:hAnsi="宋体"/>
          <w:color w:val="auto"/>
          <w:sz w:val="15"/>
          <w:szCs w:val="15"/>
          <w:highlight w:val="none"/>
        </w:rPr>
        <w:t>·····</w:t>
      </w:r>
      <w:r>
        <w:rPr>
          <w:rFonts w:hint="eastAsia"/>
          <w:color w:val="auto"/>
          <w:highlight w:val="none"/>
        </w:rPr>
        <w:t>B</w:t>
      </w:r>
      <w:r>
        <w:rPr>
          <w:rFonts w:hint="eastAsia"/>
          <w:color w:val="auto"/>
          <w:szCs w:val="21"/>
          <w:highlight w:val="none"/>
          <w:vertAlign w:val="subscript"/>
        </w:rPr>
        <w:t>n</w:t>
      </w:r>
      <w:r>
        <w:rPr>
          <w:rFonts w:hint="eastAsia"/>
          <w:color w:val="auto"/>
          <w:highlight w:val="none"/>
        </w:rPr>
        <w:t xml:space="preserve"> -- 各可调因子的变值权重</w:t>
      </w:r>
      <w:r>
        <w:rPr>
          <w:rFonts w:hint="eastAsia"/>
          <w:color w:val="auto"/>
          <w:highlight w:val="none"/>
          <w:lang w:eastAsia="zh-CN"/>
        </w:rPr>
        <w:t>（</w:t>
      </w:r>
      <w:r>
        <w:rPr>
          <w:rFonts w:hint="eastAsia"/>
          <w:color w:val="auto"/>
          <w:highlight w:val="none"/>
        </w:rPr>
        <w:t>即可调部分的权重</w:t>
      </w:r>
      <w:r>
        <w:rPr>
          <w:rFonts w:hint="eastAsia"/>
          <w:color w:val="auto"/>
          <w:highlight w:val="none"/>
          <w:lang w:eastAsia="zh-CN"/>
        </w:rPr>
        <w:t>）</w:t>
      </w:r>
      <w:r>
        <w:rPr>
          <w:rFonts w:hint="eastAsia"/>
          <w:color w:val="auto"/>
          <w:highlight w:val="none"/>
        </w:rPr>
        <w:t>为各可调因子在投标函投标总报价中所占的比例；</w:t>
      </w:r>
    </w:p>
    <w:p w14:paraId="60258BC5">
      <w:pPr>
        <w:tabs>
          <w:tab w:val="left" w:pos="1260"/>
        </w:tabs>
        <w:spacing w:line="400" w:lineRule="exact"/>
        <w:rPr>
          <w:color w:val="auto"/>
          <w:highlight w:val="none"/>
        </w:rPr>
      </w:pPr>
      <w:r>
        <w:rPr>
          <w:rFonts w:hint="eastAsia"/>
          <w:color w:val="auto"/>
          <w:highlight w:val="none"/>
        </w:rPr>
        <w:tab/>
      </w:r>
      <w:r>
        <w:rPr>
          <w:rFonts w:hint="eastAsia"/>
          <w:color w:val="auto"/>
          <w:highlight w:val="none"/>
        </w:rPr>
        <w:t>F</w:t>
      </w:r>
      <w:r>
        <w:rPr>
          <w:rFonts w:hint="eastAsia"/>
          <w:color w:val="auto"/>
          <w:szCs w:val="21"/>
          <w:highlight w:val="none"/>
          <w:vertAlign w:val="subscript"/>
        </w:rPr>
        <w:t>t1</w:t>
      </w:r>
      <w:r>
        <w:rPr>
          <w:rFonts w:hint="eastAsia"/>
          <w:color w:val="auto"/>
          <w:highlight w:val="none"/>
        </w:rPr>
        <w:t xml:space="preserve"> ;F</w:t>
      </w:r>
      <w:r>
        <w:rPr>
          <w:rFonts w:hint="eastAsia"/>
          <w:color w:val="auto"/>
          <w:szCs w:val="21"/>
          <w:highlight w:val="none"/>
          <w:vertAlign w:val="subscript"/>
        </w:rPr>
        <w:t>t2</w:t>
      </w:r>
      <w:r>
        <w:rPr>
          <w:rFonts w:hint="eastAsia"/>
          <w:color w:val="auto"/>
          <w:highlight w:val="none"/>
        </w:rPr>
        <w:t xml:space="preserve"> ;F</w:t>
      </w:r>
      <w:r>
        <w:rPr>
          <w:rFonts w:hint="eastAsia"/>
          <w:color w:val="auto"/>
          <w:szCs w:val="21"/>
          <w:highlight w:val="none"/>
          <w:vertAlign w:val="subscript"/>
        </w:rPr>
        <w:t>t3</w:t>
      </w:r>
      <w:r>
        <w:rPr>
          <w:rFonts w:hint="eastAsia" w:ascii="宋体" w:hAnsi="宋体"/>
          <w:color w:val="auto"/>
          <w:sz w:val="15"/>
          <w:szCs w:val="15"/>
          <w:highlight w:val="none"/>
        </w:rPr>
        <w:t>·····</w:t>
      </w:r>
      <w:r>
        <w:rPr>
          <w:rFonts w:hint="eastAsia"/>
          <w:color w:val="auto"/>
          <w:highlight w:val="none"/>
        </w:rPr>
        <w:t>F</w:t>
      </w:r>
      <w:r>
        <w:rPr>
          <w:rFonts w:hint="eastAsia"/>
          <w:color w:val="auto"/>
          <w:szCs w:val="21"/>
          <w:highlight w:val="none"/>
          <w:vertAlign w:val="subscript"/>
        </w:rPr>
        <w:t>tn</w:t>
      </w:r>
      <w:r>
        <w:rPr>
          <w:rFonts w:hint="eastAsia"/>
          <w:color w:val="auto"/>
          <w:highlight w:val="none"/>
        </w:rPr>
        <w:t xml:space="preserve"> -- 各可调因子的现行价格指数，指第17.3.3项、第17.5.2项和第17.6.2项约定的付款证书相关周期最后一天的前42天的各可调因子的价格指数；</w:t>
      </w:r>
    </w:p>
    <w:p w14:paraId="6B7DADD3">
      <w:pPr>
        <w:tabs>
          <w:tab w:val="left" w:pos="1260"/>
        </w:tabs>
        <w:spacing w:line="400" w:lineRule="exact"/>
        <w:rPr>
          <w:color w:val="auto"/>
          <w:highlight w:val="none"/>
        </w:rPr>
      </w:pPr>
      <w:r>
        <w:rPr>
          <w:rFonts w:hint="eastAsia"/>
          <w:color w:val="auto"/>
          <w:highlight w:val="none"/>
        </w:rPr>
        <w:tab/>
      </w:r>
      <w:r>
        <w:rPr>
          <w:rFonts w:hint="eastAsia"/>
          <w:color w:val="auto"/>
          <w:highlight w:val="none"/>
        </w:rPr>
        <w:t>F</w:t>
      </w:r>
      <w:r>
        <w:rPr>
          <w:rFonts w:hint="eastAsia"/>
          <w:color w:val="auto"/>
          <w:szCs w:val="21"/>
          <w:highlight w:val="none"/>
          <w:vertAlign w:val="subscript"/>
        </w:rPr>
        <w:t>o1</w:t>
      </w:r>
      <w:r>
        <w:rPr>
          <w:rFonts w:hint="eastAsia"/>
          <w:color w:val="auto"/>
          <w:highlight w:val="none"/>
        </w:rPr>
        <w:t>; F</w:t>
      </w:r>
      <w:r>
        <w:rPr>
          <w:rFonts w:hint="eastAsia"/>
          <w:color w:val="auto"/>
          <w:szCs w:val="21"/>
          <w:highlight w:val="none"/>
          <w:vertAlign w:val="subscript"/>
        </w:rPr>
        <w:t>o2</w:t>
      </w:r>
      <w:r>
        <w:rPr>
          <w:rFonts w:hint="eastAsia"/>
          <w:color w:val="auto"/>
          <w:sz w:val="15"/>
          <w:szCs w:val="15"/>
          <w:highlight w:val="none"/>
        </w:rPr>
        <w:t>;</w:t>
      </w:r>
      <w:r>
        <w:rPr>
          <w:rFonts w:hint="eastAsia"/>
          <w:color w:val="auto"/>
          <w:highlight w:val="none"/>
        </w:rPr>
        <w:t xml:space="preserve"> F</w:t>
      </w:r>
      <w:r>
        <w:rPr>
          <w:rFonts w:hint="eastAsia"/>
          <w:color w:val="auto"/>
          <w:szCs w:val="21"/>
          <w:highlight w:val="none"/>
          <w:vertAlign w:val="subscript"/>
        </w:rPr>
        <w:t>o3</w:t>
      </w:r>
      <w:r>
        <w:rPr>
          <w:rFonts w:hint="eastAsia" w:ascii="宋体" w:hAnsi="宋体"/>
          <w:color w:val="auto"/>
          <w:sz w:val="15"/>
          <w:szCs w:val="15"/>
          <w:highlight w:val="none"/>
        </w:rPr>
        <w:t>·····</w:t>
      </w:r>
      <w:r>
        <w:rPr>
          <w:rFonts w:hint="eastAsia"/>
          <w:color w:val="auto"/>
          <w:highlight w:val="none"/>
        </w:rPr>
        <w:t>F</w:t>
      </w:r>
      <w:r>
        <w:rPr>
          <w:rFonts w:hint="eastAsia"/>
          <w:color w:val="auto"/>
          <w:szCs w:val="21"/>
          <w:highlight w:val="none"/>
          <w:vertAlign w:val="subscript"/>
        </w:rPr>
        <w:t>on</w:t>
      </w:r>
      <w:r>
        <w:rPr>
          <w:rFonts w:hint="eastAsia"/>
          <w:color w:val="auto"/>
          <w:highlight w:val="none"/>
        </w:rPr>
        <w:t xml:space="preserve"> -- 各可调因子的基本价格指数，指基准日期的各可调因子的价格指数。</w:t>
      </w:r>
    </w:p>
    <w:p w14:paraId="5F52E118">
      <w:pPr>
        <w:spacing w:line="400" w:lineRule="exact"/>
        <w:ind w:firstLine="420" w:firstLineChars="200"/>
        <w:rPr>
          <w:color w:val="auto"/>
          <w:highlight w:val="none"/>
        </w:rPr>
      </w:pPr>
      <w:r>
        <w:rPr>
          <w:rFonts w:hint="eastAsia"/>
          <w:color w:val="auto"/>
          <w:highlight w:val="none"/>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4DEB6BC2">
      <w:pPr>
        <w:spacing w:line="400" w:lineRule="exact"/>
        <w:ind w:firstLine="420" w:firstLineChars="200"/>
        <w:rPr>
          <w:color w:val="auto"/>
          <w:highlight w:val="none"/>
        </w:rPr>
      </w:pPr>
      <w:r>
        <w:rPr>
          <w:rFonts w:hint="eastAsia"/>
          <w:color w:val="auto"/>
          <w:highlight w:val="none"/>
        </w:rPr>
        <w:t>16.1.1.2 暂时确定调整差额</w:t>
      </w:r>
    </w:p>
    <w:p w14:paraId="7C471FBE">
      <w:pPr>
        <w:spacing w:line="400" w:lineRule="exact"/>
        <w:ind w:firstLine="420" w:firstLineChars="200"/>
        <w:rPr>
          <w:color w:val="auto"/>
          <w:highlight w:val="none"/>
        </w:rPr>
      </w:pPr>
      <w:r>
        <w:rPr>
          <w:rFonts w:hint="eastAsia"/>
          <w:color w:val="auto"/>
          <w:highlight w:val="none"/>
        </w:rPr>
        <w:t>在计算调整差额时得不到现行价格指数的，可暂用上一次价格指数计算，并在以后的付款中再按实际价格指数进行调整。</w:t>
      </w:r>
    </w:p>
    <w:p w14:paraId="05C8B555">
      <w:pPr>
        <w:spacing w:line="400" w:lineRule="exact"/>
        <w:ind w:firstLine="420" w:firstLineChars="200"/>
        <w:rPr>
          <w:color w:val="auto"/>
          <w:highlight w:val="none"/>
        </w:rPr>
      </w:pPr>
      <w:r>
        <w:rPr>
          <w:rFonts w:hint="eastAsia"/>
          <w:color w:val="auto"/>
          <w:highlight w:val="none"/>
        </w:rPr>
        <w:t>16.1.1.3 权重的调整</w:t>
      </w:r>
    </w:p>
    <w:p w14:paraId="0B261D03">
      <w:pPr>
        <w:spacing w:line="400" w:lineRule="exact"/>
        <w:ind w:firstLine="420" w:firstLineChars="200"/>
        <w:rPr>
          <w:color w:val="auto"/>
          <w:highlight w:val="none"/>
        </w:rPr>
      </w:pPr>
      <w:r>
        <w:rPr>
          <w:rFonts w:hint="eastAsia"/>
          <w:color w:val="auto"/>
          <w:highlight w:val="none"/>
        </w:rPr>
        <w:t>按第15.1款约定的变更导致原定合同中的权重不合理时，由监理人与承包人和发包人协商后进行调整。</w:t>
      </w:r>
    </w:p>
    <w:p w14:paraId="580AB475">
      <w:pPr>
        <w:spacing w:line="400" w:lineRule="exact"/>
        <w:ind w:firstLine="420" w:firstLineChars="200"/>
        <w:rPr>
          <w:color w:val="auto"/>
          <w:highlight w:val="none"/>
        </w:rPr>
      </w:pPr>
      <w:r>
        <w:rPr>
          <w:rFonts w:hint="eastAsia"/>
          <w:color w:val="auto"/>
          <w:highlight w:val="none"/>
        </w:rPr>
        <w:t>16.1.1.4 承包人工期延误后的价格调整</w:t>
      </w:r>
    </w:p>
    <w:p w14:paraId="6D5CB3BA">
      <w:pPr>
        <w:spacing w:line="400" w:lineRule="exact"/>
        <w:ind w:firstLine="420" w:firstLineChars="200"/>
        <w:rPr>
          <w:color w:val="auto"/>
          <w:highlight w:val="none"/>
        </w:rPr>
      </w:pPr>
      <w:r>
        <w:rPr>
          <w:rFonts w:hint="eastAsia"/>
          <w:color w:val="auto"/>
          <w:highlight w:val="none"/>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14:paraId="204AE4B6">
      <w:pPr>
        <w:spacing w:line="400" w:lineRule="exact"/>
        <w:ind w:firstLine="420" w:firstLineChars="200"/>
        <w:rPr>
          <w:rFonts w:ascii="黑体" w:eastAsia="黑体"/>
          <w:color w:val="auto"/>
          <w:highlight w:val="none"/>
        </w:rPr>
      </w:pPr>
      <w:r>
        <w:rPr>
          <w:rFonts w:hint="eastAsia" w:ascii="黑体" w:eastAsia="黑体"/>
          <w:color w:val="auto"/>
          <w:highlight w:val="none"/>
        </w:rPr>
        <w:t>16.1.2 采用造价信息调整价格差额</w:t>
      </w:r>
    </w:p>
    <w:p w14:paraId="546F5C11">
      <w:pPr>
        <w:spacing w:line="400" w:lineRule="exact"/>
        <w:ind w:firstLine="420" w:firstLineChars="200"/>
        <w:rPr>
          <w:color w:val="auto"/>
          <w:highlight w:val="none"/>
        </w:rPr>
      </w:pPr>
      <w:r>
        <w:rPr>
          <w:rFonts w:hint="eastAsia"/>
          <w:color w:val="auto"/>
          <w:highlight w:val="none"/>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14:paraId="353EE0AE">
      <w:pPr>
        <w:pStyle w:val="45"/>
        <w:rPr>
          <w:color w:val="auto"/>
          <w:highlight w:val="none"/>
        </w:rPr>
      </w:pPr>
      <w:bookmarkStart w:id="805" w:name="_Toc144974688"/>
      <w:bookmarkStart w:id="806" w:name="_Toc152042496"/>
      <w:bookmarkStart w:id="807" w:name="_Toc179632735"/>
      <w:bookmarkStart w:id="808" w:name="_Toc152045717"/>
      <w:bookmarkStart w:id="809" w:name="_Toc10273"/>
      <w:r>
        <w:rPr>
          <w:rFonts w:hint="eastAsia"/>
          <w:color w:val="auto"/>
          <w:highlight w:val="none"/>
        </w:rPr>
        <w:t>16.2 法律变化引起的价格调整</w:t>
      </w:r>
      <w:bookmarkEnd w:id="805"/>
      <w:bookmarkEnd w:id="806"/>
      <w:bookmarkEnd w:id="807"/>
      <w:bookmarkEnd w:id="808"/>
      <w:bookmarkEnd w:id="809"/>
    </w:p>
    <w:p w14:paraId="4ADED200">
      <w:pPr>
        <w:spacing w:line="400" w:lineRule="exact"/>
        <w:ind w:firstLine="420" w:firstLineChars="200"/>
        <w:rPr>
          <w:color w:val="auto"/>
          <w:highlight w:val="none"/>
        </w:rPr>
      </w:pPr>
      <w:r>
        <w:rPr>
          <w:rFonts w:hint="eastAsia"/>
          <w:color w:val="auto"/>
          <w:highlight w:val="none"/>
        </w:rPr>
        <w:t>在基准日后，因法律变化导致承包人在合同履行中所需要的工程费用发生除第16.1款约定以外的增减时，监理人应根据法律、国家或省、自治区、直辖市有关部门的规定，按第3.5款商定或确定需调整的合同价款。</w:t>
      </w:r>
    </w:p>
    <w:p w14:paraId="58EFBBA9">
      <w:pPr>
        <w:pStyle w:val="44"/>
        <w:rPr>
          <w:color w:val="auto"/>
          <w:highlight w:val="none"/>
        </w:rPr>
      </w:pPr>
      <w:bookmarkStart w:id="810" w:name="_Toc144974689"/>
      <w:bookmarkStart w:id="811" w:name="_Toc152042497"/>
      <w:bookmarkStart w:id="812" w:name="_Toc18393"/>
      <w:bookmarkStart w:id="813" w:name="_Toc15699"/>
      <w:bookmarkStart w:id="814" w:name="_Toc152045718"/>
      <w:bookmarkStart w:id="815" w:name="_Toc179632736"/>
      <w:bookmarkStart w:id="816" w:name="_Toc9374"/>
      <w:r>
        <w:rPr>
          <w:rFonts w:hint="eastAsia"/>
          <w:color w:val="auto"/>
          <w:highlight w:val="none"/>
        </w:rPr>
        <w:t>17. 计量与支付</w:t>
      </w:r>
      <w:bookmarkEnd w:id="810"/>
      <w:bookmarkEnd w:id="811"/>
      <w:bookmarkEnd w:id="812"/>
      <w:bookmarkEnd w:id="813"/>
      <w:bookmarkEnd w:id="814"/>
      <w:bookmarkEnd w:id="815"/>
      <w:bookmarkEnd w:id="816"/>
    </w:p>
    <w:p w14:paraId="3DE3D621">
      <w:pPr>
        <w:pStyle w:val="45"/>
        <w:rPr>
          <w:color w:val="auto"/>
          <w:highlight w:val="none"/>
        </w:rPr>
      </w:pPr>
      <w:bookmarkStart w:id="817" w:name="_Toc152042498"/>
      <w:bookmarkStart w:id="818" w:name="_Toc179632737"/>
      <w:bookmarkStart w:id="819" w:name="_Toc152045719"/>
      <w:bookmarkStart w:id="820" w:name="_Toc144974690"/>
      <w:bookmarkStart w:id="821" w:name="_Toc4269"/>
      <w:r>
        <w:rPr>
          <w:rFonts w:hint="eastAsia"/>
          <w:color w:val="auto"/>
          <w:highlight w:val="none"/>
        </w:rPr>
        <w:t>17.1 计量</w:t>
      </w:r>
      <w:bookmarkEnd w:id="817"/>
      <w:bookmarkEnd w:id="818"/>
      <w:bookmarkEnd w:id="819"/>
      <w:bookmarkEnd w:id="820"/>
      <w:bookmarkEnd w:id="821"/>
    </w:p>
    <w:p w14:paraId="17C93176">
      <w:pPr>
        <w:spacing w:line="400" w:lineRule="exact"/>
        <w:ind w:firstLine="420" w:firstLineChars="200"/>
        <w:rPr>
          <w:color w:val="auto"/>
          <w:highlight w:val="none"/>
        </w:rPr>
      </w:pPr>
      <w:r>
        <w:rPr>
          <w:rFonts w:hint="eastAsia"/>
          <w:color w:val="auto"/>
          <w:highlight w:val="none"/>
        </w:rPr>
        <w:t xml:space="preserve">17.1.1 </w:t>
      </w:r>
      <w:r>
        <w:rPr>
          <w:rFonts w:hint="eastAsia" w:ascii="黑体" w:eastAsia="黑体"/>
          <w:color w:val="auto"/>
          <w:highlight w:val="none"/>
        </w:rPr>
        <w:t>计量单位</w:t>
      </w:r>
    </w:p>
    <w:p w14:paraId="55D8AE1D">
      <w:pPr>
        <w:spacing w:line="400" w:lineRule="exact"/>
        <w:ind w:firstLine="420" w:firstLineChars="200"/>
        <w:rPr>
          <w:color w:val="auto"/>
          <w:highlight w:val="none"/>
        </w:rPr>
      </w:pPr>
      <w:r>
        <w:rPr>
          <w:rFonts w:hint="eastAsia"/>
          <w:color w:val="auto"/>
          <w:highlight w:val="none"/>
        </w:rPr>
        <w:t>计量采用国家法定的计量单位。</w:t>
      </w:r>
    </w:p>
    <w:p w14:paraId="249CB6BC">
      <w:pPr>
        <w:spacing w:line="400" w:lineRule="exact"/>
        <w:ind w:firstLine="420" w:firstLineChars="200"/>
        <w:rPr>
          <w:color w:val="auto"/>
          <w:highlight w:val="none"/>
        </w:rPr>
      </w:pPr>
      <w:r>
        <w:rPr>
          <w:rFonts w:hint="eastAsia"/>
          <w:color w:val="auto"/>
          <w:highlight w:val="none"/>
        </w:rPr>
        <w:t xml:space="preserve">17.1.2 </w:t>
      </w:r>
      <w:r>
        <w:rPr>
          <w:rFonts w:hint="eastAsia" w:ascii="黑体" w:eastAsia="黑体"/>
          <w:color w:val="auto"/>
          <w:highlight w:val="none"/>
        </w:rPr>
        <w:t>计量方法</w:t>
      </w:r>
    </w:p>
    <w:p w14:paraId="762A8629">
      <w:pPr>
        <w:spacing w:line="400" w:lineRule="exact"/>
        <w:ind w:firstLine="420" w:firstLineChars="200"/>
        <w:rPr>
          <w:color w:val="auto"/>
          <w:highlight w:val="none"/>
        </w:rPr>
      </w:pPr>
      <w:r>
        <w:rPr>
          <w:rFonts w:hint="eastAsia"/>
          <w:color w:val="auto"/>
          <w:highlight w:val="none"/>
        </w:rPr>
        <w:t>工程量清单中的工程量计算规则应按有关国家标准、行业标准的规定，并在合同中约定执行。</w:t>
      </w:r>
    </w:p>
    <w:p w14:paraId="43A30CC5">
      <w:pPr>
        <w:spacing w:line="400" w:lineRule="exact"/>
        <w:ind w:firstLine="420" w:firstLineChars="200"/>
        <w:rPr>
          <w:color w:val="auto"/>
          <w:highlight w:val="none"/>
        </w:rPr>
      </w:pPr>
      <w:r>
        <w:rPr>
          <w:rFonts w:hint="eastAsia"/>
          <w:color w:val="auto"/>
          <w:highlight w:val="none"/>
        </w:rPr>
        <w:t xml:space="preserve">17.1.3 </w:t>
      </w:r>
      <w:r>
        <w:rPr>
          <w:rFonts w:hint="eastAsia" w:ascii="黑体" w:eastAsia="黑体"/>
          <w:color w:val="auto"/>
          <w:highlight w:val="none"/>
        </w:rPr>
        <w:t>计量周期</w:t>
      </w:r>
    </w:p>
    <w:p w14:paraId="74CCBC83">
      <w:pPr>
        <w:spacing w:line="400" w:lineRule="exact"/>
        <w:ind w:firstLine="420" w:firstLineChars="200"/>
        <w:rPr>
          <w:color w:val="auto"/>
          <w:highlight w:val="none"/>
        </w:rPr>
      </w:pPr>
      <w:r>
        <w:rPr>
          <w:rFonts w:hint="eastAsia"/>
          <w:color w:val="auto"/>
          <w:highlight w:val="none"/>
        </w:rPr>
        <w:t>除专用合同条款另有约定外，单价子目已完成工程量按月计量，总价子目的计量周期按批准的支付分解报告确定。</w:t>
      </w:r>
    </w:p>
    <w:p w14:paraId="7B4D2F74">
      <w:pPr>
        <w:spacing w:line="400" w:lineRule="exact"/>
        <w:ind w:firstLine="420" w:firstLineChars="200"/>
        <w:rPr>
          <w:color w:val="auto"/>
          <w:highlight w:val="none"/>
        </w:rPr>
      </w:pPr>
      <w:r>
        <w:rPr>
          <w:rFonts w:hint="eastAsia"/>
          <w:color w:val="auto"/>
          <w:highlight w:val="none"/>
        </w:rPr>
        <w:t>17.1.4</w:t>
      </w:r>
      <w:r>
        <w:rPr>
          <w:rFonts w:hint="eastAsia" w:ascii="黑体" w:eastAsia="黑体"/>
          <w:color w:val="auto"/>
          <w:highlight w:val="none"/>
        </w:rPr>
        <w:t xml:space="preserve"> 单价子目的计量</w:t>
      </w:r>
    </w:p>
    <w:p w14:paraId="5183F909">
      <w:pPr>
        <w:spacing w:line="400" w:lineRule="exact"/>
        <w:ind w:firstLine="718" w:firstLineChars="342"/>
        <w:rPr>
          <w:color w:val="auto"/>
          <w:highlight w:val="none"/>
        </w:rPr>
      </w:pPr>
      <w:r>
        <w:rPr>
          <w:rFonts w:hint="eastAsia"/>
          <w:color w:val="auto"/>
          <w:highlight w:val="none"/>
        </w:rPr>
        <w:t>（1）已标价工程量清单中的单价子目工程量为估算工程量。结算工程量是承包人实际完成的，并按合同约定的计量方法进行计量的工程量。</w:t>
      </w:r>
    </w:p>
    <w:p w14:paraId="01FA6856">
      <w:pPr>
        <w:spacing w:line="400" w:lineRule="exact"/>
        <w:ind w:firstLine="718" w:firstLineChars="342"/>
        <w:rPr>
          <w:color w:val="auto"/>
          <w:highlight w:val="none"/>
        </w:rPr>
      </w:pPr>
      <w:r>
        <w:rPr>
          <w:rFonts w:hint="eastAsia"/>
          <w:color w:val="auto"/>
          <w:highlight w:val="none"/>
        </w:rPr>
        <w:t>（2）承包人对已完成的工程进行计量，向监理人提交进度付款申请单、已完成工程量报表和有关计量资料。</w:t>
      </w:r>
    </w:p>
    <w:p w14:paraId="6E948CC1">
      <w:pPr>
        <w:spacing w:line="400" w:lineRule="exact"/>
        <w:ind w:firstLine="718" w:firstLineChars="342"/>
        <w:rPr>
          <w:color w:val="auto"/>
          <w:highlight w:val="none"/>
        </w:rPr>
      </w:pPr>
      <w:r>
        <w:rPr>
          <w:rFonts w:hint="eastAsia"/>
          <w:color w:val="auto"/>
          <w:highlight w:val="none"/>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14:paraId="5708F05C">
      <w:pPr>
        <w:spacing w:line="400" w:lineRule="exact"/>
        <w:ind w:firstLine="718" w:firstLineChars="342"/>
        <w:rPr>
          <w:color w:val="auto"/>
          <w:highlight w:val="none"/>
        </w:rPr>
      </w:pPr>
      <w:r>
        <w:rPr>
          <w:rFonts w:hint="eastAsia"/>
          <w:color w:val="auto"/>
          <w:highlight w:val="none"/>
        </w:rPr>
        <w:t>（4）监理人认为有必要时，可通知承包人共同进行联合测量、计量，承包人应遵照执行。</w:t>
      </w:r>
    </w:p>
    <w:p w14:paraId="64DB6060">
      <w:pPr>
        <w:spacing w:line="400" w:lineRule="exact"/>
        <w:ind w:firstLine="718" w:firstLineChars="342"/>
        <w:rPr>
          <w:color w:val="auto"/>
          <w:highlight w:val="none"/>
        </w:rPr>
      </w:pPr>
      <w:r>
        <w:rPr>
          <w:rFonts w:hint="eastAsia"/>
          <w:color w:val="auto"/>
          <w:highlight w:val="none"/>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16FC975C">
      <w:pPr>
        <w:spacing w:line="400" w:lineRule="exact"/>
        <w:ind w:firstLine="718" w:firstLineChars="342"/>
        <w:rPr>
          <w:color w:val="auto"/>
          <w:highlight w:val="none"/>
        </w:rPr>
      </w:pPr>
      <w:r>
        <w:rPr>
          <w:rFonts w:hint="eastAsia"/>
          <w:color w:val="auto"/>
          <w:highlight w:val="none"/>
        </w:rPr>
        <w:t>（6）监理人应在收到承包人提交的工程量报表后的7天内进行复核，监理人未在约定时间内复核的，承包人提交的工程量报表中的工程量视为承包人实际完成的工程量，据此计算工程价款。</w:t>
      </w:r>
    </w:p>
    <w:p w14:paraId="593D8B9E">
      <w:pPr>
        <w:spacing w:line="400" w:lineRule="exact"/>
        <w:ind w:firstLine="420" w:firstLineChars="200"/>
        <w:rPr>
          <w:rFonts w:ascii="黑体" w:eastAsia="黑体"/>
          <w:color w:val="auto"/>
          <w:highlight w:val="none"/>
        </w:rPr>
      </w:pPr>
      <w:r>
        <w:rPr>
          <w:rFonts w:hint="eastAsia"/>
          <w:color w:val="auto"/>
          <w:highlight w:val="none"/>
        </w:rPr>
        <w:t xml:space="preserve">17.1.5 </w:t>
      </w:r>
      <w:r>
        <w:rPr>
          <w:rFonts w:hint="eastAsia" w:ascii="黑体" w:eastAsia="黑体"/>
          <w:color w:val="auto"/>
          <w:highlight w:val="none"/>
        </w:rPr>
        <w:t>总价子目的计量</w:t>
      </w:r>
    </w:p>
    <w:p w14:paraId="5208ED6A">
      <w:pPr>
        <w:spacing w:line="400" w:lineRule="exact"/>
        <w:ind w:firstLine="630" w:firstLineChars="300"/>
        <w:rPr>
          <w:rFonts w:hint="eastAsia" w:ascii="宋体" w:hAnsi="宋体"/>
          <w:color w:val="auto"/>
          <w:highlight w:val="none"/>
        </w:rPr>
      </w:pPr>
      <w:r>
        <w:rPr>
          <w:rFonts w:hint="eastAsia" w:ascii="宋体" w:hAnsi="宋体"/>
          <w:color w:val="auto"/>
          <w:highlight w:val="none"/>
        </w:rPr>
        <w:t>除专用合同条款另有约定外，总价子目的分解和计量按照下述约定进行。</w:t>
      </w:r>
    </w:p>
    <w:p w14:paraId="60AEA66D">
      <w:pPr>
        <w:spacing w:line="400" w:lineRule="exact"/>
        <w:ind w:firstLine="630" w:firstLineChars="300"/>
        <w:rPr>
          <w:rFonts w:hint="eastAsia" w:ascii="宋体" w:hAnsi="宋体"/>
          <w:color w:val="auto"/>
          <w:highlight w:val="none"/>
        </w:rPr>
      </w:pPr>
      <w:r>
        <w:rPr>
          <w:rFonts w:hint="eastAsia" w:ascii="宋体" w:hAnsi="宋体"/>
          <w:color w:val="auto"/>
          <w:highlight w:val="none"/>
        </w:rPr>
        <w:t>（1）总价子目的计量和支付应以总价为基础，不因第16.1款中的因素而进行调整。承包人实际完成的工程量，是进行工程目标管理和控制进度支付的依据。</w:t>
      </w:r>
    </w:p>
    <w:p w14:paraId="59A479DC">
      <w:pPr>
        <w:spacing w:line="400" w:lineRule="exact"/>
        <w:ind w:firstLine="630" w:firstLineChars="300"/>
        <w:rPr>
          <w:rFonts w:hint="eastAsia" w:ascii="宋体" w:hAnsi="宋体"/>
          <w:color w:val="auto"/>
          <w:highlight w:val="none"/>
        </w:rPr>
      </w:pPr>
      <w:r>
        <w:rPr>
          <w:rFonts w:hint="eastAsia" w:ascii="宋体" w:hAnsi="宋体"/>
          <w:color w:val="auto"/>
          <w:highlight w:val="none"/>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14:paraId="27F6382E">
      <w:pPr>
        <w:spacing w:line="400" w:lineRule="exact"/>
        <w:ind w:firstLine="630" w:firstLineChars="300"/>
        <w:rPr>
          <w:rFonts w:hint="eastAsia" w:ascii="宋体" w:hAnsi="宋体"/>
          <w:color w:val="auto"/>
          <w:highlight w:val="none"/>
        </w:rPr>
      </w:pPr>
      <w:r>
        <w:rPr>
          <w:rFonts w:hint="eastAsia" w:ascii="宋体" w:hAnsi="宋体"/>
          <w:color w:val="auto"/>
          <w:highlight w:val="none"/>
        </w:rPr>
        <w:t>（3）监理人对承包人提交的上述资料进行复核，以确定分阶段实际完成的工程量和工程形象目标。对其有异议的，可要求承包人按第8.2款约定进行共同复核和抽样复测。</w:t>
      </w:r>
    </w:p>
    <w:p w14:paraId="670BD983">
      <w:pPr>
        <w:spacing w:line="400" w:lineRule="exact"/>
        <w:ind w:firstLine="630" w:firstLineChars="300"/>
        <w:rPr>
          <w:rFonts w:hint="eastAsia" w:ascii="宋体" w:hAnsi="宋体"/>
          <w:color w:val="auto"/>
          <w:highlight w:val="none"/>
        </w:rPr>
      </w:pPr>
      <w:r>
        <w:rPr>
          <w:rFonts w:hint="eastAsia" w:ascii="宋体" w:hAnsi="宋体"/>
          <w:color w:val="auto"/>
          <w:highlight w:val="none"/>
        </w:rPr>
        <w:t xml:space="preserve">（4）除按照第15条约定的变更外，总价子目的工程量是承包人用于结算的最终工程量。 </w:t>
      </w:r>
    </w:p>
    <w:p w14:paraId="1FA29F68">
      <w:pPr>
        <w:pStyle w:val="45"/>
        <w:rPr>
          <w:color w:val="auto"/>
          <w:highlight w:val="none"/>
        </w:rPr>
      </w:pPr>
      <w:bookmarkStart w:id="822" w:name="_Toc152042499"/>
      <w:bookmarkStart w:id="823" w:name="_Toc14366"/>
      <w:bookmarkStart w:id="824" w:name="_Toc144974691"/>
      <w:bookmarkStart w:id="825" w:name="_Toc179632738"/>
      <w:bookmarkStart w:id="826" w:name="_Toc152045720"/>
      <w:r>
        <w:rPr>
          <w:rFonts w:hint="eastAsia"/>
          <w:color w:val="auto"/>
          <w:highlight w:val="none"/>
        </w:rPr>
        <w:t>17.2 预付款</w:t>
      </w:r>
      <w:bookmarkEnd w:id="822"/>
      <w:bookmarkEnd w:id="823"/>
      <w:bookmarkEnd w:id="824"/>
      <w:bookmarkEnd w:id="825"/>
      <w:bookmarkEnd w:id="826"/>
    </w:p>
    <w:p w14:paraId="55B5DDE2">
      <w:pPr>
        <w:spacing w:line="400" w:lineRule="exact"/>
        <w:ind w:firstLine="420" w:firstLineChars="200"/>
        <w:rPr>
          <w:color w:val="auto"/>
          <w:highlight w:val="none"/>
        </w:rPr>
      </w:pPr>
      <w:r>
        <w:rPr>
          <w:rFonts w:hint="eastAsia"/>
          <w:color w:val="auto"/>
          <w:highlight w:val="none"/>
        </w:rPr>
        <w:t xml:space="preserve">17.2.1 </w:t>
      </w:r>
      <w:r>
        <w:rPr>
          <w:rFonts w:hint="eastAsia" w:ascii="黑体" w:eastAsia="黑体"/>
          <w:color w:val="auto"/>
          <w:highlight w:val="none"/>
        </w:rPr>
        <w:t>预付款</w:t>
      </w:r>
    </w:p>
    <w:p w14:paraId="267CFCC4">
      <w:pPr>
        <w:spacing w:line="400" w:lineRule="exact"/>
        <w:ind w:firstLine="420" w:firstLineChars="200"/>
        <w:rPr>
          <w:color w:val="auto"/>
          <w:highlight w:val="none"/>
        </w:rPr>
      </w:pPr>
      <w:r>
        <w:rPr>
          <w:rFonts w:hint="eastAsia"/>
          <w:color w:val="auto"/>
          <w:highlight w:val="none"/>
        </w:rPr>
        <w:t>预付款用于承包人为合同工程施工购置材料、工程设备、施工设备、修建临时设施以及组织施工队伍进场等。预付款的额度和预付办法在专用合同条款中约定。预付款必须专用于合同工程。</w:t>
      </w:r>
    </w:p>
    <w:p w14:paraId="69D5A9C9">
      <w:pPr>
        <w:spacing w:line="400" w:lineRule="exact"/>
        <w:ind w:firstLine="420" w:firstLineChars="200"/>
        <w:rPr>
          <w:color w:val="auto"/>
          <w:highlight w:val="none"/>
        </w:rPr>
      </w:pPr>
      <w:r>
        <w:rPr>
          <w:rFonts w:hint="eastAsia"/>
          <w:color w:val="auto"/>
          <w:highlight w:val="none"/>
        </w:rPr>
        <w:t xml:space="preserve">17.2.2 </w:t>
      </w:r>
      <w:r>
        <w:rPr>
          <w:rFonts w:hint="eastAsia" w:ascii="黑体" w:eastAsia="黑体"/>
          <w:color w:val="auto"/>
          <w:highlight w:val="none"/>
        </w:rPr>
        <w:t>预付款保函</w:t>
      </w:r>
    </w:p>
    <w:p w14:paraId="4DA7E47C">
      <w:pPr>
        <w:spacing w:line="400" w:lineRule="exact"/>
        <w:ind w:firstLine="420" w:firstLineChars="200"/>
        <w:rPr>
          <w:color w:val="auto"/>
          <w:highlight w:val="none"/>
        </w:rPr>
      </w:pPr>
      <w:r>
        <w:rPr>
          <w:rFonts w:hint="eastAsia"/>
          <w:color w:val="auto"/>
          <w:highlight w:val="none"/>
        </w:rPr>
        <w:t>除专用合同条款另有约定外，承包人应在收到预付款的同时向发包人提交预付款保函，预付款保函的担保金额应与预付款金额相同。保函的担保金额可根据预付款扣回的金额相应递减。</w:t>
      </w:r>
    </w:p>
    <w:p w14:paraId="144B992B">
      <w:pPr>
        <w:spacing w:line="400" w:lineRule="exact"/>
        <w:ind w:firstLine="420" w:firstLineChars="200"/>
        <w:rPr>
          <w:color w:val="auto"/>
          <w:highlight w:val="none"/>
        </w:rPr>
      </w:pPr>
      <w:r>
        <w:rPr>
          <w:rFonts w:hint="eastAsia"/>
          <w:color w:val="auto"/>
          <w:highlight w:val="none"/>
        </w:rPr>
        <w:t xml:space="preserve">17.2.3 </w:t>
      </w:r>
      <w:r>
        <w:rPr>
          <w:rFonts w:hint="eastAsia" w:ascii="黑体" w:eastAsia="黑体"/>
          <w:color w:val="auto"/>
          <w:highlight w:val="none"/>
        </w:rPr>
        <w:t>预付款的扣回与还清</w:t>
      </w:r>
    </w:p>
    <w:p w14:paraId="334E2804">
      <w:pPr>
        <w:spacing w:line="400" w:lineRule="exact"/>
        <w:ind w:firstLine="420" w:firstLineChars="200"/>
        <w:rPr>
          <w:color w:val="auto"/>
          <w:highlight w:val="none"/>
        </w:rPr>
      </w:pPr>
      <w:r>
        <w:rPr>
          <w:rFonts w:hint="eastAsia"/>
          <w:color w:val="auto"/>
          <w:highlight w:val="none"/>
        </w:rPr>
        <w:t>预付款在进度付款中扣回，扣回办法在专用合同条款中约定。在颁发工程接收证书前，由于不可抗力或其他原因解除合同时，预付款尚未扣清的，尚未扣清的预付款余额应作为承包人的到期应付款。</w:t>
      </w:r>
    </w:p>
    <w:p w14:paraId="36E15726">
      <w:pPr>
        <w:pStyle w:val="45"/>
        <w:rPr>
          <w:color w:val="auto"/>
          <w:highlight w:val="none"/>
        </w:rPr>
      </w:pPr>
      <w:bookmarkStart w:id="827" w:name="_Toc3683"/>
      <w:bookmarkStart w:id="828" w:name="_Toc179632739"/>
      <w:bookmarkStart w:id="829" w:name="_Toc152042500"/>
      <w:bookmarkStart w:id="830" w:name="_Toc152045721"/>
      <w:bookmarkStart w:id="831" w:name="_Toc144974692"/>
      <w:r>
        <w:rPr>
          <w:rFonts w:hint="eastAsia"/>
          <w:color w:val="auto"/>
          <w:highlight w:val="none"/>
        </w:rPr>
        <w:t>17.3 工程进度付款</w:t>
      </w:r>
      <w:bookmarkEnd w:id="827"/>
      <w:bookmarkEnd w:id="828"/>
      <w:bookmarkEnd w:id="829"/>
      <w:bookmarkEnd w:id="830"/>
      <w:bookmarkEnd w:id="831"/>
    </w:p>
    <w:p w14:paraId="512DD334">
      <w:pPr>
        <w:spacing w:line="400" w:lineRule="exact"/>
        <w:ind w:firstLine="420" w:firstLineChars="200"/>
        <w:rPr>
          <w:color w:val="auto"/>
          <w:highlight w:val="none"/>
        </w:rPr>
      </w:pPr>
      <w:r>
        <w:rPr>
          <w:rFonts w:hint="eastAsia"/>
          <w:color w:val="auto"/>
          <w:highlight w:val="none"/>
        </w:rPr>
        <w:t xml:space="preserve">17.3.1 </w:t>
      </w:r>
      <w:r>
        <w:rPr>
          <w:rFonts w:hint="eastAsia" w:ascii="黑体" w:eastAsia="黑体"/>
          <w:color w:val="auto"/>
          <w:highlight w:val="none"/>
        </w:rPr>
        <w:t>付款周期</w:t>
      </w:r>
    </w:p>
    <w:p w14:paraId="0EFD215B">
      <w:pPr>
        <w:spacing w:line="400" w:lineRule="exact"/>
        <w:ind w:firstLine="420" w:firstLineChars="200"/>
        <w:rPr>
          <w:color w:val="auto"/>
          <w:highlight w:val="none"/>
        </w:rPr>
      </w:pPr>
      <w:r>
        <w:rPr>
          <w:rFonts w:hint="eastAsia"/>
          <w:color w:val="auto"/>
          <w:highlight w:val="none"/>
        </w:rPr>
        <w:t>付款周期同计量周期。</w:t>
      </w:r>
    </w:p>
    <w:p w14:paraId="77E81E69">
      <w:pPr>
        <w:spacing w:line="400" w:lineRule="exact"/>
        <w:ind w:firstLine="420" w:firstLineChars="200"/>
        <w:rPr>
          <w:color w:val="auto"/>
          <w:highlight w:val="none"/>
        </w:rPr>
      </w:pPr>
      <w:r>
        <w:rPr>
          <w:rFonts w:hint="eastAsia"/>
          <w:color w:val="auto"/>
          <w:highlight w:val="none"/>
        </w:rPr>
        <w:t xml:space="preserve">17.3.2 </w:t>
      </w:r>
      <w:r>
        <w:rPr>
          <w:rFonts w:hint="eastAsia" w:ascii="黑体" w:eastAsia="黑体"/>
          <w:color w:val="auto"/>
          <w:highlight w:val="none"/>
        </w:rPr>
        <w:t>进度付款申请单</w:t>
      </w:r>
    </w:p>
    <w:p w14:paraId="66639412">
      <w:pPr>
        <w:spacing w:line="400" w:lineRule="exact"/>
        <w:ind w:firstLine="420" w:firstLineChars="200"/>
        <w:rPr>
          <w:dstrike/>
          <w:color w:val="auto"/>
          <w:szCs w:val="21"/>
          <w:highlight w:val="none"/>
        </w:rPr>
      </w:pPr>
      <w:r>
        <w:rPr>
          <w:rFonts w:hint="eastAsia"/>
          <w:color w:val="auto"/>
          <w:highlight w:val="none"/>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023D4040">
      <w:pPr>
        <w:spacing w:line="400" w:lineRule="exact"/>
        <w:ind w:firstLine="420" w:firstLineChars="200"/>
        <w:rPr>
          <w:color w:val="auto"/>
          <w:highlight w:val="none"/>
        </w:rPr>
      </w:pPr>
      <w:r>
        <w:rPr>
          <w:rFonts w:hint="eastAsia"/>
          <w:color w:val="auto"/>
          <w:highlight w:val="none"/>
        </w:rPr>
        <w:t>（1）截至本次付款周期末已实施工程的价款；</w:t>
      </w:r>
    </w:p>
    <w:p w14:paraId="716C64FC">
      <w:pPr>
        <w:spacing w:line="400" w:lineRule="exact"/>
        <w:ind w:firstLine="420" w:firstLineChars="200"/>
        <w:rPr>
          <w:color w:val="auto"/>
          <w:highlight w:val="none"/>
        </w:rPr>
      </w:pPr>
      <w:r>
        <w:rPr>
          <w:rFonts w:hint="eastAsia"/>
          <w:color w:val="auto"/>
          <w:highlight w:val="none"/>
        </w:rPr>
        <w:t>（2）根据第15条应增加和扣减的变更金额；</w:t>
      </w:r>
    </w:p>
    <w:p w14:paraId="068BFECD">
      <w:pPr>
        <w:spacing w:line="400" w:lineRule="exact"/>
        <w:ind w:firstLine="420" w:firstLineChars="200"/>
        <w:rPr>
          <w:color w:val="auto"/>
          <w:highlight w:val="none"/>
        </w:rPr>
      </w:pPr>
      <w:r>
        <w:rPr>
          <w:rFonts w:hint="eastAsia"/>
          <w:color w:val="auto"/>
          <w:highlight w:val="none"/>
        </w:rPr>
        <w:t>（3）根据第23条应增加和扣减的索赔金额；</w:t>
      </w:r>
    </w:p>
    <w:p w14:paraId="3C0D8D32">
      <w:pPr>
        <w:spacing w:line="400" w:lineRule="exact"/>
        <w:ind w:firstLine="420" w:firstLineChars="200"/>
        <w:rPr>
          <w:color w:val="auto"/>
          <w:highlight w:val="none"/>
        </w:rPr>
      </w:pPr>
      <w:r>
        <w:rPr>
          <w:rFonts w:hint="eastAsia"/>
          <w:color w:val="auto"/>
          <w:highlight w:val="none"/>
        </w:rPr>
        <w:t>（4）根据第17.2款约定应支付的预付款和扣减的返还预付款；</w:t>
      </w:r>
    </w:p>
    <w:p w14:paraId="798102B5">
      <w:pPr>
        <w:spacing w:line="400" w:lineRule="exact"/>
        <w:ind w:firstLine="420" w:firstLineChars="200"/>
        <w:rPr>
          <w:color w:val="auto"/>
          <w:highlight w:val="none"/>
        </w:rPr>
      </w:pPr>
      <w:r>
        <w:rPr>
          <w:rFonts w:hint="eastAsia"/>
          <w:color w:val="auto"/>
          <w:highlight w:val="none"/>
        </w:rPr>
        <w:t>（5）根据第17.4.1项约定应扣减的质量保证金；</w:t>
      </w:r>
    </w:p>
    <w:p w14:paraId="7C478AFD">
      <w:pPr>
        <w:spacing w:line="400" w:lineRule="exact"/>
        <w:ind w:firstLine="420" w:firstLineChars="200"/>
        <w:rPr>
          <w:color w:val="auto"/>
          <w:highlight w:val="none"/>
        </w:rPr>
      </w:pPr>
      <w:r>
        <w:rPr>
          <w:rFonts w:hint="eastAsia"/>
          <w:color w:val="auto"/>
          <w:highlight w:val="none"/>
        </w:rPr>
        <w:t>（6）根据合同应增加和扣减的其他金额。</w:t>
      </w:r>
    </w:p>
    <w:p w14:paraId="3300F0D8">
      <w:pPr>
        <w:spacing w:line="400" w:lineRule="exact"/>
        <w:ind w:firstLine="420" w:firstLineChars="200"/>
        <w:rPr>
          <w:color w:val="auto"/>
          <w:highlight w:val="none"/>
        </w:rPr>
      </w:pPr>
      <w:r>
        <w:rPr>
          <w:rFonts w:hint="eastAsia"/>
          <w:color w:val="auto"/>
          <w:highlight w:val="none"/>
        </w:rPr>
        <w:t xml:space="preserve">17.3.3 </w:t>
      </w:r>
      <w:r>
        <w:rPr>
          <w:rFonts w:hint="eastAsia" w:ascii="黑体" w:eastAsia="黑体"/>
          <w:color w:val="auto"/>
          <w:highlight w:val="none"/>
        </w:rPr>
        <w:t>进度付款证书和支付时间</w:t>
      </w:r>
    </w:p>
    <w:p w14:paraId="1CC300B7">
      <w:pPr>
        <w:spacing w:line="400" w:lineRule="exact"/>
        <w:ind w:firstLine="630" w:firstLineChars="300"/>
        <w:rPr>
          <w:color w:val="auto"/>
          <w:highlight w:val="none"/>
        </w:rPr>
      </w:pPr>
      <w:r>
        <w:rPr>
          <w:rFonts w:hint="eastAsia"/>
          <w:color w:val="auto"/>
          <w:highlight w:val="none"/>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60289CC1">
      <w:pPr>
        <w:spacing w:line="400" w:lineRule="exact"/>
        <w:ind w:firstLine="718" w:firstLineChars="342"/>
        <w:rPr>
          <w:color w:val="auto"/>
          <w:highlight w:val="none"/>
        </w:rPr>
      </w:pPr>
      <w:r>
        <w:rPr>
          <w:rFonts w:hint="eastAsia"/>
          <w:color w:val="auto"/>
          <w:highlight w:val="none"/>
        </w:rPr>
        <w:t>（2）发包人应在监理人收到进度付款申请单后的28天内，将进度应付款支付给承包人。发包人不按期支付的，按专用合同条款的约定支付逾期付款违约金。</w:t>
      </w:r>
    </w:p>
    <w:p w14:paraId="30DC5786">
      <w:pPr>
        <w:spacing w:line="400" w:lineRule="exact"/>
        <w:ind w:firstLine="718" w:firstLineChars="342"/>
        <w:rPr>
          <w:color w:val="auto"/>
          <w:highlight w:val="none"/>
        </w:rPr>
      </w:pPr>
      <w:r>
        <w:rPr>
          <w:rFonts w:hint="eastAsia"/>
          <w:color w:val="auto"/>
          <w:highlight w:val="none"/>
        </w:rPr>
        <w:t>（3）监理人出具进度付款证书，不应视为监理人已同意、批准或接受了承包人完成的该部分工作。</w:t>
      </w:r>
    </w:p>
    <w:p w14:paraId="6B8AB1AD">
      <w:pPr>
        <w:spacing w:line="400" w:lineRule="exact"/>
        <w:ind w:firstLine="718" w:firstLineChars="342"/>
        <w:rPr>
          <w:color w:val="auto"/>
          <w:highlight w:val="none"/>
        </w:rPr>
      </w:pPr>
      <w:r>
        <w:rPr>
          <w:rFonts w:hint="eastAsia"/>
          <w:color w:val="auto"/>
          <w:highlight w:val="none"/>
        </w:rPr>
        <w:t>（4）进度付款涉及政府投资资金的，按照国库集中支付等国家相关规定和专用合同条款的约定办理。</w:t>
      </w:r>
    </w:p>
    <w:p w14:paraId="52975D6B">
      <w:pPr>
        <w:spacing w:line="400" w:lineRule="exact"/>
        <w:ind w:firstLine="420" w:firstLineChars="200"/>
        <w:rPr>
          <w:color w:val="auto"/>
          <w:highlight w:val="none"/>
        </w:rPr>
      </w:pPr>
      <w:r>
        <w:rPr>
          <w:rFonts w:hint="eastAsia"/>
          <w:color w:val="auto"/>
          <w:highlight w:val="none"/>
        </w:rPr>
        <w:t xml:space="preserve">17.3.4 </w:t>
      </w:r>
      <w:r>
        <w:rPr>
          <w:rFonts w:hint="eastAsia" w:ascii="黑体" w:eastAsia="黑体"/>
          <w:color w:val="auto"/>
          <w:highlight w:val="none"/>
        </w:rPr>
        <w:t>工程进度付款的修正</w:t>
      </w:r>
    </w:p>
    <w:p w14:paraId="323A87C0">
      <w:pPr>
        <w:spacing w:line="400" w:lineRule="exact"/>
        <w:ind w:firstLine="420" w:firstLineChars="200"/>
        <w:rPr>
          <w:color w:val="auto"/>
          <w:highlight w:val="none"/>
        </w:rPr>
      </w:pPr>
      <w:r>
        <w:rPr>
          <w:rFonts w:hint="eastAsia"/>
          <w:color w:val="auto"/>
          <w:highlight w:val="none"/>
        </w:rPr>
        <w:t>在对以往历次已签发的进度付款证书进行汇总和复核中发现错、漏或重复的，监理人有权予以修正，承包人也有权提出修正申请。经双方复核同意的修正，应在本次进度付款中支付或扣除。</w:t>
      </w:r>
    </w:p>
    <w:p w14:paraId="2E1F70F6">
      <w:pPr>
        <w:pStyle w:val="45"/>
        <w:rPr>
          <w:color w:val="auto"/>
          <w:highlight w:val="none"/>
        </w:rPr>
      </w:pPr>
      <w:bookmarkStart w:id="832" w:name="_Toc152045722"/>
      <w:bookmarkStart w:id="833" w:name="_Toc144974693"/>
      <w:bookmarkStart w:id="834" w:name="_Toc152042501"/>
      <w:bookmarkStart w:id="835" w:name="_Toc179632740"/>
      <w:bookmarkStart w:id="836" w:name="_Toc14201"/>
      <w:r>
        <w:rPr>
          <w:rFonts w:hint="eastAsia"/>
          <w:color w:val="auto"/>
          <w:highlight w:val="none"/>
        </w:rPr>
        <w:t xml:space="preserve">17.4 </w:t>
      </w:r>
      <w:bookmarkEnd w:id="832"/>
      <w:bookmarkEnd w:id="833"/>
      <w:bookmarkEnd w:id="834"/>
      <w:r>
        <w:rPr>
          <w:rFonts w:hint="eastAsia"/>
          <w:color w:val="auto"/>
          <w:highlight w:val="none"/>
        </w:rPr>
        <w:t>质量保证金</w:t>
      </w:r>
      <w:bookmarkEnd w:id="835"/>
      <w:bookmarkEnd w:id="836"/>
    </w:p>
    <w:p w14:paraId="441E56A6">
      <w:pPr>
        <w:spacing w:line="400" w:lineRule="exact"/>
        <w:ind w:firstLine="420" w:firstLineChars="200"/>
        <w:rPr>
          <w:color w:val="auto"/>
          <w:highlight w:val="none"/>
        </w:rPr>
      </w:pPr>
      <w:r>
        <w:rPr>
          <w:rFonts w:hint="eastAsia"/>
          <w:color w:val="auto"/>
          <w:highlight w:val="none"/>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14:paraId="2CBF7210">
      <w:pPr>
        <w:spacing w:line="400" w:lineRule="exact"/>
        <w:ind w:firstLine="420" w:firstLineChars="200"/>
        <w:rPr>
          <w:color w:val="auto"/>
          <w:highlight w:val="none"/>
        </w:rPr>
      </w:pPr>
      <w:r>
        <w:rPr>
          <w:rFonts w:hint="eastAsia"/>
          <w:color w:val="auto"/>
          <w:highlight w:val="none"/>
        </w:rPr>
        <w:t>17.4.2 在第1.1.4.5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14:paraId="2B1DFE1B">
      <w:pPr>
        <w:spacing w:line="400" w:lineRule="exact"/>
        <w:ind w:firstLine="420" w:firstLineChars="200"/>
        <w:rPr>
          <w:color w:val="auto"/>
          <w:highlight w:val="none"/>
        </w:rPr>
      </w:pPr>
      <w:r>
        <w:rPr>
          <w:rFonts w:hint="eastAsia"/>
          <w:color w:val="auto"/>
          <w:highlight w:val="none"/>
        </w:rPr>
        <w:t xml:space="preserve">17.4.3 在第1.1.4.5目约定的缺陷责任期满时，承包人没有完成缺陷责任的，发包人有权扣留与未履行责任剩余工作所需金额相应的质量保证金余额，并有权根据第19.3款约定要求延长缺陷责任期，直至完成剩余工作为止。 </w:t>
      </w:r>
    </w:p>
    <w:p w14:paraId="1649A91E">
      <w:pPr>
        <w:pStyle w:val="45"/>
        <w:rPr>
          <w:color w:val="auto"/>
          <w:highlight w:val="none"/>
        </w:rPr>
      </w:pPr>
      <w:bookmarkStart w:id="837" w:name="_Toc17270"/>
      <w:bookmarkStart w:id="838" w:name="_Toc152045723"/>
      <w:bookmarkStart w:id="839" w:name="_Toc179632741"/>
      <w:bookmarkStart w:id="840" w:name="_Toc152042502"/>
      <w:bookmarkStart w:id="841" w:name="_Toc144974694"/>
      <w:r>
        <w:rPr>
          <w:rFonts w:hint="eastAsia"/>
          <w:color w:val="auto"/>
          <w:highlight w:val="none"/>
        </w:rPr>
        <w:t>17.5 竣工结算</w:t>
      </w:r>
      <w:bookmarkEnd w:id="837"/>
      <w:bookmarkEnd w:id="838"/>
      <w:bookmarkEnd w:id="839"/>
      <w:bookmarkEnd w:id="840"/>
      <w:bookmarkEnd w:id="841"/>
    </w:p>
    <w:p w14:paraId="62B01FF1">
      <w:pPr>
        <w:spacing w:line="400" w:lineRule="exact"/>
        <w:ind w:firstLine="420" w:firstLineChars="200"/>
        <w:rPr>
          <w:color w:val="auto"/>
          <w:highlight w:val="none"/>
        </w:rPr>
      </w:pPr>
      <w:r>
        <w:rPr>
          <w:rFonts w:hint="eastAsia"/>
          <w:color w:val="auto"/>
          <w:highlight w:val="none"/>
        </w:rPr>
        <w:t xml:space="preserve">17.5.1 </w:t>
      </w:r>
      <w:r>
        <w:rPr>
          <w:rFonts w:hint="eastAsia" w:ascii="黑体" w:eastAsia="黑体"/>
          <w:color w:val="auto"/>
          <w:highlight w:val="none"/>
        </w:rPr>
        <w:t>竣工付款申请单</w:t>
      </w:r>
    </w:p>
    <w:p w14:paraId="670826BF">
      <w:pPr>
        <w:spacing w:line="400" w:lineRule="exact"/>
        <w:ind w:firstLine="718" w:firstLineChars="342"/>
        <w:rPr>
          <w:color w:val="auto"/>
          <w:highlight w:val="none"/>
        </w:rPr>
      </w:pPr>
      <w:r>
        <w:rPr>
          <w:rFonts w:hint="eastAsia"/>
          <w:color w:val="auto"/>
          <w:highlight w:val="none"/>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29B3B3CB">
      <w:pPr>
        <w:spacing w:line="400" w:lineRule="exact"/>
        <w:ind w:firstLine="718" w:firstLineChars="342"/>
        <w:rPr>
          <w:color w:val="auto"/>
          <w:highlight w:val="none"/>
        </w:rPr>
      </w:pPr>
      <w:r>
        <w:rPr>
          <w:rFonts w:hint="eastAsia"/>
          <w:color w:val="auto"/>
          <w:highlight w:val="none"/>
        </w:rPr>
        <w:t>（2）监理人对竣工付款申请单有异议的，有权要求承包人进行修正和提供补充资料。经监理人和承包人协商后，由承包人向监理人提交修正后的竣工付款申请单。</w:t>
      </w:r>
    </w:p>
    <w:p w14:paraId="3A851BC0">
      <w:pPr>
        <w:spacing w:line="400" w:lineRule="exact"/>
        <w:ind w:firstLine="420" w:firstLineChars="200"/>
        <w:rPr>
          <w:color w:val="auto"/>
          <w:highlight w:val="none"/>
        </w:rPr>
      </w:pPr>
      <w:r>
        <w:rPr>
          <w:rFonts w:hint="eastAsia"/>
          <w:color w:val="auto"/>
          <w:highlight w:val="none"/>
        </w:rPr>
        <w:t xml:space="preserve">17.5.2 </w:t>
      </w:r>
      <w:r>
        <w:rPr>
          <w:rFonts w:hint="eastAsia" w:ascii="黑体" w:eastAsia="黑体"/>
          <w:color w:val="auto"/>
          <w:highlight w:val="none"/>
        </w:rPr>
        <w:t>竣工付款证书及支付时间</w:t>
      </w:r>
    </w:p>
    <w:p w14:paraId="7A48E840">
      <w:pPr>
        <w:spacing w:line="400" w:lineRule="exact"/>
        <w:ind w:firstLine="718" w:firstLineChars="342"/>
        <w:rPr>
          <w:color w:val="auto"/>
          <w:highlight w:val="none"/>
        </w:rPr>
      </w:pPr>
      <w:r>
        <w:rPr>
          <w:rFonts w:hint="eastAsia"/>
          <w:color w:val="auto"/>
          <w:highlight w:val="none"/>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14:paraId="486B991D">
      <w:pPr>
        <w:spacing w:line="400" w:lineRule="exact"/>
        <w:ind w:firstLine="718" w:firstLineChars="342"/>
        <w:rPr>
          <w:color w:val="auto"/>
          <w:highlight w:val="none"/>
        </w:rPr>
      </w:pPr>
      <w:r>
        <w:rPr>
          <w:rFonts w:hint="eastAsia"/>
          <w:color w:val="auto"/>
          <w:highlight w:val="none"/>
        </w:rPr>
        <w:t>（2）发包人应在监理人出具竣工付款证书后的14天内，将应支付款支付给承包人。发包人不按期支付的，按第17.3.3（2）目的约定，将逾期付款违约金支付给承包人。</w:t>
      </w:r>
    </w:p>
    <w:p w14:paraId="39B250DB">
      <w:pPr>
        <w:spacing w:line="400" w:lineRule="exact"/>
        <w:ind w:firstLine="718" w:firstLineChars="342"/>
        <w:rPr>
          <w:color w:val="auto"/>
          <w:highlight w:val="none"/>
        </w:rPr>
      </w:pPr>
      <w:r>
        <w:rPr>
          <w:rFonts w:hint="eastAsia"/>
          <w:color w:val="auto"/>
          <w:highlight w:val="none"/>
        </w:rPr>
        <w:t>（3）承包人对发包人签认的竣工付款证书有异议的，发包人可出具竣工付款申请单中承包人已同意部分的临时付款证书。存在争议的部分，按第24条的约定办理。</w:t>
      </w:r>
    </w:p>
    <w:p w14:paraId="38CF930C">
      <w:pPr>
        <w:spacing w:line="400" w:lineRule="exact"/>
        <w:ind w:firstLine="630" w:firstLineChars="300"/>
        <w:rPr>
          <w:color w:val="auto"/>
          <w:highlight w:val="none"/>
        </w:rPr>
      </w:pPr>
      <w:r>
        <w:rPr>
          <w:rFonts w:hint="eastAsia"/>
          <w:color w:val="auto"/>
          <w:highlight w:val="none"/>
        </w:rPr>
        <w:t>（4）竣工付款涉及政府投资资金的，按第17.3.3（４）目的约定办理。</w:t>
      </w:r>
    </w:p>
    <w:p w14:paraId="5D1029EF">
      <w:pPr>
        <w:pStyle w:val="45"/>
        <w:rPr>
          <w:color w:val="auto"/>
          <w:highlight w:val="none"/>
        </w:rPr>
      </w:pPr>
      <w:bookmarkStart w:id="842" w:name="_Toc152045724"/>
      <w:bookmarkStart w:id="843" w:name="_Toc179632742"/>
      <w:bookmarkStart w:id="844" w:name="_Toc144974695"/>
      <w:bookmarkStart w:id="845" w:name="_Toc10485"/>
      <w:bookmarkStart w:id="846" w:name="_Toc152042503"/>
      <w:r>
        <w:rPr>
          <w:rFonts w:hint="eastAsia"/>
          <w:color w:val="auto"/>
          <w:highlight w:val="none"/>
        </w:rPr>
        <w:t>17.6 最终结清</w:t>
      </w:r>
      <w:bookmarkEnd w:id="842"/>
      <w:bookmarkEnd w:id="843"/>
      <w:bookmarkEnd w:id="844"/>
      <w:bookmarkEnd w:id="845"/>
      <w:bookmarkEnd w:id="846"/>
    </w:p>
    <w:p w14:paraId="13F2D498">
      <w:pPr>
        <w:spacing w:line="400" w:lineRule="exact"/>
        <w:ind w:firstLine="420" w:firstLineChars="200"/>
        <w:rPr>
          <w:color w:val="auto"/>
          <w:highlight w:val="none"/>
        </w:rPr>
      </w:pPr>
      <w:r>
        <w:rPr>
          <w:rFonts w:hint="eastAsia"/>
          <w:color w:val="auto"/>
          <w:highlight w:val="none"/>
        </w:rPr>
        <w:t xml:space="preserve">17.6.1 </w:t>
      </w:r>
      <w:r>
        <w:rPr>
          <w:rFonts w:hint="eastAsia" w:ascii="黑体" w:eastAsia="黑体"/>
          <w:color w:val="auto"/>
          <w:highlight w:val="none"/>
        </w:rPr>
        <w:t>最终结清申请单</w:t>
      </w:r>
    </w:p>
    <w:p w14:paraId="18C96507">
      <w:pPr>
        <w:spacing w:line="400" w:lineRule="exact"/>
        <w:ind w:firstLine="718" w:firstLineChars="342"/>
        <w:rPr>
          <w:color w:val="auto"/>
          <w:highlight w:val="none"/>
        </w:rPr>
      </w:pPr>
      <w:r>
        <w:rPr>
          <w:rFonts w:hint="eastAsia"/>
          <w:color w:val="auto"/>
          <w:highlight w:val="none"/>
        </w:rPr>
        <w:t>（1）缺陷责任期终止证书签发后，承包人可按专用合同条款约定的份数和期限向监理人提交最终结清申请单，并提供相关证明材料。</w:t>
      </w:r>
    </w:p>
    <w:p w14:paraId="7D3D4448">
      <w:pPr>
        <w:spacing w:line="400" w:lineRule="exact"/>
        <w:ind w:firstLine="718" w:firstLineChars="342"/>
        <w:rPr>
          <w:color w:val="auto"/>
          <w:highlight w:val="none"/>
        </w:rPr>
      </w:pPr>
      <w:r>
        <w:rPr>
          <w:rFonts w:hint="eastAsia"/>
          <w:color w:val="auto"/>
          <w:highlight w:val="none"/>
        </w:rPr>
        <w:t>（2）发包人对最终结清申请单内容有异议的，有权要求承包人进行修正和提供补充资料，由承包人向监理人提交修正后的最终结清申请单。</w:t>
      </w:r>
    </w:p>
    <w:p w14:paraId="28AF0080">
      <w:pPr>
        <w:spacing w:line="400" w:lineRule="exact"/>
        <w:ind w:firstLine="420" w:firstLineChars="200"/>
        <w:rPr>
          <w:color w:val="auto"/>
          <w:highlight w:val="none"/>
        </w:rPr>
      </w:pPr>
      <w:r>
        <w:rPr>
          <w:rFonts w:hint="eastAsia"/>
          <w:color w:val="auto"/>
          <w:highlight w:val="none"/>
        </w:rPr>
        <w:t xml:space="preserve">17.6.2 </w:t>
      </w:r>
      <w:r>
        <w:rPr>
          <w:rFonts w:hint="eastAsia" w:ascii="黑体" w:eastAsia="黑体"/>
          <w:color w:val="auto"/>
          <w:highlight w:val="none"/>
        </w:rPr>
        <w:t>最终结清证书和支付时间</w:t>
      </w:r>
    </w:p>
    <w:p w14:paraId="7E006E95">
      <w:pPr>
        <w:spacing w:line="400" w:lineRule="exact"/>
        <w:ind w:firstLine="718" w:firstLineChars="342"/>
        <w:rPr>
          <w:color w:val="auto"/>
          <w:highlight w:val="none"/>
        </w:rPr>
      </w:pPr>
      <w:r>
        <w:rPr>
          <w:rFonts w:hint="eastAsia"/>
          <w:color w:val="auto"/>
          <w:highlight w:val="none"/>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0ECA29DE">
      <w:pPr>
        <w:spacing w:line="400" w:lineRule="exact"/>
        <w:ind w:firstLine="718" w:firstLineChars="342"/>
        <w:rPr>
          <w:color w:val="auto"/>
          <w:highlight w:val="none"/>
        </w:rPr>
      </w:pPr>
      <w:r>
        <w:rPr>
          <w:rFonts w:hint="eastAsia"/>
          <w:color w:val="auto"/>
          <w:highlight w:val="none"/>
        </w:rPr>
        <w:t>（2）发包人应在监理人出具最终结清证书后的14天内，将应支付款支付给承包人。发包人不按期支付的，按第17.3.3（2）目的约定，将逾期付款违约金支付给承包人。</w:t>
      </w:r>
    </w:p>
    <w:p w14:paraId="206C3D18">
      <w:pPr>
        <w:spacing w:line="400" w:lineRule="exact"/>
        <w:ind w:firstLine="718" w:firstLineChars="342"/>
        <w:rPr>
          <w:color w:val="auto"/>
          <w:highlight w:val="none"/>
        </w:rPr>
      </w:pPr>
      <w:r>
        <w:rPr>
          <w:rFonts w:hint="eastAsia"/>
          <w:color w:val="auto"/>
          <w:highlight w:val="none"/>
        </w:rPr>
        <w:t>（3）承包人对发包人签认的最终结清证书有异议的，按第24条的约定办理。</w:t>
      </w:r>
    </w:p>
    <w:p w14:paraId="2EEF0701">
      <w:pPr>
        <w:spacing w:line="400" w:lineRule="exact"/>
        <w:ind w:firstLine="718" w:firstLineChars="342"/>
        <w:rPr>
          <w:color w:val="auto"/>
          <w:highlight w:val="none"/>
        </w:rPr>
      </w:pPr>
      <w:r>
        <w:rPr>
          <w:rFonts w:hint="eastAsia"/>
          <w:color w:val="auto"/>
          <w:highlight w:val="none"/>
        </w:rPr>
        <w:t>（4）最终结清付款涉及政府投资资金的，按第17.3.3（４）目的约定办理。</w:t>
      </w:r>
    </w:p>
    <w:p w14:paraId="566810E7">
      <w:pPr>
        <w:pStyle w:val="44"/>
        <w:rPr>
          <w:color w:val="auto"/>
          <w:highlight w:val="none"/>
        </w:rPr>
      </w:pPr>
      <w:bookmarkStart w:id="847" w:name="_Toc16229"/>
      <w:bookmarkStart w:id="848" w:name="_Toc179632743"/>
      <w:bookmarkStart w:id="849" w:name="_Toc152045725"/>
      <w:bookmarkStart w:id="850" w:name="_Toc152042504"/>
      <w:bookmarkStart w:id="851" w:name="_Toc144974696"/>
      <w:bookmarkStart w:id="852" w:name="_Toc16005"/>
      <w:bookmarkStart w:id="853" w:name="_Toc6642"/>
      <w:r>
        <w:rPr>
          <w:rFonts w:hint="eastAsia"/>
          <w:color w:val="auto"/>
          <w:highlight w:val="none"/>
        </w:rPr>
        <w:t>18. 竣工验收</w:t>
      </w:r>
      <w:bookmarkEnd w:id="847"/>
      <w:bookmarkEnd w:id="848"/>
      <w:bookmarkEnd w:id="849"/>
      <w:bookmarkEnd w:id="850"/>
      <w:bookmarkEnd w:id="851"/>
      <w:bookmarkEnd w:id="852"/>
      <w:bookmarkEnd w:id="853"/>
    </w:p>
    <w:p w14:paraId="16CB7179">
      <w:pPr>
        <w:pStyle w:val="45"/>
        <w:rPr>
          <w:color w:val="auto"/>
          <w:highlight w:val="none"/>
        </w:rPr>
      </w:pPr>
      <w:bookmarkStart w:id="854" w:name="_Toc179632744"/>
      <w:bookmarkStart w:id="855" w:name="_Toc144974697"/>
      <w:bookmarkStart w:id="856" w:name="_Toc17498"/>
      <w:bookmarkStart w:id="857" w:name="_Toc152045726"/>
      <w:bookmarkStart w:id="858" w:name="_Toc152042505"/>
      <w:r>
        <w:rPr>
          <w:rFonts w:hint="eastAsia"/>
          <w:color w:val="auto"/>
          <w:highlight w:val="none"/>
        </w:rPr>
        <w:t>18.1 竣工验收的含义</w:t>
      </w:r>
      <w:bookmarkEnd w:id="854"/>
      <w:bookmarkEnd w:id="855"/>
      <w:bookmarkEnd w:id="856"/>
      <w:bookmarkEnd w:id="857"/>
      <w:bookmarkEnd w:id="858"/>
    </w:p>
    <w:p w14:paraId="65B0A384">
      <w:pPr>
        <w:spacing w:line="400" w:lineRule="exact"/>
        <w:ind w:firstLine="420" w:firstLineChars="200"/>
        <w:rPr>
          <w:color w:val="auto"/>
          <w:highlight w:val="none"/>
        </w:rPr>
      </w:pPr>
      <w:r>
        <w:rPr>
          <w:rFonts w:hint="eastAsia"/>
          <w:color w:val="auto"/>
          <w:highlight w:val="none"/>
        </w:rPr>
        <w:t>18.1.1 竣工验收指承包人完成了全部合同工作后，发包人按合同要求进行的验收。</w:t>
      </w:r>
    </w:p>
    <w:p w14:paraId="46299882">
      <w:pPr>
        <w:spacing w:line="400" w:lineRule="exact"/>
        <w:ind w:firstLine="420" w:firstLineChars="200"/>
        <w:rPr>
          <w:color w:val="auto"/>
          <w:highlight w:val="none"/>
        </w:rPr>
      </w:pPr>
      <w:r>
        <w:rPr>
          <w:rFonts w:hint="eastAsia"/>
          <w:color w:val="auto"/>
          <w:highlight w:val="none"/>
        </w:rPr>
        <w:t>18.1.2 国家验收是政府有关部门根据法律、规范、规程和政策要求，针对发包人全面组织实施的整个工程正式交付投运前的验收。</w:t>
      </w:r>
    </w:p>
    <w:p w14:paraId="70E31CBD">
      <w:pPr>
        <w:spacing w:line="400" w:lineRule="exact"/>
        <w:ind w:firstLine="420" w:firstLineChars="200"/>
        <w:rPr>
          <w:color w:val="auto"/>
          <w:highlight w:val="none"/>
        </w:rPr>
      </w:pPr>
      <w:r>
        <w:rPr>
          <w:rFonts w:hint="eastAsia"/>
          <w:color w:val="auto"/>
          <w:highlight w:val="none"/>
        </w:rPr>
        <w:t xml:space="preserve">18.1.3 需要进行国家验收的，竣工验收是国家验收的一部分。竣工验收所采用的各项验收和评定标准应符合国家验收标准。发包人和承包人为竣工验收提供的各项竣工验收资料应符合国家验收的要求。 </w:t>
      </w:r>
    </w:p>
    <w:p w14:paraId="683372C8">
      <w:pPr>
        <w:pStyle w:val="45"/>
        <w:rPr>
          <w:color w:val="auto"/>
          <w:highlight w:val="none"/>
        </w:rPr>
      </w:pPr>
      <w:bookmarkStart w:id="859" w:name="_Toc152042506"/>
      <w:bookmarkStart w:id="860" w:name="_Toc144974698"/>
      <w:bookmarkStart w:id="861" w:name="_Toc21822"/>
      <w:bookmarkStart w:id="862" w:name="_Toc179632745"/>
      <w:bookmarkStart w:id="863" w:name="_Toc152045727"/>
      <w:r>
        <w:rPr>
          <w:rFonts w:hint="eastAsia"/>
          <w:color w:val="auto"/>
          <w:highlight w:val="none"/>
        </w:rPr>
        <w:t>18.2 竣工验收申请报告</w:t>
      </w:r>
      <w:bookmarkEnd w:id="859"/>
      <w:bookmarkEnd w:id="860"/>
      <w:bookmarkEnd w:id="861"/>
      <w:bookmarkEnd w:id="862"/>
      <w:bookmarkEnd w:id="863"/>
    </w:p>
    <w:p w14:paraId="0FD9A83A">
      <w:pPr>
        <w:spacing w:line="400" w:lineRule="exact"/>
        <w:ind w:firstLine="420" w:firstLineChars="200"/>
        <w:rPr>
          <w:color w:val="auto"/>
          <w:highlight w:val="none"/>
        </w:rPr>
      </w:pPr>
      <w:r>
        <w:rPr>
          <w:rFonts w:hint="eastAsia"/>
          <w:color w:val="auto"/>
          <w:highlight w:val="none"/>
        </w:rPr>
        <w:t>当工程具备以下条件时，承包人即可向监理人报送竣工验收申请报告：</w:t>
      </w:r>
    </w:p>
    <w:p w14:paraId="3433378A">
      <w:pPr>
        <w:spacing w:line="400" w:lineRule="exact"/>
        <w:ind w:firstLine="359" w:firstLineChars="171"/>
        <w:rPr>
          <w:color w:val="auto"/>
          <w:highlight w:val="none"/>
        </w:rPr>
      </w:pPr>
      <w:r>
        <w:rPr>
          <w:rFonts w:hint="eastAsia"/>
          <w:color w:val="auto"/>
          <w:highlight w:val="none"/>
        </w:rPr>
        <w:t>（1）除监理人同意列入缺陷责任期内完成的尾工（甩项）工程和缺陷修补工作外，合同范围内的全部单位工程以及有关工作，包括合同要求的试验、试运行以及检验和验收均已完成，并符合合同要求；</w:t>
      </w:r>
    </w:p>
    <w:p w14:paraId="088DA3C9">
      <w:pPr>
        <w:spacing w:line="400" w:lineRule="exact"/>
        <w:ind w:firstLine="359" w:firstLineChars="171"/>
        <w:rPr>
          <w:color w:val="auto"/>
          <w:highlight w:val="none"/>
        </w:rPr>
      </w:pPr>
      <w:r>
        <w:rPr>
          <w:rFonts w:hint="eastAsia"/>
          <w:color w:val="auto"/>
          <w:highlight w:val="none"/>
        </w:rPr>
        <w:t xml:space="preserve">（2）已按合同约定的内容和份数备齐了符合要求的竣工资料； </w:t>
      </w:r>
    </w:p>
    <w:p w14:paraId="21EE8686">
      <w:pPr>
        <w:spacing w:line="400" w:lineRule="exact"/>
        <w:ind w:firstLine="359" w:firstLineChars="171"/>
        <w:rPr>
          <w:color w:val="auto"/>
          <w:highlight w:val="none"/>
        </w:rPr>
      </w:pPr>
      <w:r>
        <w:rPr>
          <w:rFonts w:hint="eastAsia"/>
          <w:color w:val="auto"/>
          <w:highlight w:val="none"/>
        </w:rPr>
        <w:t>（3）已按监理人的要求编制了在缺陷责任期内完成的尾工（甩项）工程和缺陷修补工作清单以及相应施工计划；</w:t>
      </w:r>
    </w:p>
    <w:p w14:paraId="182B4628">
      <w:pPr>
        <w:spacing w:line="400" w:lineRule="exact"/>
        <w:ind w:firstLine="359" w:firstLineChars="171"/>
        <w:rPr>
          <w:color w:val="auto"/>
          <w:highlight w:val="none"/>
        </w:rPr>
      </w:pPr>
      <w:r>
        <w:rPr>
          <w:rFonts w:hint="eastAsia"/>
          <w:color w:val="auto"/>
          <w:highlight w:val="none"/>
        </w:rPr>
        <w:t>（4）监理人要求在竣工验收前应完成的其他工作；</w:t>
      </w:r>
    </w:p>
    <w:p w14:paraId="7DE0CD80">
      <w:pPr>
        <w:spacing w:line="400" w:lineRule="exact"/>
        <w:ind w:firstLine="359" w:firstLineChars="171"/>
        <w:rPr>
          <w:color w:val="auto"/>
          <w:highlight w:val="none"/>
        </w:rPr>
      </w:pPr>
      <w:r>
        <w:rPr>
          <w:rFonts w:hint="eastAsia"/>
          <w:color w:val="auto"/>
          <w:highlight w:val="none"/>
        </w:rPr>
        <w:t>（5）监理人要求提交的竣工验收资料清单。</w:t>
      </w:r>
    </w:p>
    <w:p w14:paraId="1EFE46E1">
      <w:pPr>
        <w:pStyle w:val="45"/>
        <w:rPr>
          <w:color w:val="auto"/>
          <w:highlight w:val="none"/>
        </w:rPr>
      </w:pPr>
      <w:bookmarkStart w:id="864" w:name="_Toc179632746"/>
      <w:bookmarkStart w:id="865" w:name="_Toc144974699"/>
      <w:bookmarkStart w:id="866" w:name="_Toc6557"/>
      <w:bookmarkStart w:id="867" w:name="_Toc152042507"/>
      <w:bookmarkStart w:id="868" w:name="_Toc152045728"/>
      <w:r>
        <w:rPr>
          <w:rFonts w:hint="eastAsia"/>
          <w:color w:val="auto"/>
          <w:highlight w:val="none"/>
        </w:rPr>
        <w:t>18.3 验收</w:t>
      </w:r>
      <w:bookmarkEnd w:id="864"/>
      <w:bookmarkEnd w:id="865"/>
      <w:bookmarkEnd w:id="866"/>
      <w:bookmarkEnd w:id="867"/>
      <w:bookmarkEnd w:id="868"/>
    </w:p>
    <w:p w14:paraId="1E339DB9">
      <w:pPr>
        <w:spacing w:line="400" w:lineRule="exact"/>
        <w:ind w:firstLine="420" w:firstLineChars="200"/>
        <w:rPr>
          <w:color w:val="auto"/>
          <w:highlight w:val="none"/>
        </w:rPr>
      </w:pPr>
      <w:r>
        <w:rPr>
          <w:rFonts w:hint="eastAsia"/>
          <w:color w:val="auto"/>
          <w:highlight w:val="none"/>
        </w:rPr>
        <w:t>监理人收到承包人按第18.2款约定提交的竣工验收申请报告后，应审查申请报告的各项内容，并按以下不同情况进行处理。</w:t>
      </w:r>
    </w:p>
    <w:p w14:paraId="0CFD84D2">
      <w:pPr>
        <w:spacing w:line="400" w:lineRule="exact"/>
        <w:ind w:firstLine="420" w:firstLineChars="200"/>
        <w:rPr>
          <w:color w:val="auto"/>
          <w:highlight w:val="none"/>
        </w:rPr>
      </w:pPr>
      <w:r>
        <w:rPr>
          <w:rFonts w:hint="eastAsia"/>
          <w:color w:val="auto"/>
          <w:highlight w:val="none"/>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14:paraId="0F5C2A45">
      <w:pPr>
        <w:spacing w:line="400" w:lineRule="exact"/>
        <w:ind w:firstLine="420" w:firstLineChars="200"/>
        <w:rPr>
          <w:color w:val="auto"/>
          <w:highlight w:val="none"/>
        </w:rPr>
      </w:pPr>
      <w:r>
        <w:rPr>
          <w:rFonts w:hint="eastAsia"/>
          <w:color w:val="auto"/>
          <w:highlight w:val="none"/>
        </w:rPr>
        <w:t>18.3.2 监理人审查后认为已具备竣工验收条件的，应在收到竣工验收申请报告后的28天内提请发包人进行工程验收。</w:t>
      </w:r>
    </w:p>
    <w:p w14:paraId="7B085927">
      <w:pPr>
        <w:spacing w:line="400" w:lineRule="exact"/>
        <w:ind w:firstLine="420" w:firstLineChars="200"/>
        <w:rPr>
          <w:color w:val="auto"/>
          <w:highlight w:val="none"/>
        </w:rPr>
      </w:pPr>
      <w:r>
        <w:rPr>
          <w:rFonts w:hint="eastAsia"/>
          <w:color w:val="auto"/>
          <w:highlight w:val="none"/>
        </w:rPr>
        <w:t>18.3.3发包人经过验收后同意接</w:t>
      </w:r>
      <w:r>
        <w:rPr>
          <w:rFonts w:hint="eastAsia"/>
          <w:color w:val="auto"/>
          <w:highlight w:val="none"/>
          <w:lang w:val="en-US" w:eastAsia="zh-CN"/>
        </w:rPr>
        <w:t>收</w:t>
      </w:r>
      <w:r>
        <w:rPr>
          <w:rFonts w:hint="eastAsia"/>
          <w:color w:val="auto"/>
          <w:highlight w:val="none"/>
        </w:rPr>
        <w:t>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14:paraId="32167E9E">
      <w:pPr>
        <w:spacing w:line="400" w:lineRule="exact"/>
        <w:ind w:firstLine="420" w:firstLineChars="200"/>
        <w:rPr>
          <w:color w:val="auto"/>
          <w:highlight w:val="none"/>
        </w:rPr>
      </w:pPr>
      <w:r>
        <w:rPr>
          <w:rFonts w:hint="eastAsia"/>
          <w:color w:val="auto"/>
          <w:highlight w:val="none"/>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项、第18.3.2项和第18.3.3项的约定进行。</w:t>
      </w:r>
    </w:p>
    <w:p w14:paraId="78448B50">
      <w:pPr>
        <w:spacing w:line="400" w:lineRule="exact"/>
        <w:ind w:firstLine="420" w:firstLineChars="200"/>
        <w:rPr>
          <w:color w:val="auto"/>
          <w:highlight w:val="none"/>
        </w:rPr>
      </w:pPr>
      <w:r>
        <w:rPr>
          <w:rFonts w:hint="eastAsia"/>
          <w:color w:val="auto"/>
          <w:highlight w:val="none"/>
        </w:rPr>
        <w:t>18.3.5 除专用合同条款另有约定外，经验收合格工程的实际竣工日期，以提交竣工验收申请报告的日期为准，并在工程接收证书中写明。</w:t>
      </w:r>
    </w:p>
    <w:p w14:paraId="0D7AC04F">
      <w:pPr>
        <w:spacing w:line="400" w:lineRule="exact"/>
        <w:ind w:firstLine="420" w:firstLineChars="200"/>
        <w:rPr>
          <w:color w:val="auto"/>
          <w:highlight w:val="none"/>
        </w:rPr>
      </w:pPr>
      <w:r>
        <w:rPr>
          <w:rFonts w:hint="eastAsia"/>
          <w:color w:val="auto"/>
          <w:highlight w:val="none"/>
        </w:rPr>
        <w:t>18.3.6 发包人在收到承包人竣工验收申请报告56天后未进行验收的，视为验收合格，实际竣工日期以提交竣工验收申请报告的日期为准，但发包人由于不可抗力不能进行验收的除外。</w:t>
      </w:r>
    </w:p>
    <w:p w14:paraId="4AF3AB27">
      <w:pPr>
        <w:pStyle w:val="45"/>
        <w:rPr>
          <w:color w:val="auto"/>
          <w:highlight w:val="none"/>
        </w:rPr>
      </w:pPr>
      <w:bookmarkStart w:id="869" w:name="_Toc144974700"/>
      <w:bookmarkStart w:id="870" w:name="_Toc3278"/>
      <w:bookmarkStart w:id="871" w:name="_Toc179632747"/>
      <w:bookmarkStart w:id="872" w:name="_Toc152042508"/>
      <w:bookmarkStart w:id="873" w:name="_Toc152045729"/>
      <w:r>
        <w:rPr>
          <w:rFonts w:hint="eastAsia"/>
          <w:color w:val="auto"/>
          <w:highlight w:val="none"/>
        </w:rPr>
        <w:t>18.4 单位工程验收</w:t>
      </w:r>
      <w:bookmarkEnd w:id="869"/>
      <w:bookmarkEnd w:id="870"/>
      <w:bookmarkEnd w:id="871"/>
      <w:bookmarkEnd w:id="872"/>
      <w:bookmarkEnd w:id="873"/>
    </w:p>
    <w:p w14:paraId="5DD29556">
      <w:pPr>
        <w:spacing w:line="400" w:lineRule="exact"/>
        <w:ind w:firstLine="420" w:firstLineChars="200"/>
        <w:rPr>
          <w:color w:val="auto"/>
          <w:highlight w:val="none"/>
        </w:rPr>
      </w:pPr>
      <w:r>
        <w:rPr>
          <w:rFonts w:hint="eastAsia"/>
          <w:color w:val="auto"/>
          <w:highlight w:val="none"/>
        </w:rPr>
        <w:t>18.4.1 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14:paraId="7E9AB36E">
      <w:pPr>
        <w:spacing w:line="400" w:lineRule="exact"/>
        <w:ind w:firstLine="420" w:firstLineChars="200"/>
        <w:rPr>
          <w:color w:val="auto"/>
          <w:highlight w:val="none"/>
        </w:rPr>
      </w:pPr>
      <w:r>
        <w:rPr>
          <w:rFonts w:hint="eastAsia"/>
          <w:color w:val="auto"/>
          <w:highlight w:val="none"/>
        </w:rPr>
        <w:t>18.4.2 发包人在全部工程竣工前，使用已接收的单位工程导致承包人费用增加的，发包人应承担由此增加的费用和（或）工期延误，并支付承包人合理利润。</w:t>
      </w:r>
    </w:p>
    <w:p w14:paraId="7786CED1">
      <w:pPr>
        <w:pStyle w:val="45"/>
        <w:rPr>
          <w:color w:val="auto"/>
          <w:highlight w:val="none"/>
        </w:rPr>
      </w:pPr>
      <w:bookmarkStart w:id="874" w:name="_Toc144974701"/>
      <w:bookmarkStart w:id="875" w:name="_Toc179632748"/>
      <w:bookmarkStart w:id="876" w:name="_Toc16890"/>
      <w:bookmarkStart w:id="877" w:name="_Toc152045730"/>
      <w:bookmarkStart w:id="878" w:name="_Toc152042509"/>
      <w:r>
        <w:rPr>
          <w:rFonts w:hint="eastAsia"/>
          <w:color w:val="auto"/>
          <w:highlight w:val="none"/>
        </w:rPr>
        <w:t>18.5 施工期运行</w:t>
      </w:r>
      <w:bookmarkEnd w:id="874"/>
      <w:bookmarkEnd w:id="875"/>
      <w:bookmarkEnd w:id="876"/>
      <w:bookmarkEnd w:id="877"/>
      <w:bookmarkEnd w:id="878"/>
    </w:p>
    <w:p w14:paraId="3C8D926C">
      <w:pPr>
        <w:spacing w:line="400" w:lineRule="exact"/>
        <w:ind w:firstLine="420" w:firstLineChars="200"/>
        <w:rPr>
          <w:color w:val="auto"/>
          <w:highlight w:val="none"/>
        </w:rPr>
      </w:pPr>
      <w:r>
        <w:rPr>
          <w:rFonts w:hint="eastAsia"/>
          <w:color w:val="auto"/>
          <w:highlight w:val="none"/>
        </w:rPr>
        <w:t>18.5.1 施工期运行是指合同工程尚未全部竣工，其中某项或某几项单位工程或工程设备安装已竣工，根据专用合同条款约定，需要投入施工期运行的，经发包人按第18.4款的约定验收合格，证明能确保安全后，才能在施工期投入运行。</w:t>
      </w:r>
    </w:p>
    <w:p w14:paraId="7B9047DE">
      <w:pPr>
        <w:spacing w:line="400" w:lineRule="exact"/>
        <w:ind w:firstLine="420" w:firstLineChars="200"/>
        <w:rPr>
          <w:color w:val="auto"/>
          <w:highlight w:val="none"/>
        </w:rPr>
      </w:pPr>
      <w:r>
        <w:rPr>
          <w:rFonts w:hint="eastAsia"/>
          <w:color w:val="auto"/>
          <w:highlight w:val="none"/>
        </w:rPr>
        <w:t>18.5.2 在施工期运行中发现工程或工程设备损坏或存在缺陷的，由承包人按第19.2款约定进行修复。</w:t>
      </w:r>
    </w:p>
    <w:p w14:paraId="74C6A2BB">
      <w:pPr>
        <w:pStyle w:val="45"/>
        <w:rPr>
          <w:color w:val="auto"/>
          <w:highlight w:val="none"/>
        </w:rPr>
      </w:pPr>
      <w:bookmarkStart w:id="879" w:name="_Toc144974702"/>
      <w:bookmarkStart w:id="880" w:name="_Toc152042510"/>
      <w:bookmarkStart w:id="881" w:name="_Toc18217"/>
      <w:bookmarkStart w:id="882" w:name="_Toc152045731"/>
      <w:bookmarkStart w:id="883" w:name="_Toc179632749"/>
      <w:r>
        <w:rPr>
          <w:rFonts w:hint="eastAsia"/>
          <w:color w:val="auto"/>
          <w:highlight w:val="none"/>
        </w:rPr>
        <w:t>18.6 试运行</w:t>
      </w:r>
      <w:bookmarkEnd w:id="879"/>
      <w:bookmarkEnd w:id="880"/>
      <w:bookmarkEnd w:id="881"/>
      <w:bookmarkEnd w:id="882"/>
      <w:bookmarkEnd w:id="883"/>
    </w:p>
    <w:p w14:paraId="4606577A">
      <w:pPr>
        <w:spacing w:line="400" w:lineRule="exact"/>
        <w:ind w:firstLine="420" w:firstLineChars="200"/>
        <w:rPr>
          <w:color w:val="auto"/>
          <w:highlight w:val="none"/>
        </w:rPr>
      </w:pPr>
      <w:r>
        <w:rPr>
          <w:rFonts w:hint="eastAsia"/>
          <w:color w:val="auto"/>
          <w:highlight w:val="none"/>
        </w:rPr>
        <w:t>18.6.1 除专用合同条款另有约定外，承包人应按专用合同条款约定进行工程及工程设备试运行，负责提供试运行所需的人员、器材和必要的条件，并承担全部试运行费用。</w:t>
      </w:r>
    </w:p>
    <w:p w14:paraId="3443DC11">
      <w:pPr>
        <w:spacing w:line="400" w:lineRule="exact"/>
        <w:ind w:firstLine="420" w:firstLineChars="200"/>
        <w:rPr>
          <w:color w:val="auto"/>
          <w:highlight w:val="none"/>
        </w:rPr>
      </w:pPr>
      <w:r>
        <w:rPr>
          <w:rFonts w:hint="eastAsia"/>
          <w:color w:val="auto"/>
          <w:highlight w:val="none"/>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29DEC088">
      <w:pPr>
        <w:pStyle w:val="45"/>
        <w:rPr>
          <w:color w:val="auto"/>
          <w:highlight w:val="none"/>
        </w:rPr>
      </w:pPr>
      <w:bookmarkStart w:id="884" w:name="_Toc152042511"/>
      <w:bookmarkStart w:id="885" w:name="_Toc179632750"/>
      <w:bookmarkStart w:id="886" w:name="_Toc152045732"/>
      <w:bookmarkStart w:id="887" w:name="_Toc5815"/>
      <w:bookmarkStart w:id="888" w:name="_Toc144974703"/>
      <w:r>
        <w:rPr>
          <w:rFonts w:hint="eastAsia"/>
          <w:color w:val="auto"/>
          <w:highlight w:val="none"/>
        </w:rPr>
        <w:t>18.7 竣工清场</w:t>
      </w:r>
      <w:bookmarkEnd w:id="884"/>
      <w:bookmarkEnd w:id="885"/>
      <w:bookmarkEnd w:id="886"/>
      <w:bookmarkEnd w:id="887"/>
      <w:bookmarkEnd w:id="888"/>
    </w:p>
    <w:p w14:paraId="1007EF88">
      <w:pPr>
        <w:spacing w:line="400" w:lineRule="exact"/>
        <w:ind w:firstLine="420" w:firstLineChars="200"/>
        <w:rPr>
          <w:color w:val="auto"/>
          <w:highlight w:val="none"/>
        </w:rPr>
      </w:pPr>
      <w:r>
        <w:rPr>
          <w:rFonts w:hint="eastAsia"/>
          <w:color w:val="auto"/>
          <w:highlight w:val="none"/>
        </w:rPr>
        <w:t>18.7.1 除合同另有约定外，工程接收证书颁发后，承包人应按以下要求对施工场地进行清理，直至监理人检验合格为止。竣工清场费用由承包人承担。</w:t>
      </w:r>
    </w:p>
    <w:p w14:paraId="472601DA">
      <w:pPr>
        <w:spacing w:line="400" w:lineRule="exact"/>
        <w:ind w:firstLine="718" w:firstLineChars="342"/>
        <w:rPr>
          <w:color w:val="auto"/>
          <w:highlight w:val="none"/>
        </w:rPr>
      </w:pPr>
      <w:r>
        <w:rPr>
          <w:rFonts w:hint="eastAsia"/>
          <w:color w:val="auto"/>
          <w:highlight w:val="none"/>
        </w:rPr>
        <w:t>（1）施工场地内残留的垃圾已全部清除出场；</w:t>
      </w:r>
    </w:p>
    <w:p w14:paraId="166A652C">
      <w:pPr>
        <w:spacing w:line="400" w:lineRule="exact"/>
        <w:ind w:firstLine="718" w:firstLineChars="342"/>
        <w:rPr>
          <w:color w:val="auto"/>
          <w:highlight w:val="none"/>
        </w:rPr>
      </w:pPr>
      <w:r>
        <w:rPr>
          <w:rFonts w:hint="eastAsia"/>
          <w:color w:val="auto"/>
          <w:highlight w:val="none"/>
        </w:rPr>
        <w:t>（2）临时工程已拆除，场地已按合同要求进行清理、平整或复原；</w:t>
      </w:r>
    </w:p>
    <w:p w14:paraId="4FBAFA4F">
      <w:pPr>
        <w:spacing w:line="400" w:lineRule="exact"/>
        <w:ind w:firstLine="718" w:firstLineChars="342"/>
        <w:rPr>
          <w:color w:val="auto"/>
          <w:highlight w:val="none"/>
        </w:rPr>
      </w:pPr>
      <w:r>
        <w:rPr>
          <w:rFonts w:hint="eastAsia"/>
          <w:color w:val="auto"/>
          <w:highlight w:val="none"/>
        </w:rPr>
        <w:t>（3）按合同约定应撤离的承包人设备和剩余的材料，包括废弃的施工设备和材料，已按计划撤离施工场地；</w:t>
      </w:r>
    </w:p>
    <w:p w14:paraId="6AAC9729">
      <w:pPr>
        <w:spacing w:line="400" w:lineRule="exact"/>
        <w:ind w:firstLine="718" w:firstLineChars="342"/>
        <w:rPr>
          <w:color w:val="auto"/>
          <w:highlight w:val="none"/>
        </w:rPr>
      </w:pPr>
      <w:r>
        <w:rPr>
          <w:rFonts w:hint="eastAsia"/>
          <w:color w:val="auto"/>
          <w:highlight w:val="none"/>
        </w:rPr>
        <w:t>（4）工程建筑物周边及其附近道路、河道的施工堆积物，已按监理人指示全部清理；</w:t>
      </w:r>
    </w:p>
    <w:p w14:paraId="444C1163">
      <w:pPr>
        <w:spacing w:line="400" w:lineRule="exact"/>
        <w:ind w:firstLine="718" w:firstLineChars="342"/>
        <w:rPr>
          <w:color w:val="auto"/>
          <w:highlight w:val="none"/>
        </w:rPr>
      </w:pPr>
      <w:r>
        <w:rPr>
          <w:rFonts w:hint="eastAsia"/>
          <w:color w:val="auto"/>
          <w:highlight w:val="none"/>
        </w:rPr>
        <w:t>（5）监理人指示的其他场地清理工作已全部完成。</w:t>
      </w:r>
    </w:p>
    <w:p w14:paraId="44A7B181">
      <w:pPr>
        <w:spacing w:line="400" w:lineRule="exact"/>
        <w:ind w:firstLine="420" w:firstLineChars="200"/>
        <w:rPr>
          <w:color w:val="auto"/>
          <w:highlight w:val="none"/>
        </w:rPr>
      </w:pPr>
      <w:r>
        <w:rPr>
          <w:rFonts w:hint="eastAsia"/>
          <w:color w:val="auto"/>
          <w:highlight w:val="none"/>
        </w:rPr>
        <w:t>18.7.2 承包人未按监理人的要求恢复临时占地，或者场地清理未达到合同约定的，发包人有权委托其他人恢复或清理，所发生的金额从拟支付给承包人的款项中扣除。</w:t>
      </w:r>
    </w:p>
    <w:p w14:paraId="516BDAFA">
      <w:pPr>
        <w:pStyle w:val="45"/>
        <w:rPr>
          <w:color w:val="auto"/>
          <w:highlight w:val="none"/>
        </w:rPr>
      </w:pPr>
      <w:bookmarkStart w:id="889" w:name="_Toc25386"/>
      <w:bookmarkStart w:id="890" w:name="_Toc152042512"/>
      <w:bookmarkStart w:id="891" w:name="_Toc144974704"/>
      <w:bookmarkStart w:id="892" w:name="_Toc179632751"/>
      <w:bookmarkStart w:id="893" w:name="_Toc152045733"/>
      <w:r>
        <w:rPr>
          <w:rFonts w:hint="eastAsia"/>
          <w:color w:val="auto"/>
          <w:highlight w:val="none"/>
        </w:rPr>
        <w:t>18.8 施工队伍的撤离</w:t>
      </w:r>
      <w:bookmarkEnd w:id="889"/>
      <w:bookmarkEnd w:id="890"/>
      <w:bookmarkEnd w:id="891"/>
      <w:bookmarkEnd w:id="892"/>
      <w:bookmarkEnd w:id="893"/>
    </w:p>
    <w:p w14:paraId="2C12903C">
      <w:pPr>
        <w:spacing w:line="400" w:lineRule="exact"/>
        <w:ind w:firstLine="420" w:firstLineChars="200"/>
        <w:rPr>
          <w:color w:val="auto"/>
          <w:highlight w:val="none"/>
        </w:rPr>
      </w:pPr>
      <w:r>
        <w:rPr>
          <w:rFonts w:hint="eastAsia"/>
          <w:color w:val="auto"/>
          <w:highlight w:val="none"/>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33587F1B">
      <w:pPr>
        <w:pStyle w:val="44"/>
        <w:rPr>
          <w:color w:val="auto"/>
          <w:highlight w:val="none"/>
        </w:rPr>
      </w:pPr>
      <w:bookmarkStart w:id="894" w:name="_Toc179632752"/>
      <w:bookmarkStart w:id="895" w:name="_Toc152045734"/>
      <w:bookmarkStart w:id="896" w:name="_Toc19737"/>
      <w:bookmarkStart w:id="897" w:name="_Toc809"/>
      <w:bookmarkStart w:id="898" w:name="_Toc152042513"/>
      <w:bookmarkStart w:id="899" w:name="_Toc4555"/>
      <w:bookmarkStart w:id="900" w:name="_Toc144974705"/>
      <w:r>
        <w:rPr>
          <w:rFonts w:hint="eastAsia"/>
          <w:color w:val="auto"/>
          <w:highlight w:val="none"/>
        </w:rPr>
        <w:t>19. 缺陷责任与保修责任</w:t>
      </w:r>
      <w:bookmarkEnd w:id="894"/>
      <w:bookmarkEnd w:id="895"/>
      <w:bookmarkEnd w:id="896"/>
      <w:bookmarkEnd w:id="897"/>
      <w:bookmarkEnd w:id="898"/>
      <w:bookmarkEnd w:id="899"/>
      <w:bookmarkEnd w:id="900"/>
    </w:p>
    <w:p w14:paraId="29956333">
      <w:pPr>
        <w:pStyle w:val="45"/>
        <w:rPr>
          <w:color w:val="auto"/>
          <w:highlight w:val="none"/>
        </w:rPr>
      </w:pPr>
      <w:bookmarkStart w:id="901" w:name="_Toc152042514"/>
      <w:bookmarkStart w:id="902" w:name="_Toc12058"/>
      <w:bookmarkStart w:id="903" w:name="_Toc179632753"/>
      <w:bookmarkStart w:id="904" w:name="_Toc152045735"/>
      <w:bookmarkStart w:id="905" w:name="_Toc144974706"/>
      <w:r>
        <w:rPr>
          <w:rFonts w:hint="eastAsia"/>
          <w:color w:val="auto"/>
          <w:highlight w:val="none"/>
        </w:rPr>
        <w:t>19.1 缺陷责任期的起算时间</w:t>
      </w:r>
      <w:bookmarkEnd w:id="901"/>
      <w:bookmarkEnd w:id="902"/>
      <w:bookmarkEnd w:id="903"/>
      <w:bookmarkEnd w:id="904"/>
      <w:bookmarkEnd w:id="905"/>
    </w:p>
    <w:p w14:paraId="71AB4EB5">
      <w:pPr>
        <w:spacing w:line="400" w:lineRule="exact"/>
        <w:ind w:firstLine="420" w:firstLineChars="200"/>
        <w:rPr>
          <w:color w:val="auto"/>
          <w:highlight w:val="none"/>
        </w:rPr>
      </w:pPr>
      <w:r>
        <w:rPr>
          <w:rFonts w:hint="eastAsia"/>
          <w:color w:val="auto"/>
          <w:highlight w:val="none"/>
        </w:rPr>
        <w:t>缺陷责任期自实际竣工日期起计算。在全部工程竣工验收前，已经发包人提前验收的单位工程，其缺陷责任期的起算日期相应提前。</w:t>
      </w:r>
    </w:p>
    <w:p w14:paraId="1175CFEE">
      <w:pPr>
        <w:pStyle w:val="45"/>
        <w:rPr>
          <w:color w:val="auto"/>
          <w:highlight w:val="none"/>
        </w:rPr>
      </w:pPr>
      <w:bookmarkStart w:id="906" w:name="_Toc152045736"/>
      <w:bookmarkStart w:id="907" w:name="_Toc179632754"/>
      <w:bookmarkStart w:id="908" w:name="_Toc29614"/>
      <w:bookmarkStart w:id="909" w:name="_Toc152042515"/>
      <w:bookmarkStart w:id="910" w:name="_Toc144974707"/>
      <w:r>
        <w:rPr>
          <w:rFonts w:hint="eastAsia"/>
          <w:color w:val="auto"/>
          <w:highlight w:val="none"/>
        </w:rPr>
        <w:t>19.2 缺陷责任</w:t>
      </w:r>
      <w:bookmarkEnd w:id="906"/>
      <w:bookmarkEnd w:id="907"/>
      <w:bookmarkEnd w:id="908"/>
      <w:bookmarkEnd w:id="909"/>
      <w:bookmarkEnd w:id="910"/>
    </w:p>
    <w:p w14:paraId="13F37F38">
      <w:pPr>
        <w:spacing w:line="400" w:lineRule="exact"/>
        <w:ind w:firstLine="420" w:firstLineChars="200"/>
        <w:rPr>
          <w:color w:val="auto"/>
          <w:highlight w:val="none"/>
        </w:rPr>
      </w:pPr>
      <w:r>
        <w:rPr>
          <w:rFonts w:hint="eastAsia"/>
          <w:color w:val="auto"/>
          <w:highlight w:val="none"/>
        </w:rPr>
        <w:t>19.2.1 承包人应在缺陷责任期内对已交付使用的工程承担缺陷责任。</w:t>
      </w:r>
    </w:p>
    <w:p w14:paraId="5EFC57CD">
      <w:pPr>
        <w:spacing w:line="400" w:lineRule="exact"/>
        <w:ind w:firstLine="420" w:firstLineChars="200"/>
        <w:rPr>
          <w:color w:val="auto"/>
          <w:highlight w:val="none"/>
        </w:rPr>
      </w:pPr>
      <w:r>
        <w:rPr>
          <w:rFonts w:hint="eastAsia"/>
          <w:color w:val="auto"/>
          <w:highlight w:val="none"/>
        </w:rPr>
        <w:t>19.2.2 缺陷责任期内，发包人对已接收使用的工程负责日常维护工作。发包人在使用过程中，发现已接收的工程存在新的缺陷或已修复的缺陷部位或部件又遭损坏的，承包人应负责修复，直至检验合格为止。</w:t>
      </w:r>
    </w:p>
    <w:p w14:paraId="03F9B0DF">
      <w:pPr>
        <w:spacing w:line="400" w:lineRule="exact"/>
        <w:ind w:firstLine="420" w:firstLineChars="200"/>
        <w:rPr>
          <w:color w:val="auto"/>
          <w:highlight w:val="none"/>
        </w:rPr>
      </w:pPr>
      <w:r>
        <w:rPr>
          <w:rFonts w:hint="eastAsia"/>
          <w:color w:val="auto"/>
          <w:highlight w:val="none"/>
        </w:rPr>
        <w:t>19.2.3 监理人和承包人应共同查清缺陷和（或）损坏的原因。经查明属承包人原因造成的，应由承包人承担修复和查验的费用。经查验属发包人原因造成的，发包人应承担修复和查验的费用，并支付承包人合理利润。</w:t>
      </w:r>
    </w:p>
    <w:p w14:paraId="27CD9803">
      <w:pPr>
        <w:spacing w:line="400" w:lineRule="exact"/>
        <w:ind w:firstLine="420" w:firstLineChars="200"/>
        <w:rPr>
          <w:color w:val="auto"/>
          <w:highlight w:val="none"/>
        </w:rPr>
      </w:pPr>
      <w:r>
        <w:rPr>
          <w:rFonts w:hint="eastAsia"/>
          <w:color w:val="auto"/>
          <w:highlight w:val="none"/>
        </w:rPr>
        <w:t>19.2.4 承包人不能在合理时间内修复缺陷的，发包人可自行修复或委托其他人修复，所需费用和利润的承担，按第19.2.3项约定办理。</w:t>
      </w:r>
    </w:p>
    <w:p w14:paraId="22C66A7C">
      <w:pPr>
        <w:pStyle w:val="45"/>
        <w:rPr>
          <w:color w:val="auto"/>
          <w:highlight w:val="none"/>
        </w:rPr>
      </w:pPr>
      <w:bookmarkStart w:id="911" w:name="_Toc152045737"/>
      <w:bookmarkStart w:id="912" w:name="_Toc152042516"/>
      <w:bookmarkStart w:id="913" w:name="_Toc179632755"/>
      <w:bookmarkStart w:id="914" w:name="_Toc144974708"/>
      <w:bookmarkStart w:id="915" w:name="_Toc18474"/>
      <w:r>
        <w:rPr>
          <w:rFonts w:hint="eastAsia"/>
          <w:color w:val="auto"/>
          <w:highlight w:val="none"/>
        </w:rPr>
        <w:t>19.3 缺陷责任期的延长</w:t>
      </w:r>
      <w:bookmarkEnd w:id="911"/>
      <w:bookmarkEnd w:id="912"/>
      <w:bookmarkEnd w:id="913"/>
      <w:bookmarkEnd w:id="914"/>
      <w:bookmarkEnd w:id="915"/>
    </w:p>
    <w:p w14:paraId="0D6650A9">
      <w:pPr>
        <w:spacing w:line="400" w:lineRule="exact"/>
        <w:ind w:firstLine="420" w:firstLineChars="200"/>
        <w:rPr>
          <w:color w:val="auto"/>
          <w:highlight w:val="none"/>
        </w:rPr>
      </w:pPr>
      <w:r>
        <w:rPr>
          <w:rFonts w:hint="eastAsia"/>
          <w:color w:val="auto"/>
          <w:highlight w:val="none"/>
        </w:rPr>
        <w:t>由于承包人原因造成某项缺陷或损坏使某项工程或工程设备不能按原定目标使用而需要再次检查、检验和修复的，发包人有权要求承包人相应延长缺陷责任期，但缺陷责任期最长不超过2年。</w:t>
      </w:r>
    </w:p>
    <w:p w14:paraId="41E2BC4D">
      <w:pPr>
        <w:pStyle w:val="45"/>
        <w:rPr>
          <w:color w:val="auto"/>
          <w:highlight w:val="none"/>
        </w:rPr>
      </w:pPr>
      <w:bookmarkStart w:id="916" w:name="_Toc152042517"/>
      <w:bookmarkStart w:id="917" w:name="_Toc144974709"/>
      <w:bookmarkStart w:id="918" w:name="_Toc152045738"/>
      <w:bookmarkStart w:id="919" w:name="_Toc179632756"/>
      <w:bookmarkStart w:id="920" w:name="_Toc12735"/>
      <w:r>
        <w:rPr>
          <w:rFonts w:hint="eastAsia"/>
          <w:color w:val="auto"/>
          <w:highlight w:val="none"/>
        </w:rPr>
        <w:t>19.4 进一步试验和试运行</w:t>
      </w:r>
      <w:bookmarkEnd w:id="916"/>
      <w:bookmarkEnd w:id="917"/>
      <w:bookmarkEnd w:id="918"/>
      <w:bookmarkEnd w:id="919"/>
      <w:bookmarkEnd w:id="920"/>
    </w:p>
    <w:p w14:paraId="4B649C4F">
      <w:pPr>
        <w:spacing w:line="400" w:lineRule="exact"/>
        <w:ind w:firstLine="420" w:firstLineChars="200"/>
        <w:rPr>
          <w:color w:val="auto"/>
          <w:highlight w:val="none"/>
        </w:rPr>
      </w:pPr>
      <w:r>
        <w:rPr>
          <w:rFonts w:hint="eastAsia"/>
          <w:color w:val="auto"/>
          <w:highlight w:val="none"/>
        </w:rPr>
        <w:t>任何一项缺陷或损坏修复后，经检查证明其影响了工程或工程设备的使用性能，承包人应重新进行合同约定的试验和试运行，试验和试运行的全部费用应由责任方承担。</w:t>
      </w:r>
    </w:p>
    <w:p w14:paraId="2CAB2E1C">
      <w:pPr>
        <w:pStyle w:val="45"/>
        <w:rPr>
          <w:color w:val="auto"/>
          <w:highlight w:val="none"/>
        </w:rPr>
      </w:pPr>
      <w:bookmarkStart w:id="921" w:name="_Toc179632757"/>
      <w:bookmarkStart w:id="922" w:name="_Toc5844"/>
      <w:bookmarkStart w:id="923" w:name="_Toc152045739"/>
      <w:bookmarkStart w:id="924" w:name="_Toc152042518"/>
      <w:bookmarkStart w:id="925" w:name="_Toc144974710"/>
      <w:r>
        <w:rPr>
          <w:rFonts w:hint="eastAsia"/>
          <w:color w:val="auto"/>
          <w:highlight w:val="none"/>
        </w:rPr>
        <w:t>19.5 承包人的进入权</w:t>
      </w:r>
      <w:bookmarkEnd w:id="921"/>
      <w:bookmarkEnd w:id="922"/>
      <w:bookmarkEnd w:id="923"/>
      <w:bookmarkEnd w:id="924"/>
      <w:bookmarkEnd w:id="925"/>
    </w:p>
    <w:p w14:paraId="546CF7AE">
      <w:pPr>
        <w:spacing w:line="400" w:lineRule="exact"/>
        <w:ind w:firstLine="420" w:firstLineChars="200"/>
        <w:rPr>
          <w:color w:val="auto"/>
          <w:highlight w:val="none"/>
        </w:rPr>
      </w:pPr>
      <w:r>
        <w:rPr>
          <w:rFonts w:hint="eastAsia"/>
          <w:color w:val="auto"/>
          <w:highlight w:val="none"/>
        </w:rPr>
        <w:t>缺陷责任期内承包人为缺陷修复工作需要，有权进入工程现场，但应遵守发包人的保安和保密规定。</w:t>
      </w:r>
    </w:p>
    <w:p w14:paraId="776D70D7">
      <w:pPr>
        <w:pStyle w:val="45"/>
        <w:rPr>
          <w:color w:val="auto"/>
          <w:highlight w:val="none"/>
        </w:rPr>
      </w:pPr>
      <w:bookmarkStart w:id="926" w:name="_Toc152042519"/>
      <w:bookmarkStart w:id="927" w:name="_Toc179632758"/>
      <w:bookmarkStart w:id="928" w:name="_Toc152045740"/>
      <w:bookmarkStart w:id="929" w:name="_Toc15687"/>
      <w:bookmarkStart w:id="930" w:name="_Toc144974711"/>
      <w:r>
        <w:rPr>
          <w:rFonts w:hint="eastAsia"/>
          <w:color w:val="auto"/>
          <w:highlight w:val="none"/>
        </w:rPr>
        <w:t>19.6 缺陷责任期终止证书</w:t>
      </w:r>
      <w:bookmarkEnd w:id="926"/>
      <w:bookmarkEnd w:id="927"/>
      <w:bookmarkEnd w:id="928"/>
      <w:bookmarkEnd w:id="929"/>
      <w:bookmarkEnd w:id="930"/>
    </w:p>
    <w:p w14:paraId="35F560D3">
      <w:pPr>
        <w:spacing w:line="400" w:lineRule="exact"/>
        <w:ind w:firstLine="420" w:firstLineChars="200"/>
        <w:rPr>
          <w:color w:val="auto"/>
          <w:highlight w:val="none"/>
        </w:rPr>
      </w:pPr>
      <w:r>
        <w:rPr>
          <w:rFonts w:hint="eastAsia"/>
          <w:color w:val="auto"/>
          <w:highlight w:val="none"/>
        </w:rPr>
        <w:t>在第1.1.4.5目约定的缺陷责任期，包括根据第19.3款延长的期限终止后14天内，由监理人向承包人出具经发包人签认的缺陷责任期终止证书，并退还剩余的质量保证金。</w:t>
      </w:r>
    </w:p>
    <w:p w14:paraId="4C3F6027">
      <w:pPr>
        <w:pStyle w:val="45"/>
        <w:rPr>
          <w:color w:val="auto"/>
          <w:highlight w:val="none"/>
        </w:rPr>
      </w:pPr>
      <w:bookmarkStart w:id="931" w:name="_Toc152042520"/>
      <w:bookmarkStart w:id="932" w:name="_Toc22347"/>
      <w:bookmarkStart w:id="933" w:name="_Toc179632759"/>
      <w:bookmarkStart w:id="934" w:name="_Toc144974712"/>
      <w:bookmarkStart w:id="935" w:name="_Toc152045741"/>
      <w:r>
        <w:rPr>
          <w:rFonts w:hint="eastAsia"/>
          <w:color w:val="auto"/>
          <w:highlight w:val="none"/>
        </w:rPr>
        <w:t>19.7 保修责任</w:t>
      </w:r>
      <w:bookmarkEnd w:id="931"/>
      <w:bookmarkEnd w:id="932"/>
      <w:bookmarkEnd w:id="933"/>
      <w:bookmarkEnd w:id="934"/>
      <w:bookmarkEnd w:id="935"/>
    </w:p>
    <w:p w14:paraId="71038ADB">
      <w:pPr>
        <w:spacing w:line="400" w:lineRule="exact"/>
        <w:ind w:firstLine="420" w:firstLineChars="200"/>
        <w:rPr>
          <w:color w:val="auto"/>
          <w:highlight w:val="none"/>
        </w:rPr>
      </w:pPr>
      <w:r>
        <w:rPr>
          <w:rFonts w:hint="eastAsia"/>
          <w:color w:val="auto"/>
          <w:highlight w:val="none"/>
        </w:rPr>
        <w:t>合同当事人根据有关法律规定，在专用合同条款中约定工程质量保修范围、期限和责任。保修期自实际竣工日期起计算。在全部工程竣工验收前，已经发包人提前验收的单位工程，其保修期的起算日期相应提前。</w:t>
      </w:r>
    </w:p>
    <w:p w14:paraId="31325743">
      <w:pPr>
        <w:pStyle w:val="44"/>
        <w:rPr>
          <w:color w:val="auto"/>
          <w:highlight w:val="none"/>
        </w:rPr>
      </w:pPr>
      <w:bookmarkStart w:id="936" w:name="_Toc24572"/>
      <w:bookmarkStart w:id="937" w:name="_Toc152045742"/>
      <w:bookmarkStart w:id="938" w:name="_Toc179632760"/>
      <w:bookmarkStart w:id="939" w:name="_Toc144974713"/>
      <w:bookmarkStart w:id="940" w:name="_Toc152042521"/>
      <w:bookmarkStart w:id="941" w:name="_Toc30166"/>
      <w:bookmarkStart w:id="942" w:name="_Toc24249"/>
      <w:r>
        <w:rPr>
          <w:rFonts w:hint="eastAsia"/>
          <w:color w:val="auto"/>
          <w:highlight w:val="none"/>
        </w:rPr>
        <w:t>20. 保险</w:t>
      </w:r>
      <w:bookmarkEnd w:id="936"/>
      <w:bookmarkEnd w:id="937"/>
      <w:bookmarkEnd w:id="938"/>
      <w:bookmarkEnd w:id="939"/>
      <w:bookmarkEnd w:id="940"/>
      <w:bookmarkEnd w:id="941"/>
      <w:bookmarkEnd w:id="942"/>
    </w:p>
    <w:p w14:paraId="03E81227">
      <w:pPr>
        <w:pStyle w:val="45"/>
        <w:rPr>
          <w:color w:val="auto"/>
          <w:highlight w:val="none"/>
        </w:rPr>
      </w:pPr>
      <w:bookmarkStart w:id="943" w:name="_Toc144974714"/>
      <w:bookmarkStart w:id="944" w:name="_Toc22111"/>
      <w:bookmarkStart w:id="945" w:name="_Toc179632761"/>
      <w:bookmarkStart w:id="946" w:name="_Toc152042522"/>
      <w:bookmarkStart w:id="947" w:name="_Toc152045743"/>
      <w:r>
        <w:rPr>
          <w:rFonts w:hint="eastAsia"/>
          <w:color w:val="auto"/>
          <w:highlight w:val="none"/>
        </w:rPr>
        <w:t>20.1 工程保险</w:t>
      </w:r>
      <w:bookmarkEnd w:id="943"/>
      <w:bookmarkEnd w:id="944"/>
      <w:bookmarkEnd w:id="945"/>
      <w:bookmarkEnd w:id="946"/>
      <w:bookmarkEnd w:id="947"/>
    </w:p>
    <w:p w14:paraId="578A1875">
      <w:pPr>
        <w:spacing w:line="380" w:lineRule="exact"/>
        <w:ind w:firstLine="420" w:firstLineChars="200"/>
        <w:rPr>
          <w:color w:val="auto"/>
          <w:highlight w:val="none"/>
        </w:rPr>
      </w:pPr>
      <w:r>
        <w:rPr>
          <w:rFonts w:hint="eastAsia"/>
          <w:color w:val="auto"/>
          <w:highlight w:val="none"/>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193BA3B3">
      <w:pPr>
        <w:pStyle w:val="45"/>
        <w:rPr>
          <w:color w:val="auto"/>
          <w:highlight w:val="none"/>
        </w:rPr>
      </w:pPr>
      <w:bookmarkStart w:id="948" w:name="_Toc14969"/>
      <w:bookmarkStart w:id="949" w:name="_Toc152042523"/>
      <w:bookmarkStart w:id="950" w:name="_Toc179632762"/>
      <w:bookmarkStart w:id="951" w:name="_Toc152045744"/>
      <w:bookmarkStart w:id="952" w:name="_Toc144974715"/>
      <w:r>
        <w:rPr>
          <w:rFonts w:hint="eastAsia"/>
          <w:color w:val="auto"/>
          <w:highlight w:val="none"/>
        </w:rPr>
        <w:t>20.2 人员工伤事故的保险</w:t>
      </w:r>
      <w:bookmarkEnd w:id="948"/>
      <w:bookmarkEnd w:id="949"/>
      <w:bookmarkEnd w:id="950"/>
      <w:bookmarkEnd w:id="951"/>
      <w:bookmarkEnd w:id="952"/>
    </w:p>
    <w:p w14:paraId="1CFFA853">
      <w:pPr>
        <w:spacing w:line="380" w:lineRule="exact"/>
        <w:ind w:firstLine="420" w:firstLineChars="200"/>
        <w:rPr>
          <w:rFonts w:ascii="黑体" w:eastAsia="黑体"/>
          <w:color w:val="auto"/>
          <w:highlight w:val="none"/>
        </w:rPr>
      </w:pPr>
      <w:r>
        <w:rPr>
          <w:rFonts w:hint="eastAsia"/>
          <w:color w:val="auto"/>
          <w:highlight w:val="none"/>
        </w:rPr>
        <w:t xml:space="preserve">20.2.1 </w:t>
      </w:r>
      <w:r>
        <w:rPr>
          <w:rFonts w:hint="eastAsia" w:ascii="黑体" w:eastAsia="黑体"/>
          <w:color w:val="auto"/>
          <w:highlight w:val="none"/>
        </w:rPr>
        <w:t>承包人员工伤事故的保险</w:t>
      </w:r>
    </w:p>
    <w:p w14:paraId="59180656">
      <w:pPr>
        <w:spacing w:line="380" w:lineRule="exact"/>
        <w:ind w:firstLine="420" w:firstLineChars="200"/>
        <w:rPr>
          <w:color w:val="auto"/>
          <w:highlight w:val="none"/>
        </w:rPr>
      </w:pPr>
      <w:r>
        <w:rPr>
          <w:rFonts w:hint="eastAsia"/>
          <w:color w:val="auto"/>
          <w:highlight w:val="none"/>
        </w:rPr>
        <w:t>承包人应</w:t>
      </w:r>
      <w:r>
        <w:rPr>
          <w:color w:val="auto"/>
          <w:highlight w:val="none"/>
        </w:rPr>
        <w:t>依照</w:t>
      </w:r>
      <w:r>
        <w:rPr>
          <w:rFonts w:hint="eastAsia"/>
          <w:color w:val="auto"/>
          <w:highlight w:val="none"/>
        </w:rPr>
        <w:t>有关法律</w:t>
      </w:r>
      <w:r>
        <w:rPr>
          <w:color w:val="auto"/>
          <w:highlight w:val="none"/>
        </w:rPr>
        <w:t>规定参加工伤保险，</w:t>
      </w:r>
      <w:r>
        <w:rPr>
          <w:rFonts w:hint="eastAsia"/>
          <w:color w:val="auto"/>
          <w:highlight w:val="none"/>
        </w:rPr>
        <w:t>为其履行合同所雇佣的全部人员，</w:t>
      </w:r>
      <w:r>
        <w:rPr>
          <w:color w:val="auto"/>
          <w:highlight w:val="none"/>
        </w:rPr>
        <w:t>缴纳工伤保险费</w:t>
      </w:r>
      <w:r>
        <w:rPr>
          <w:rFonts w:hint="eastAsia"/>
          <w:color w:val="auto"/>
          <w:highlight w:val="none"/>
        </w:rPr>
        <w:t>，并要求其分包人也进行此项保险。</w:t>
      </w:r>
    </w:p>
    <w:p w14:paraId="52BCB4E0">
      <w:pPr>
        <w:spacing w:line="380" w:lineRule="exact"/>
        <w:ind w:firstLine="420" w:firstLineChars="200"/>
        <w:rPr>
          <w:rFonts w:ascii="黑体" w:eastAsia="黑体"/>
          <w:color w:val="auto"/>
          <w:highlight w:val="none"/>
        </w:rPr>
      </w:pPr>
      <w:r>
        <w:rPr>
          <w:rFonts w:hint="eastAsia"/>
          <w:color w:val="auto"/>
          <w:highlight w:val="none"/>
        </w:rPr>
        <w:t>20.2.2</w:t>
      </w:r>
      <w:r>
        <w:rPr>
          <w:rFonts w:hint="eastAsia" w:ascii="黑体" w:eastAsia="黑体"/>
          <w:color w:val="auto"/>
          <w:highlight w:val="none"/>
        </w:rPr>
        <w:t xml:space="preserve"> 发包人员工伤事故的保险</w:t>
      </w:r>
    </w:p>
    <w:p w14:paraId="63CE13CB">
      <w:pPr>
        <w:spacing w:line="380" w:lineRule="exact"/>
        <w:ind w:firstLine="420" w:firstLineChars="200"/>
        <w:rPr>
          <w:color w:val="auto"/>
          <w:highlight w:val="none"/>
        </w:rPr>
      </w:pPr>
      <w:r>
        <w:rPr>
          <w:rFonts w:hint="eastAsia"/>
          <w:color w:val="auto"/>
          <w:highlight w:val="none"/>
        </w:rPr>
        <w:t>发包人应</w:t>
      </w:r>
      <w:r>
        <w:rPr>
          <w:color w:val="auto"/>
          <w:highlight w:val="none"/>
        </w:rPr>
        <w:t>依照</w:t>
      </w:r>
      <w:r>
        <w:rPr>
          <w:rFonts w:hint="eastAsia"/>
          <w:color w:val="auto"/>
          <w:highlight w:val="none"/>
        </w:rPr>
        <w:t>有关法律</w:t>
      </w:r>
      <w:r>
        <w:rPr>
          <w:color w:val="auto"/>
          <w:highlight w:val="none"/>
        </w:rPr>
        <w:t>规定参加工伤保险，</w:t>
      </w:r>
      <w:r>
        <w:rPr>
          <w:rFonts w:hint="eastAsia"/>
          <w:color w:val="auto"/>
          <w:highlight w:val="none"/>
        </w:rPr>
        <w:t>为其现场机构雇佣的全部人员，</w:t>
      </w:r>
      <w:r>
        <w:rPr>
          <w:color w:val="auto"/>
          <w:highlight w:val="none"/>
        </w:rPr>
        <w:t>缴纳工伤保险费</w:t>
      </w:r>
      <w:r>
        <w:rPr>
          <w:rFonts w:hint="eastAsia"/>
          <w:color w:val="auto"/>
          <w:highlight w:val="none"/>
        </w:rPr>
        <w:t>，并要求其监理人也进行此项保险。</w:t>
      </w:r>
    </w:p>
    <w:p w14:paraId="7C86AC80">
      <w:pPr>
        <w:pStyle w:val="45"/>
        <w:rPr>
          <w:color w:val="auto"/>
          <w:highlight w:val="none"/>
        </w:rPr>
      </w:pPr>
      <w:bookmarkStart w:id="953" w:name="_Toc144974716"/>
      <w:bookmarkStart w:id="954" w:name="_Toc152042524"/>
      <w:bookmarkStart w:id="955" w:name="_Toc152045745"/>
      <w:bookmarkStart w:id="956" w:name="_Toc179632763"/>
      <w:bookmarkStart w:id="957" w:name="_Toc3707"/>
      <w:r>
        <w:rPr>
          <w:rFonts w:hint="eastAsia"/>
          <w:color w:val="auto"/>
          <w:highlight w:val="none"/>
        </w:rPr>
        <w:t>20.3 人身意外伤害险</w:t>
      </w:r>
      <w:bookmarkEnd w:id="953"/>
      <w:bookmarkEnd w:id="954"/>
      <w:bookmarkEnd w:id="955"/>
      <w:bookmarkEnd w:id="956"/>
      <w:bookmarkEnd w:id="957"/>
    </w:p>
    <w:p w14:paraId="11D30AB2">
      <w:pPr>
        <w:spacing w:line="380" w:lineRule="exact"/>
        <w:ind w:firstLine="420" w:firstLineChars="200"/>
        <w:rPr>
          <w:color w:val="auto"/>
          <w:highlight w:val="none"/>
        </w:rPr>
      </w:pPr>
      <w:r>
        <w:rPr>
          <w:rFonts w:hint="eastAsia"/>
          <w:color w:val="auto"/>
          <w:highlight w:val="none"/>
        </w:rPr>
        <w:t>20.3.1 发包人应在整个施工期间为其现场机构雇用的全部人员，投保人身意外伤害险，缴纳保险费，并要求其监理人也进行此项保险。</w:t>
      </w:r>
    </w:p>
    <w:p w14:paraId="761DC889">
      <w:pPr>
        <w:spacing w:line="380" w:lineRule="exact"/>
        <w:ind w:firstLine="420" w:firstLineChars="200"/>
        <w:rPr>
          <w:color w:val="auto"/>
          <w:highlight w:val="none"/>
        </w:rPr>
      </w:pPr>
      <w:r>
        <w:rPr>
          <w:rFonts w:hint="eastAsia"/>
          <w:color w:val="auto"/>
          <w:highlight w:val="none"/>
        </w:rPr>
        <w:t>20.3.2 承包人应在整个施工期间为其现场机构雇用的全部人员，投保人身意外伤害险，缴纳保险费，并要求其分包人也进行此项保险。</w:t>
      </w:r>
    </w:p>
    <w:p w14:paraId="334DA016">
      <w:pPr>
        <w:pStyle w:val="45"/>
        <w:rPr>
          <w:color w:val="auto"/>
          <w:highlight w:val="none"/>
        </w:rPr>
      </w:pPr>
      <w:bookmarkStart w:id="958" w:name="_Toc7478"/>
      <w:bookmarkStart w:id="959" w:name="_Toc152042525"/>
      <w:bookmarkStart w:id="960" w:name="_Toc179632764"/>
      <w:bookmarkStart w:id="961" w:name="_Toc152045746"/>
      <w:bookmarkStart w:id="962" w:name="_Toc144974717"/>
      <w:r>
        <w:rPr>
          <w:rFonts w:hint="eastAsia"/>
          <w:color w:val="auto"/>
          <w:highlight w:val="none"/>
        </w:rPr>
        <w:t>20.4 第三者责任险</w:t>
      </w:r>
      <w:bookmarkEnd w:id="958"/>
      <w:bookmarkEnd w:id="959"/>
      <w:bookmarkEnd w:id="960"/>
      <w:bookmarkEnd w:id="961"/>
      <w:bookmarkEnd w:id="962"/>
    </w:p>
    <w:p w14:paraId="0FC1376A">
      <w:pPr>
        <w:spacing w:line="380" w:lineRule="exact"/>
        <w:ind w:firstLine="420" w:firstLineChars="200"/>
        <w:rPr>
          <w:color w:val="auto"/>
          <w:highlight w:val="none"/>
        </w:rPr>
      </w:pPr>
      <w:r>
        <w:rPr>
          <w:rFonts w:hint="eastAsia"/>
          <w:color w:val="auto"/>
          <w:highlight w:val="none"/>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55BFDB6A">
      <w:pPr>
        <w:spacing w:line="380" w:lineRule="exact"/>
        <w:ind w:firstLine="420" w:firstLineChars="200"/>
        <w:rPr>
          <w:color w:val="auto"/>
          <w:highlight w:val="none"/>
        </w:rPr>
      </w:pPr>
      <w:r>
        <w:rPr>
          <w:rFonts w:hint="eastAsia"/>
          <w:color w:val="auto"/>
          <w:highlight w:val="none"/>
        </w:rPr>
        <w:t>20.4.2 在缺陷责任期终止证书颁发前，承包人应以承包人和发包人的共同名义，投保第20.4.1项约定的第三者责任险，其保险费率、保险金额等有关内容在专用合同条款中约定。</w:t>
      </w:r>
    </w:p>
    <w:p w14:paraId="6325B63B">
      <w:pPr>
        <w:pStyle w:val="45"/>
        <w:rPr>
          <w:color w:val="auto"/>
          <w:highlight w:val="none"/>
        </w:rPr>
      </w:pPr>
      <w:bookmarkStart w:id="963" w:name="_Toc152045747"/>
      <w:bookmarkStart w:id="964" w:name="_Toc152042526"/>
      <w:bookmarkStart w:id="965" w:name="_Toc28078"/>
      <w:bookmarkStart w:id="966" w:name="_Toc179632765"/>
      <w:bookmarkStart w:id="967" w:name="_Toc144974718"/>
      <w:r>
        <w:rPr>
          <w:rFonts w:hint="eastAsia"/>
          <w:color w:val="auto"/>
          <w:highlight w:val="none"/>
        </w:rPr>
        <w:t>20.5 其他保险</w:t>
      </w:r>
      <w:bookmarkEnd w:id="963"/>
      <w:bookmarkEnd w:id="964"/>
      <w:bookmarkEnd w:id="965"/>
      <w:bookmarkEnd w:id="966"/>
      <w:bookmarkEnd w:id="967"/>
    </w:p>
    <w:p w14:paraId="245D2150">
      <w:pPr>
        <w:spacing w:line="380" w:lineRule="exact"/>
        <w:ind w:firstLine="420" w:firstLineChars="200"/>
        <w:rPr>
          <w:color w:val="auto"/>
          <w:highlight w:val="none"/>
        </w:rPr>
      </w:pPr>
      <w:r>
        <w:rPr>
          <w:rFonts w:hint="eastAsia"/>
          <w:color w:val="auto"/>
          <w:highlight w:val="none"/>
        </w:rPr>
        <w:t>除专用合同条款另有约定外，承包人应为其施工设备、进场的材料和工程设备等办理保险。</w:t>
      </w:r>
    </w:p>
    <w:p w14:paraId="7F9AEA19">
      <w:pPr>
        <w:pStyle w:val="45"/>
        <w:rPr>
          <w:color w:val="auto"/>
          <w:highlight w:val="none"/>
        </w:rPr>
      </w:pPr>
      <w:bookmarkStart w:id="968" w:name="_Toc152042527"/>
      <w:bookmarkStart w:id="969" w:name="_Toc144974719"/>
      <w:bookmarkStart w:id="970" w:name="_Toc179632766"/>
      <w:bookmarkStart w:id="971" w:name="_Toc28542"/>
      <w:bookmarkStart w:id="972" w:name="_Toc152045748"/>
      <w:r>
        <w:rPr>
          <w:rFonts w:hint="eastAsia"/>
          <w:color w:val="auto"/>
          <w:highlight w:val="none"/>
        </w:rPr>
        <w:t>20.6 对各项保险的一般要求</w:t>
      </w:r>
      <w:bookmarkEnd w:id="968"/>
      <w:bookmarkEnd w:id="969"/>
      <w:bookmarkEnd w:id="970"/>
      <w:bookmarkEnd w:id="971"/>
      <w:bookmarkEnd w:id="972"/>
    </w:p>
    <w:p w14:paraId="7562CD13">
      <w:pPr>
        <w:spacing w:line="380" w:lineRule="exact"/>
        <w:ind w:firstLine="420" w:firstLineChars="200"/>
        <w:rPr>
          <w:color w:val="auto"/>
          <w:highlight w:val="none"/>
        </w:rPr>
      </w:pPr>
      <w:r>
        <w:rPr>
          <w:rFonts w:hint="eastAsia"/>
          <w:color w:val="auto"/>
          <w:highlight w:val="none"/>
        </w:rPr>
        <w:t xml:space="preserve">20.6.1 </w:t>
      </w:r>
      <w:r>
        <w:rPr>
          <w:rFonts w:hint="eastAsia" w:ascii="黑体" w:eastAsia="黑体"/>
          <w:color w:val="auto"/>
          <w:highlight w:val="none"/>
        </w:rPr>
        <w:t>保险凭证</w:t>
      </w:r>
    </w:p>
    <w:p w14:paraId="4F1EC37B">
      <w:pPr>
        <w:spacing w:line="380" w:lineRule="exact"/>
        <w:ind w:firstLine="420" w:firstLineChars="200"/>
        <w:rPr>
          <w:color w:val="auto"/>
          <w:highlight w:val="none"/>
        </w:rPr>
      </w:pPr>
      <w:r>
        <w:rPr>
          <w:rFonts w:hint="eastAsia"/>
          <w:color w:val="auto"/>
          <w:highlight w:val="none"/>
        </w:rPr>
        <w:t>承包人应在专用合同条款约定的期限内向发包人提交各项保险生效的证据和保险单副本，保险单必须与专用合同条款约定的条件保持一致。</w:t>
      </w:r>
    </w:p>
    <w:p w14:paraId="0DFEE915">
      <w:pPr>
        <w:spacing w:line="380" w:lineRule="exact"/>
        <w:ind w:firstLine="420" w:firstLineChars="200"/>
        <w:rPr>
          <w:color w:val="auto"/>
          <w:highlight w:val="none"/>
        </w:rPr>
      </w:pPr>
      <w:r>
        <w:rPr>
          <w:rFonts w:hint="eastAsia"/>
          <w:color w:val="auto"/>
          <w:highlight w:val="none"/>
        </w:rPr>
        <w:t xml:space="preserve">20.6.2 </w:t>
      </w:r>
      <w:r>
        <w:rPr>
          <w:rFonts w:hint="eastAsia" w:ascii="黑体" w:eastAsia="黑体"/>
          <w:color w:val="auto"/>
          <w:highlight w:val="none"/>
        </w:rPr>
        <w:t>保险合同条款的变动</w:t>
      </w:r>
    </w:p>
    <w:p w14:paraId="0652047C">
      <w:pPr>
        <w:spacing w:line="380" w:lineRule="exact"/>
        <w:ind w:firstLine="420" w:firstLineChars="200"/>
        <w:rPr>
          <w:color w:val="auto"/>
          <w:highlight w:val="none"/>
        </w:rPr>
      </w:pPr>
      <w:r>
        <w:rPr>
          <w:rFonts w:hint="eastAsia"/>
          <w:color w:val="auto"/>
          <w:highlight w:val="none"/>
        </w:rPr>
        <w:t>承包人需要变动保险合同条款时，应事先征得发包人同意，并通知监理人。保险人作出变动的，承包人应在收到保险人通知后立即通知发包人和监理人。</w:t>
      </w:r>
    </w:p>
    <w:p w14:paraId="42E72B29">
      <w:pPr>
        <w:spacing w:line="380" w:lineRule="exact"/>
        <w:ind w:firstLine="420" w:firstLineChars="200"/>
        <w:rPr>
          <w:color w:val="auto"/>
          <w:highlight w:val="none"/>
        </w:rPr>
      </w:pPr>
      <w:r>
        <w:rPr>
          <w:rFonts w:hint="eastAsia"/>
          <w:color w:val="auto"/>
          <w:highlight w:val="none"/>
        </w:rPr>
        <w:t xml:space="preserve">20.6.3 </w:t>
      </w:r>
      <w:r>
        <w:rPr>
          <w:rFonts w:hint="eastAsia" w:ascii="黑体" w:eastAsia="黑体"/>
          <w:color w:val="auto"/>
          <w:highlight w:val="none"/>
        </w:rPr>
        <w:t>持续保险</w:t>
      </w:r>
    </w:p>
    <w:p w14:paraId="4A487B09">
      <w:pPr>
        <w:spacing w:line="380" w:lineRule="exact"/>
        <w:ind w:firstLine="420" w:firstLineChars="200"/>
        <w:rPr>
          <w:color w:val="auto"/>
          <w:highlight w:val="none"/>
        </w:rPr>
      </w:pPr>
      <w:r>
        <w:rPr>
          <w:rFonts w:hint="eastAsia"/>
          <w:color w:val="auto"/>
          <w:highlight w:val="none"/>
        </w:rPr>
        <w:t>承包人应与保险人保持联系，使保险人能够随时了解工程实施中的变动，并确保按保险合同条款要求持续保险。</w:t>
      </w:r>
    </w:p>
    <w:p w14:paraId="601BF5F8">
      <w:pPr>
        <w:spacing w:line="380" w:lineRule="exact"/>
        <w:ind w:firstLine="420" w:firstLineChars="200"/>
        <w:rPr>
          <w:rFonts w:ascii="黑体" w:eastAsia="黑体"/>
          <w:color w:val="auto"/>
          <w:highlight w:val="none"/>
        </w:rPr>
      </w:pPr>
      <w:r>
        <w:rPr>
          <w:rFonts w:hint="eastAsia"/>
          <w:color w:val="auto"/>
          <w:highlight w:val="none"/>
        </w:rPr>
        <w:t xml:space="preserve">20.6.4 </w:t>
      </w:r>
      <w:r>
        <w:rPr>
          <w:rFonts w:hint="eastAsia" w:ascii="黑体" w:eastAsia="黑体"/>
          <w:color w:val="auto"/>
          <w:highlight w:val="none"/>
        </w:rPr>
        <w:t>保险金不足的补偿</w:t>
      </w:r>
    </w:p>
    <w:p w14:paraId="389EAFE3">
      <w:pPr>
        <w:spacing w:line="380" w:lineRule="exact"/>
        <w:ind w:firstLine="420" w:firstLineChars="200"/>
        <w:rPr>
          <w:color w:val="auto"/>
          <w:highlight w:val="none"/>
        </w:rPr>
      </w:pPr>
      <w:r>
        <w:rPr>
          <w:rFonts w:hint="eastAsia"/>
          <w:color w:val="auto"/>
          <w:highlight w:val="none"/>
        </w:rPr>
        <w:t>保险金不足以补偿损失的，应由承包人和（或）发包人按合同约定负责补偿。</w:t>
      </w:r>
    </w:p>
    <w:p w14:paraId="25A4B3BC">
      <w:pPr>
        <w:spacing w:line="380" w:lineRule="exact"/>
        <w:ind w:firstLine="420" w:firstLineChars="200"/>
        <w:rPr>
          <w:rFonts w:ascii="黑体" w:eastAsia="黑体"/>
          <w:color w:val="auto"/>
          <w:highlight w:val="none"/>
        </w:rPr>
      </w:pPr>
      <w:r>
        <w:rPr>
          <w:rFonts w:hint="eastAsia"/>
          <w:color w:val="auto"/>
          <w:highlight w:val="none"/>
        </w:rPr>
        <w:t xml:space="preserve">20.6.5 </w:t>
      </w:r>
      <w:r>
        <w:rPr>
          <w:rFonts w:hint="eastAsia" w:ascii="黑体" w:eastAsia="黑体"/>
          <w:color w:val="auto"/>
          <w:highlight w:val="none"/>
        </w:rPr>
        <w:t>未按约定投保的补救</w:t>
      </w:r>
    </w:p>
    <w:p w14:paraId="1F9B10AB">
      <w:pPr>
        <w:spacing w:line="380" w:lineRule="exact"/>
        <w:ind w:firstLine="420" w:firstLineChars="200"/>
        <w:rPr>
          <w:rFonts w:ascii="黑体" w:eastAsia="黑体"/>
          <w:color w:val="auto"/>
          <w:highlight w:val="none"/>
        </w:rPr>
      </w:pPr>
      <w:r>
        <w:rPr>
          <w:rFonts w:hint="eastAsia"/>
          <w:color w:val="auto"/>
          <w:highlight w:val="none"/>
        </w:rPr>
        <w:t>（1）由于负有投保义务的一方当事人未按合同约定办理保险，或未能使保险持续有效的，另一方当事人可代为办理，所需费用由对方当事人承担。</w:t>
      </w:r>
    </w:p>
    <w:p w14:paraId="00186B45">
      <w:pPr>
        <w:spacing w:line="380" w:lineRule="exact"/>
        <w:ind w:firstLine="420" w:firstLineChars="200"/>
        <w:rPr>
          <w:color w:val="auto"/>
          <w:highlight w:val="none"/>
        </w:rPr>
      </w:pPr>
      <w:r>
        <w:rPr>
          <w:rFonts w:hint="eastAsia"/>
          <w:color w:val="auto"/>
          <w:highlight w:val="none"/>
        </w:rPr>
        <w:t>（2）由于负有投保义务的一方当事人未按合同约定办理某项保险，导致受益人未能得到保险人的赔偿，原应从该项保险得到的保险金应由负有投保义务的一方当事人支付。</w:t>
      </w:r>
    </w:p>
    <w:p w14:paraId="15DDEBC4">
      <w:pPr>
        <w:spacing w:line="380" w:lineRule="exact"/>
        <w:ind w:firstLine="420" w:firstLineChars="200"/>
        <w:rPr>
          <w:rFonts w:ascii="黑体" w:eastAsia="黑体"/>
          <w:color w:val="auto"/>
          <w:highlight w:val="none"/>
        </w:rPr>
      </w:pPr>
      <w:r>
        <w:rPr>
          <w:rFonts w:hint="eastAsia"/>
          <w:color w:val="auto"/>
          <w:highlight w:val="none"/>
        </w:rPr>
        <w:t xml:space="preserve">20.6.6 </w:t>
      </w:r>
      <w:r>
        <w:rPr>
          <w:rFonts w:hint="eastAsia" w:ascii="黑体" w:eastAsia="黑体"/>
          <w:color w:val="auto"/>
          <w:highlight w:val="none"/>
        </w:rPr>
        <w:t>报告义务</w:t>
      </w:r>
    </w:p>
    <w:p w14:paraId="39CF5DA1">
      <w:pPr>
        <w:spacing w:line="400" w:lineRule="exact"/>
        <w:ind w:firstLine="420" w:firstLineChars="200"/>
        <w:rPr>
          <w:color w:val="auto"/>
          <w:highlight w:val="none"/>
        </w:rPr>
      </w:pPr>
      <w:r>
        <w:rPr>
          <w:rFonts w:hint="eastAsia"/>
          <w:color w:val="auto"/>
          <w:highlight w:val="none"/>
        </w:rPr>
        <w:t>当保险事故发生时，投保人应按照保险单规定的条件和期限及时向保险人报告。</w:t>
      </w:r>
    </w:p>
    <w:p w14:paraId="6E71C287">
      <w:pPr>
        <w:pStyle w:val="44"/>
        <w:rPr>
          <w:color w:val="auto"/>
          <w:highlight w:val="none"/>
        </w:rPr>
      </w:pPr>
      <w:bookmarkStart w:id="973" w:name="_Toc152042528"/>
      <w:bookmarkStart w:id="974" w:name="_Toc26682"/>
      <w:bookmarkStart w:id="975" w:name="_Toc152045749"/>
      <w:bookmarkStart w:id="976" w:name="_Toc5337"/>
      <w:bookmarkStart w:id="977" w:name="_Toc448"/>
      <w:bookmarkStart w:id="978" w:name="_Toc179632767"/>
      <w:bookmarkStart w:id="979" w:name="_Toc144974720"/>
      <w:r>
        <w:rPr>
          <w:rFonts w:hint="eastAsia"/>
          <w:color w:val="auto"/>
          <w:highlight w:val="none"/>
        </w:rPr>
        <w:t>21. 不可抗力</w:t>
      </w:r>
      <w:bookmarkEnd w:id="973"/>
      <w:bookmarkEnd w:id="974"/>
      <w:bookmarkEnd w:id="975"/>
      <w:bookmarkEnd w:id="976"/>
      <w:bookmarkEnd w:id="977"/>
      <w:bookmarkEnd w:id="978"/>
      <w:bookmarkEnd w:id="979"/>
    </w:p>
    <w:p w14:paraId="0D309635">
      <w:pPr>
        <w:pStyle w:val="45"/>
        <w:rPr>
          <w:color w:val="auto"/>
          <w:highlight w:val="none"/>
        </w:rPr>
      </w:pPr>
      <w:bookmarkStart w:id="980" w:name="_Toc152042529"/>
      <w:bookmarkStart w:id="981" w:name="_Toc179632768"/>
      <w:bookmarkStart w:id="982" w:name="_Toc22289"/>
      <w:bookmarkStart w:id="983" w:name="_Toc152045750"/>
      <w:bookmarkStart w:id="984" w:name="_Toc144974721"/>
      <w:r>
        <w:rPr>
          <w:rFonts w:hint="eastAsia"/>
          <w:color w:val="auto"/>
          <w:highlight w:val="none"/>
        </w:rPr>
        <w:t>21.1 不可抗力的确认</w:t>
      </w:r>
      <w:bookmarkEnd w:id="980"/>
      <w:bookmarkEnd w:id="981"/>
      <w:bookmarkEnd w:id="982"/>
      <w:bookmarkEnd w:id="983"/>
      <w:bookmarkEnd w:id="984"/>
    </w:p>
    <w:p w14:paraId="1901FF13">
      <w:pPr>
        <w:spacing w:line="400" w:lineRule="exact"/>
        <w:ind w:firstLine="420" w:firstLineChars="200"/>
        <w:rPr>
          <w:color w:val="auto"/>
          <w:highlight w:val="none"/>
        </w:rPr>
      </w:pPr>
      <w:r>
        <w:rPr>
          <w:rFonts w:hint="eastAsia"/>
          <w:color w:val="auto"/>
          <w:highlight w:val="none"/>
        </w:rPr>
        <w:t>21.1.1 不可抗力是指承包人和发包人在订立合同时不可预见，在工程施工过程中不可避免发生并不能克服的自然灾害和社会性突发事件，如地震、海啸、瘟疫、水灾、骚乱、暴动、战争和专用合同条款约定的其他情形。</w:t>
      </w:r>
    </w:p>
    <w:p w14:paraId="7EB8999C">
      <w:pPr>
        <w:spacing w:line="400" w:lineRule="exact"/>
        <w:ind w:firstLine="420" w:firstLineChars="200"/>
        <w:rPr>
          <w:color w:val="auto"/>
          <w:highlight w:val="none"/>
        </w:rPr>
      </w:pPr>
      <w:r>
        <w:rPr>
          <w:rFonts w:hint="eastAsia"/>
          <w:color w:val="auto"/>
          <w:highlight w:val="none"/>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14:paraId="4B025094">
      <w:pPr>
        <w:pStyle w:val="45"/>
        <w:rPr>
          <w:color w:val="auto"/>
          <w:highlight w:val="none"/>
        </w:rPr>
      </w:pPr>
      <w:bookmarkStart w:id="985" w:name="_Toc179632769"/>
      <w:bookmarkStart w:id="986" w:name="_Toc144974722"/>
      <w:bookmarkStart w:id="987" w:name="_Toc152042530"/>
      <w:bookmarkStart w:id="988" w:name="_Toc8574"/>
      <w:bookmarkStart w:id="989" w:name="_Toc152045751"/>
      <w:r>
        <w:rPr>
          <w:rFonts w:hint="eastAsia"/>
          <w:color w:val="auto"/>
          <w:highlight w:val="none"/>
        </w:rPr>
        <w:t>21.2 不可抗力的通知</w:t>
      </w:r>
      <w:bookmarkEnd w:id="985"/>
      <w:bookmarkEnd w:id="986"/>
      <w:bookmarkEnd w:id="987"/>
      <w:bookmarkEnd w:id="988"/>
      <w:bookmarkEnd w:id="989"/>
    </w:p>
    <w:p w14:paraId="0C4B0C7F">
      <w:pPr>
        <w:spacing w:line="400" w:lineRule="exact"/>
        <w:ind w:firstLine="420" w:firstLineChars="200"/>
        <w:rPr>
          <w:color w:val="auto"/>
          <w:highlight w:val="none"/>
        </w:rPr>
      </w:pPr>
      <w:r>
        <w:rPr>
          <w:rFonts w:hint="eastAsia"/>
          <w:color w:val="auto"/>
          <w:highlight w:val="none"/>
        </w:rPr>
        <w:t>21.2.1 合同一方当事人遇到不可抗力事件，使其履行合同义务受到阻碍时，应立即通知合同另一方当事人和监理人，书面说明不可抗力和受阻碍的详细情况，并提供必要的证明。</w:t>
      </w:r>
    </w:p>
    <w:p w14:paraId="3841F56C">
      <w:pPr>
        <w:spacing w:line="400" w:lineRule="exact"/>
        <w:ind w:firstLine="420" w:firstLineChars="200"/>
        <w:rPr>
          <w:color w:val="auto"/>
          <w:highlight w:val="none"/>
        </w:rPr>
      </w:pPr>
      <w:r>
        <w:rPr>
          <w:rFonts w:hint="eastAsia"/>
          <w:color w:val="auto"/>
          <w:highlight w:val="none"/>
        </w:rPr>
        <w:t>21.2.2 如不可抗力持续发生，合同一方当事人应及时向合同另一方当事人和监理人提交中间报告，说明不可抗力和履行合同受阻的情况，并于不可抗力事件结束后28天内提交最终报告及有关资料。</w:t>
      </w:r>
    </w:p>
    <w:p w14:paraId="5387ADF5">
      <w:pPr>
        <w:pStyle w:val="45"/>
        <w:rPr>
          <w:color w:val="auto"/>
          <w:highlight w:val="none"/>
        </w:rPr>
      </w:pPr>
      <w:bookmarkStart w:id="990" w:name="_Toc144974723"/>
      <w:bookmarkStart w:id="991" w:name="_Toc179632770"/>
      <w:bookmarkStart w:id="992" w:name="_Toc152045752"/>
      <w:bookmarkStart w:id="993" w:name="_Toc22314"/>
      <w:bookmarkStart w:id="994" w:name="_Toc152042531"/>
      <w:r>
        <w:rPr>
          <w:rFonts w:hint="eastAsia"/>
          <w:color w:val="auto"/>
          <w:highlight w:val="none"/>
        </w:rPr>
        <w:t>21.3 不可抗力后果及其处理</w:t>
      </w:r>
      <w:bookmarkEnd w:id="990"/>
      <w:bookmarkEnd w:id="991"/>
      <w:bookmarkEnd w:id="992"/>
      <w:bookmarkEnd w:id="993"/>
      <w:bookmarkEnd w:id="994"/>
    </w:p>
    <w:p w14:paraId="0352C354">
      <w:pPr>
        <w:spacing w:line="380" w:lineRule="exact"/>
        <w:ind w:firstLine="420" w:firstLineChars="200"/>
        <w:rPr>
          <w:color w:val="auto"/>
          <w:highlight w:val="none"/>
        </w:rPr>
      </w:pPr>
      <w:r>
        <w:rPr>
          <w:rFonts w:hint="eastAsia"/>
          <w:color w:val="auto"/>
          <w:highlight w:val="none"/>
        </w:rPr>
        <w:t xml:space="preserve">21.3.1 </w:t>
      </w:r>
      <w:r>
        <w:rPr>
          <w:rFonts w:hint="eastAsia" w:ascii="黑体" w:eastAsia="黑体"/>
          <w:color w:val="auto"/>
          <w:highlight w:val="none"/>
        </w:rPr>
        <w:t>不可抗力造成损害的责任</w:t>
      </w:r>
    </w:p>
    <w:p w14:paraId="328D2F4C">
      <w:pPr>
        <w:spacing w:line="400" w:lineRule="exact"/>
        <w:ind w:firstLine="420" w:firstLineChars="200"/>
        <w:rPr>
          <w:color w:val="auto"/>
          <w:highlight w:val="none"/>
        </w:rPr>
      </w:pPr>
      <w:r>
        <w:rPr>
          <w:rFonts w:hint="eastAsia"/>
          <w:color w:val="auto"/>
          <w:highlight w:val="none"/>
        </w:rPr>
        <w:t>除专用合同条款另有约定外，不可抗力导致的人员伤亡、财产损失、费用增加和（或）工期延误等后果，由合同双方按以下原则承担：</w:t>
      </w:r>
    </w:p>
    <w:p w14:paraId="112DC3E2">
      <w:pPr>
        <w:spacing w:line="400" w:lineRule="exact"/>
        <w:ind w:firstLine="718" w:firstLineChars="342"/>
        <w:rPr>
          <w:color w:val="auto"/>
          <w:highlight w:val="none"/>
        </w:rPr>
      </w:pPr>
      <w:r>
        <w:rPr>
          <w:rFonts w:hint="eastAsia"/>
          <w:color w:val="auto"/>
          <w:highlight w:val="none"/>
        </w:rPr>
        <w:t>（1）永久工程，包括已运至施工场地的材料和工程设备的损害，以及因工程损害造成的第三者人员伤亡和财产损失由发包人承担；</w:t>
      </w:r>
    </w:p>
    <w:p w14:paraId="7A71383D">
      <w:pPr>
        <w:spacing w:line="400" w:lineRule="exact"/>
        <w:ind w:firstLine="718" w:firstLineChars="342"/>
        <w:rPr>
          <w:color w:val="auto"/>
          <w:highlight w:val="none"/>
        </w:rPr>
      </w:pPr>
      <w:r>
        <w:rPr>
          <w:rFonts w:hint="eastAsia"/>
          <w:color w:val="auto"/>
          <w:highlight w:val="none"/>
        </w:rPr>
        <w:t>（2）承包人设备的损坏由承包人承担；</w:t>
      </w:r>
    </w:p>
    <w:p w14:paraId="74E1AADF">
      <w:pPr>
        <w:spacing w:line="400" w:lineRule="exact"/>
        <w:ind w:firstLine="718" w:firstLineChars="342"/>
        <w:rPr>
          <w:color w:val="auto"/>
          <w:highlight w:val="none"/>
        </w:rPr>
      </w:pPr>
      <w:r>
        <w:rPr>
          <w:rFonts w:hint="eastAsia"/>
          <w:color w:val="auto"/>
          <w:highlight w:val="none"/>
        </w:rPr>
        <w:t>（3）发包人和承包人各自承担其人员伤亡和其他财产损失及其相关费用；</w:t>
      </w:r>
    </w:p>
    <w:p w14:paraId="5A45AF5C">
      <w:pPr>
        <w:spacing w:line="400" w:lineRule="exact"/>
        <w:ind w:firstLine="718" w:firstLineChars="342"/>
        <w:rPr>
          <w:color w:val="auto"/>
          <w:highlight w:val="none"/>
        </w:rPr>
      </w:pPr>
      <w:r>
        <w:rPr>
          <w:rFonts w:hint="eastAsia"/>
          <w:color w:val="auto"/>
          <w:highlight w:val="none"/>
        </w:rPr>
        <w:t>（4）承包人的停工损失由承包人承担，但停工期间应监理人要求照管工程和清理、修复工程的金额由发包人承担；</w:t>
      </w:r>
    </w:p>
    <w:p w14:paraId="3510E307">
      <w:pPr>
        <w:spacing w:line="400" w:lineRule="exact"/>
        <w:ind w:firstLine="718" w:firstLineChars="342"/>
        <w:rPr>
          <w:color w:val="auto"/>
          <w:highlight w:val="none"/>
        </w:rPr>
      </w:pPr>
      <w:r>
        <w:rPr>
          <w:rFonts w:hint="eastAsia"/>
          <w:color w:val="auto"/>
          <w:highlight w:val="none"/>
        </w:rPr>
        <w:t>（5）不能按期竣工的，应合理延长工期，承包人不需支付逾期竣工违约金。发包人要求赶工的，承包人应采取赶工措施，赶工费用由发包人承担。</w:t>
      </w:r>
    </w:p>
    <w:p w14:paraId="6EA1670B">
      <w:pPr>
        <w:spacing w:line="400" w:lineRule="exact"/>
        <w:ind w:firstLine="420" w:firstLineChars="200"/>
        <w:rPr>
          <w:color w:val="auto"/>
          <w:highlight w:val="none"/>
        </w:rPr>
      </w:pPr>
      <w:r>
        <w:rPr>
          <w:rFonts w:hint="eastAsia"/>
          <w:color w:val="auto"/>
          <w:highlight w:val="none"/>
        </w:rPr>
        <w:t xml:space="preserve">21.3.2 </w:t>
      </w:r>
      <w:r>
        <w:rPr>
          <w:rFonts w:hint="eastAsia" w:ascii="黑体" w:eastAsia="黑体"/>
          <w:color w:val="auto"/>
          <w:highlight w:val="none"/>
        </w:rPr>
        <w:t>延迟履行期间发生的不可抗力</w:t>
      </w:r>
    </w:p>
    <w:p w14:paraId="0DAF622E">
      <w:pPr>
        <w:spacing w:line="400" w:lineRule="exact"/>
        <w:ind w:firstLine="420" w:firstLineChars="200"/>
        <w:rPr>
          <w:color w:val="auto"/>
          <w:highlight w:val="none"/>
        </w:rPr>
      </w:pPr>
      <w:r>
        <w:rPr>
          <w:rFonts w:hint="eastAsia"/>
          <w:color w:val="auto"/>
          <w:highlight w:val="none"/>
        </w:rPr>
        <w:t>合同一方当事人延迟履行，在延迟履行期间发生不可抗力的，不免除其责任。</w:t>
      </w:r>
    </w:p>
    <w:p w14:paraId="6364257E">
      <w:pPr>
        <w:spacing w:line="400" w:lineRule="exact"/>
        <w:ind w:firstLine="420" w:firstLineChars="200"/>
        <w:rPr>
          <w:color w:val="auto"/>
          <w:highlight w:val="none"/>
        </w:rPr>
      </w:pPr>
      <w:r>
        <w:rPr>
          <w:rFonts w:hint="eastAsia"/>
          <w:color w:val="auto"/>
          <w:highlight w:val="none"/>
        </w:rPr>
        <w:t xml:space="preserve">21.3.3 </w:t>
      </w:r>
      <w:r>
        <w:rPr>
          <w:rFonts w:hint="eastAsia" w:ascii="黑体" w:eastAsia="黑体"/>
          <w:color w:val="auto"/>
          <w:highlight w:val="none"/>
        </w:rPr>
        <w:t>避免和减少不可抗力损失</w:t>
      </w:r>
    </w:p>
    <w:p w14:paraId="6EAF1A6C">
      <w:pPr>
        <w:spacing w:line="400" w:lineRule="exact"/>
        <w:ind w:firstLine="420" w:firstLineChars="200"/>
        <w:rPr>
          <w:color w:val="auto"/>
          <w:highlight w:val="none"/>
        </w:rPr>
      </w:pPr>
      <w:r>
        <w:rPr>
          <w:rFonts w:hint="eastAsia"/>
          <w:color w:val="auto"/>
          <w:highlight w:val="none"/>
        </w:rPr>
        <w:t>不可抗力发生后，发包人和承包人均应采取措施尽量避免和减少损失的扩大，任何一方没有采取有效措施导致损失扩大的，应对扩大的损失承担责任。</w:t>
      </w:r>
    </w:p>
    <w:p w14:paraId="3F923150">
      <w:pPr>
        <w:spacing w:line="400" w:lineRule="exact"/>
        <w:ind w:firstLine="420" w:firstLineChars="200"/>
        <w:rPr>
          <w:color w:val="auto"/>
          <w:highlight w:val="none"/>
        </w:rPr>
      </w:pPr>
      <w:r>
        <w:rPr>
          <w:rFonts w:hint="eastAsia"/>
          <w:color w:val="auto"/>
          <w:highlight w:val="none"/>
        </w:rPr>
        <w:t xml:space="preserve">21.3.4 </w:t>
      </w:r>
      <w:r>
        <w:rPr>
          <w:rFonts w:hint="eastAsia" w:ascii="黑体" w:eastAsia="黑体"/>
          <w:color w:val="auto"/>
          <w:highlight w:val="none"/>
        </w:rPr>
        <w:t>因不可抗力解除合同</w:t>
      </w:r>
    </w:p>
    <w:p w14:paraId="5AB9785A">
      <w:pPr>
        <w:spacing w:line="400" w:lineRule="exact"/>
        <w:ind w:firstLine="420" w:firstLineChars="200"/>
        <w:rPr>
          <w:color w:val="auto"/>
          <w:highlight w:val="none"/>
        </w:rPr>
      </w:pPr>
      <w:r>
        <w:rPr>
          <w:rFonts w:hint="eastAsia"/>
          <w:color w:val="auto"/>
          <w:highlight w:val="none"/>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14:paraId="3EF8DC99">
      <w:pPr>
        <w:pStyle w:val="44"/>
        <w:rPr>
          <w:color w:val="auto"/>
          <w:highlight w:val="none"/>
        </w:rPr>
      </w:pPr>
      <w:bookmarkStart w:id="995" w:name="_Toc144974724"/>
      <w:bookmarkStart w:id="996" w:name="_Toc14503"/>
      <w:bookmarkStart w:id="997" w:name="_Toc31486"/>
      <w:bookmarkStart w:id="998" w:name="_Toc179632771"/>
      <w:bookmarkStart w:id="999" w:name="_Toc24253"/>
      <w:bookmarkStart w:id="1000" w:name="_Toc152045753"/>
      <w:bookmarkStart w:id="1001" w:name="_Toc152042532"/>
      <w:r>
        <w:rPr>
          <w:rFonts w:hint="eastAsia"/>
          <w:color w:val="auto"/>
          <w:highlight w:val="none"/>
        </w:rPr>
        <w:t>22. 违约</w:t>
      </w:r>
      <w:bookmarkEnd w:id="995"/>
      <w:bookmarkEnd w:id="996"/>
      <w:bookmarkEnd w:id="997"/>
      <w:bookmarkEnd w:id="998"/>
      <w:bookmarkEnd w:id="999"/>
      <w:bookmarkEnd w:id="1000"/>
      <w:bookmarkEnd w:id="1001"/>
    </w:p>
    <w:p w14:paraId="677B6DD1">
      <w:pPr>
        <w:pStyle w:val="45"/>
        <w:rPr>
          <w:color w:val="auto"/>
          <w:highlight w:val="none"/>
        </w:rPr>
      </w:pPr>
      <w:bookmarkStart w:id="1002" w:name="_Toc144974725"/>
      <w:bookmarkStart w:id="1003" w:name="_Toc22513"/>
      <w:bookmarkStart w:id="1004" w:name="_Toc152042533"/>
      <w:bookmarkStart w:id="1005" w:name="_Toc152045754"/>
      <w:bookmarkStart w:id="1006" w:name="_Toc179632772"/>
      <w:r>
        <w:rPr>
          <w:rFonts w:hint="eastAsia"/>
          <w:color w:val="auto"/>
          <w:highlight w:val="none"/>
        </w:rPr>
        <w:t>22.1 承包人违约</w:t>
      </w:r>
      <w:bookmarkEnd w:id="1002"/>
      <w:bookmarkEnd w:id="1003"/>
      <w:bookmarkEnd w:id="1004"/>
      <w:bookmarkEnd w:id="1005"/>
      <w:bookmarkEnd w:id="1006"/>
    </w:p>
    <w:p w14:paraId="481EDB35">
      <w:pPr>
        <w:spacing w:line="400" w:lineRule="exact"/>
        <w:ind w:firstLine="420" w:firstLineChars="200"/>
        <w:rPr>
          <w:color w:val="auto"/>
          <w:highlight w:val="none"/>
        </w:rPr>
      </w:pPr>
      <w:r>
        <w:rPr>
          <w:rFonts w:hint="eastAsia"/>
          <w:color w:val="auto"/>
          <w:highlight w:val="none"/>
        </w:rPr>
        <w:t>22.1.1</w:t>
      </w:r>
      <w:r>
        <w:rPr>
          <w:rFonts w:hint="eastAsia" w:ascii="黑体" w:eastAsia="黑体"/>
          <w:color w:val="auto"/>
          <w:highlight w:val="none"/>
        </w:rPr>
        <w:t xml:space="preserve"> 承包人违约的情形</w:t>
      </w:r>
    </w:p>
    <w:p w14:paraId="22C6F997">
      <w:pPr>
        <w:spacing w:line="400" w:lineRule="exact"/>
        <w:ind w:firstLine="420" w:firstLineChars="200"/>
        <w:rPr>
          <w:color w:val="auto"/>
          <w:highlight w:val="none"/>
        </w:rPr>
      </w:pPr>
      <w:r>
        <w:rPr>
          <w:rFonts w:hint="eastAsia"/>
          <w:color w:val="auto"/>
          <w:highlight w:val="none"/>
        </w:rPr>
        <w:t>在履行合同过程中发生的下列情况属承包人违约：</w:t>
      </w:r>
    </w:p>
    <w:p w14:paraId="6AD8C44A">
      <w:pPr>
        <w:spacing w:line="400" w:lineRule="exact"/>
        <w:ind w:firstLine="718" w:firstLineChars="342"/>
        <w:rPr>
          <w:color w:val="auto"/>
          <w:highlight w:val="none"/>
        </w:rPr>
      </w:pPr>
      <w:r>
        <w:rPr>
          <w:rFonts w:hint="eastAsia"/>
          <w:color w:val="auto"/>
          <w:highlight w:val="none"/>
        </w:rPr>
        <w:t>（1）承包人违反第1.8款或第4.3款的约定，私自将合同的全部或部分权利转让给其他人，或私自将合同的全部或部分义务转移给其他人；</w:t>
      </w:r>
    </w:p>
    <w:p w14:paraId="3346D0EF">
      <w:pPr>
        <w:spacing w:line="400" w:lineRule="exact"/>
        <w:ind w:firstLine="718" w:firstLineChars="342"/>
        <w:rPr>
          <w:color w:val="auto"/>
          <w:highlight w:val="none"/>
        </w:rPr>
      </w:pPr>
      <w:r>
        <w:rPr>
          <w:rFonts w:hint="eastAsia"/>
          <w:color w:val="auto"/>
          <w:highlight w:val="none"/>
        </w:rPr>
        <w:t>（2）承包人违反第5.3款或第6.4款的约定，未经监理人批准，私自将已按合同约定进入施工场地的施工设备、临时设施或材料撤离施工场地；</w:t>
      </w:r>
    </w:p>
    <w:p w14:paraId="392756A4">
      <w:pPr>
        <w:spacing w:line="400" w:lineRule="exact"/>
        <w:ind w:firstLine="718" w:firstLineChars="342"/>
        <w:rPr>
          <w:color w:val="auto"/>
          <w:highlight w:val="none"/>
        </w:rPr>
      </w:pPr>
      <w:r>
        <w:rPr>
          <w:rFonts w:hint="eastAsia"/>
          <w:color w:val="auto"/>
          <w:highlight w:val="none"/>
        </w:rPr>
        <w:t>（3）承包人违反第5.4款的约定使用了不合格材料或工程设备，工程质量达不到标准要求，又拒绝清除不合格工程；</w:t>
      </w:r>
    </w:p>
    <w:p w14:paraId="1AB01370">
      <w:pPr>
        <w:spacing w:line="400" w:lineRule="exact"/>
        <w:ind w:firstLine="718" w:firstLineChars="342"/>
        <w:rPr>
          <w:color w:val="auto"/>
          <w:highlight w:val="none"/>
        </w:rPr>
      </w:pPr>
      <w:r>
        <w:rPr>
          <w:rFonts w:hint="eastAsia"/>
          <w:color w:val="auto"/>
          <w:highlight w:val="none"/>
        </w:rPr>
        <w:t>（4）承包人未能按合同进度计划及时完成合同约定的工作，已造成或预期造成工期延误；</w:t>
      </w:r>
    </w:p>
    <w:p w14:paraId="107EFB2A">
      <w:pPr>
        <w:spacing w:line="400" w:lineRule="exact"/>
        <w:ind w:firstLine="718" w:firstLineChars="342"/>
        <w:rPr>
          <w:color w:val="auto"/>
          <w:highlight w:val="none"/>
        </w:rPr>
      </w:pPr>
      <w:r>
        <w:rPr>
          <w:rFonts w:hint="eastAsia"/>
          <w:color w:val="auto"/>
          <w:highlight w:val="none"/>
        </w:rPr>
        <w:t>（5）承包人在缺陷责任期内，未能对工程接收证书所列的缺陷清单的内容或缺陷责任期内发生的缺陷进行修复，而又拒绝按监理人指示再进行修补；</w:t>
      </w:r>
    </w:p>
    <w:p w14:paraId="2BF37DE4">
      <w:pPr>
        <w:spacing w:line="400" w:lineRule="exact"/>
        <w:ind w:firstLine="718" w:firstLineChars="342"/>
        <w:rPr>
          <w:color w:val="auto"/>
          <w:highlight w:val="none"/>
        </w:rPr>
      </w:pPr>
      <w:r>
        <w:rPr>
          <w:rFonts w:hint="eastAsia"/>
          <w:color w:val="auto"/>
          <w:highlight w:val="none"/>
        </w:rPr>
        <w:t>（6）承包人无法继续履行或明确表示不履行或实质上已停止履行合同；</w:t>
      </w:r>
    </w:p>
    <w:p w14:paraId="2ACEB46C">
      <w:pPr>
        <w:spacing w:line="400" w:lineRule="exact"/>
        <w:ind w:firstLine="718" w:firstLineChars="342"/>
        <w:rPr>
          <w:color w:val="auto"/>
          <w:highlight w:val="none"/>
        </w:rPr>
      </w:pPr>
      <w:r>
        <w:rPr>
          <w:rFonts w:hint="eastAsia"/>
          <w:color w:val="auto"/>
          <w:highlight w:val="none"/>
        </w:rPr>
        <w:t>（7）承包人不按合同约定履行义务的其他情况。</w:t>
      </w:r>
    </w:p>
    <w:p w14:paraId="678EDADC">
      <w:pPr>
        <w:spacing w:line="400" w:lineRule="exact"/>
        <w:ind w:firstLine="420" w:firstLineChars="200"/>
        <w:rPr>
          <w:rFonts w:ascii="黑体" w:eastAsia="黑体"/>
          <w:color w:val="auto"/>
          <w:highlight w:val="none"/>
        </w:rPr>
      </w:pPr>
      <w:r>
        <w:rPr>
          <w:rFonts w:hint="eastAsia"/>
          <w:color w:val="auto"/>
          <w:highlight w:val="none"/>
        </w:rPr>
        <w:t>22.1.2</w:t>
      </w:r>
      <w:r>
        <w:rPr>
          <w:rFonts w:hint="eastAsia" w:ascii="黑体" w:eastAsia="黑体"/>
          <w:color w:val="auto"/>
          <w:highlight w:val="none"/>
        </w:rPr>
        <w:t xml:space="preserve"> 对承包人违约的处理</w:t>
      </w:r>
    </w:p>
    <w:p w14:paraId="180A58CD">
      <w:pPr>
        <w:spacing w:line="400" w:lineRule="exact"/>
        <w:ind w:firstLine="718" w:firstLineChars="342"/>
        <w:rPr>
          <w:color w:val="auto"/>
          <w:highlight w:val="none"/>
        </w:rPr>
      </w:pPr>
      <w:r>
        <w:rPr>
          <w:rFonts w:hint="eastAsia"/>
          <w:color w:val="auto"/>
          <w:highlight w:val="none"/>
        </w:rPr>
        <w:t>（1）承包人发生第22.1.1（6）目约定的违约情况时，发包人可通知承包人立即解除合同，并按有关法律处理。</w:t>
      </w:r>
    </w:p>
    <w:p w14:paraId="71845AA4">
      <w:pPr>
        <w:spacing w:line="400" w:lineRule="exact"/>
        <w:ind w:firstLine="718" w:firstLineChars="342"/>
        <w:rPr>
          <w:color w:val="auto"/>
          <w:highlight w:val="none"/>
        </w:rPr>
      </w:pPr>
      <w:r>
        <w:rPr>
          <w:rFonts w:hint="eastAsia"/>
          <w:color w:val="auto"/>
          <w:highlight w:val="none"/>
        </w:rPr>
        <w:t>（2）承包人发生除第22.1.1（6）目约定以外的其他违约情况时，监理人可向承包人发出整改通知，要求其在指定的期限内改正。承包人应承担其违约所引起的费用增加和（或）工期延误。</w:t>
      </w:r>
    </w:p>
    <w:p w14:paraId="1A4E9B8D">
      <w:pPr>
        <w:spacing w:line="400" w:lineRule="exact"/>
        <w:ind w:firstLine="718" w:firstLineChars="342"/>
        <w:rPr>
          <w:color w:val="auto"/>
          <w:highlight w:val="none"/>
        </w:rPr>
      </w:pPr>
      <w:r>
        <w:rPr>
          <w:rFonts w:hint="eastAsia"/>
          <w:color w:val="auto"/>
          <w:highlight w:val="none"/>
        </w:rPr>
        <w:t>（3）经检查证明承包人已采取了有效措施纠正违约行为，具备复工条件的，可由监理人签发复工通知复工。</w:t>
      </w:r>
    </w:p>
    <w:p w14:paraId="24D54C9B">
      <w:pPr>
        <w:spacing w:line="400" w:lineRule="exact"/>
        <w:ind w:firstLine="420" w:firstLineChars="200"/>
        <w:rPr>
          <w:rFonts w:ascii="黑体" w:eastAsia="黑体"/>
          <w:color w:val="auto"/>
          <w:highlight w:val="none"/>
        </w:rPr>
      </w:pPr>
      <w:r>
        <w:rPr>
          <w:rFonts w:hint="eastAsia"/>
          <w:color w:val="auto"/>
          <w:highlight w:val="none"/>
        </w:rPr>
        <w:t>22.1.3</w:t>
      </w:r>
      <w:r>
        <w:rPr>
          <w:rFonts w:hint="eastAsia" w:ascii="黑体" w:eastAsia="黑体"/>
          <w:color w:val="auto"/>
          <w:highlight w:val="none"/>
        </w:rPr>
        <w:t xml:space="preserve"> 承包人违约解除合同</w:t>
      </w:r>
    </w:p>
    <w:p w14:paraId="4D9C374F">
      <w:pPr>
        <w:spacing w:line="400" w:lineRule="exact"/>
        <w:ind w:firstLine="420" w:firstLineChars="200"/>
        <w:rPr>
          <w:color w:val="auto"/>
          <w:highlight w:val="none"/>
        </w:rPr>
      </w:pPr>
      <w:r>
        <w:rPr>
          <w:rFonts w:hint="eastAsia"/>
          <w:color w:val="auto"/>
          <w:highlight w:val="none"/>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73F309C1">
      <w:pPr>
        <w:spacing w:line="400" w:lineRule="exact"/>
        <w:ind w:firstLine="420" w:firstLineChars="200"/>
        <w:rPr>
          <w:rFonts w:ascii="黑体" w:eastAsia="黑体"/>
          <w:color w:val="auto"/>
          <w:highlight w:val="none"/>
        </w:rPr>
      </w:pPr>
      <w:r>
        <w:rPr>
          <w:rFonts w:hint="eastAsia"/>
          <w:color w:val="auto"/>
          <w:highlight w:val="none"/>
        </w:rPr>
        <w:t>22.1.4</w:t>
      </w:r>
      <w:r>
        <w:rPr>
          <w:rFonts w:hint="eastAsia" w:ascii="黑体" w:eastAsia="黑体"/>
          <w:color w:val="auto"/>
          <w:highlight w:val="none"/>
        </w:rPr>
        <w:t xml:space="preserve"> 合同解除后的估价、付款和结清</w:t>
      </w:r>
    </w:p>
    <w:p w14:paraId="44470EF8">
      <w:pPr>
        <w:spacing w:line="400" w:lineRule="exact"/>
        <w:ind w:firstLine="718" w:firstLineChars="342"/>
        <w:rPr>
          <w:color w:val="auto"/>
          <w:highlight w:val="none"/>
        </w:rPr>
      </w:pPr>
      <w:r>
        <w:rPr>
          <w:rFonts w:hint="eastAsia"/>
          <w:color w:val="auto"/>
          <w:highlight w:val="none"/>
        </w:rPr>
        <w:t xml:space="preserve">（1）合同解除后，监理人按第3.5款商定或确定承包人实际完成工作的价值，以及承包人已提供的材料、施工设备、工程设备和临时工程等的价值。 </w:t>
      </w:r>
    </w:p>
    <w:p w14:paraId="3B1DE313">
      <w:pPr>
        <w:spacing w:line="400" w:lineRule="exact"/>
        <w:ind w:firstLine="718" w:firstLineChars="342"/>
        <w:rPr>
          <w:color w:val="auto"/>
          <w:highlight w:val="none"/>
        </w:rPr>
      </w:pPr>
      <w:r>
        <w:rPr>
          <w:rFonts w:hint="eastAsia"/>
          <w:color w:val="auto"/>
          <w:highlight w:val="none"/>
        </w:rPr>
        <w:t xml:space="preserve">（2）合同解除后，发包人应暂停对承包人的一切付款，查清各项付款和已扣款金额，包括承包人应支付的违约金。 </w:t>
      </w:r>
    </w:p>
    <w:p w14:paraId="2A5582B2">
      <w:pPr>
        <w:spacing w:line="400" w:lineRule="exact"/>
        <w:ind w:firstLine="718" w:firstLineChars="342"/>
        <w:rPr>
          <w:color w:val="auto"/>
          <w:highlight w:val="none"/>
        </w:rPr>
      </w:pPr>
      <w:r>
        <w:rPr>
          <w:rFonts w:hint="eastAsia"/>
          <w:color w:val="auto"/>
          <w:highlight w:val="none"/>
        </w:rPr>
        <w:t>（3）合同解除后，发包人应按第23.4款的约定向承包人索赔由于解除合同给发包人造成的损失。</w:t>
      </w:r>
    </w:p>
    <w:p w14:paraId="20571304">
      <w:pPr>
        <w:spacing w:line="400" w:lineRule="exact"/>
        <w:ind w:firstLine="718" w:firstLineChars="342"/>
        <w:rPr>
          <w:color w:val="auto"/>
          <w:highlight w:val="none"/>
        </w:rPr>
      </w:pPr>
      <w:r>
        <w:rPr>
          <w:rFonts w:hint="eastAsia"/>
          <w:color w:val="auto"/>
          <w:highlight w:val="none"/>
        </w:rPr>
        <w:t>（4）合同双方确认上述往来款项后，出具最终结清付款证书，结清全部合同款项。</w:t>
      </w:r>
    </w:p>
    <w:p w14:paraId="25345112">
      <w:pPr>
        <w:spacing w:line="400" w:lineRule="exact"/>
        <w:ind w:firstLine="718" w:firstLineChars="342"/>
        <w:rPr>
          <w:color w:val="auto"/>
          <w:highlight w:val="none"/>
        </w:rPr>
      </w:pPr>
      <w:r>
        <w:rPr>
          <w:rFonts w:hint="eastAsia"/>
          <w:color w:val="auto"/>
          <w:highlight w:val="none"/>
        </w:rPr>
        <w:t>（5）发包人和承包人未能就解除合同后的结清达成一致而形成争议的，按第24条的约定办理。</w:t>
      </w:r>
    </w:p>
    <w:p w14:paraId="081185A9">
      <w:pPr>
        <w:spacing w:line="400" w:lineRule="exact"/>
        <w:ind w:firstLine="420" w:firstLineChars="200"/>
        <w:rPr>
          <w:rFonts w:ascii="黑体" w:eastAsia="黑体"/>
          <w:color w:val="auto"/>
          <w:highlight w:val="none"/>
        </w:rPr>
      </w:pPr>
      <w:r>
        <w:rPr>
          <w:rFonts w:hint="eastAsia"/>
          <w:color w:val="auto"/>
          <w:highlight w:val="none"/>
        </w:rPr>
        <w:t>22.1.5</w:t>
      </w:r>
      <w:r>
        <w:rPr>
          <w:rFonts w:hint="eastAsia" w:ascii="黑体" w:eastAsia="黑体"/>
          <w:color w:val="auto"/>
          <w:highlight w:val="none"/>
        </w:rPr>
        <w:t xml:space="preserve"> 协议利益的转让</w:t>
      </w:r>
    </w:p>
    <w:p w14:paraId="14B5001C">
      <w:pPr>
        <w:spacing w:line="400" w:lineRule="exact"/>
        <w:ind w:firstLine="420" w:firstLineChars="200"/>
        <w:rPr>
          <w:color w:val="auto"/>
          <w:highlight w:val="none"/>
        </w:rPr>
      </w:pPr>
      <w:r>
        <w:rPr>
          <w:rFonts w:hint="eastAsia"/>
          <w:color w:val="auto"/>
          <w:highlight w:val="none"/>
        </w:rPr>
        <w:t xml:space="preserve">因承包人违约解除合同的，发包人有权要求承包人将其为实施合同而签订的材料和设备的订货协议或任何服务协议利益转让给发包人，并在解除合同后的14天内，依法办理转让手续。 </w:t>
      </w:r>
    </w:p>
    <w:p w14:paraId="22EE5026">
      <w:pPr>
        <w:spacing w:line="400" w:lineRule="exact"/>
        <w:ind w:firstLine="420" w:firstLineChars="200"/>
        <w:rPr>
          <w:rFonts w:ascii="黑体" w:eastAsia="黑体"/>
          <w:color w:val="auto"/>
          <w:highlight w:val="none"/>
        </w:rPr>
      </w:pPr>
      <w:r>
        <w:rPr>
          <w:rFonts w:hint="eastAsia"/>
          <w:color w:val="auto"/>
          <w:highlight w:val="none"/>
        </w:rPr>
        <w:t>22.1.6</w:t>
      </w:r>
      <w:r>
        <w:rPr>
          <w:rFonts w:hint="eastAsia" w:ascii="黑体" w:eastAsia="黑体"/>
          <w:color w:val="auto"/>
          <w:highlight w:val="none"/>
        </w:rPr>
        <w:t xml:space="preserve"> 紧急情况下无能力或不愿进行抢救</w:t>
      </w:r>
    </w:p>
    <w:p w14:paraId="059E39C2">
      <w:pPr>
        <w:spacing w:line="400" w:lineRule="exact"/>
        <w:ind w:firstLine="420" w:firstLineChars="200"/>
        <w:rPr>
          <w:color w:val="auto"/>
          <w:highlight w:val="none"/>
        </w:rPr>
      </w:pPr>
      <w:r>
        <w:rPr>
          <w:rFonts w:hint="eastAsia"/>
          <w:color w:val="auto"/>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417D0452">
      <w:pPr>
        <w:pStyle w:val="45"/>
        <w:rPr>
          <w:color w:val="auto"/>
          <w:highlight w:val="none"/>
        </w:rPr>
      </w:pPr>
      <w:bookmarkStart w:id="1007" w:name="_Toc152045755"/>
      <w:bookmarkStart w:id="1008" w:name="_Toc152042534"/>
      <w:bookmarkStart w:id="1009" w:name="_Toc24449"/>
      <w:bookmarkStart w:id="1010" w:name="_Toc179632773"/>
      <w:bookmarkStart w:id="1011" w:name="_Toc144974726"/>
      <w:r>
        <w:rPr>
          <w:rFonts w:hint="eastAsia"/>
          <w:color w:val="auto"/>
          <w:highlight w:val="none"/>
        </w:rPr>
        <w:t>22.2 发包人违约</w:t>
      </w:r>
      <w:bookmarkEnd w:id="1007"/>
      <w:bookmarkEnd w:id="1008"/>
      <w:bookmarkEnd w:id="1009"/>
      <w:bookmarkEnd w:id="1010"/>
      <w:bookmarkEnd w:id="1011"/>
    </w:p>
    <w:p w14:paraId="6C0DDDA6">
      <w:pPr>
        <w:spacing w:line="400" w:lineRule="exact"/>
        <w:ind w:firstLine="420" w:firstLineChars="200"/>
        <w:rPr>
          <w:rFonts w:ascii="黑体" w:eastAsia="黑体"/>
          <w:color w:val="auto"/>
          <w:highlight w:val="none"/>
        </w:rPr>
      </w:pPr>
      <w:r>
        <w:rPr>
          <w:rFonts w:hint="eastAsia"/>
          <w:color w:val="auto"/>
          <w:highlight w:val="none"/>
        </w:rPr>
        <w:t xml:space="preserve">22.2.1 </w:t>
      </w:r>
      <w:r>
        <w:rPr>
          <w:rFonts w:hint="eastAsia" w:ascii="黑体" w:eastAsia="黑体"/>
          <w:color w:val="auto"/>
          <w:highlight w:val="none"/>
        </w:rPr>
        <w:t>发包人违约的情形</w:t>
      </w:r>
    </w:p>
    <w:p w14:paraId="4B64BF6C">
      <w:pPr>
        <w:spacing w:line="400" w:lineRule="exact"/>
        <w:ind w:firstLine="420" w:firstLineChars="200"/>
        <w:rPr>
          <w:color w:val="auto"/>
          <w:highlight w:val="none"/>
        </w:rPr>
      </w:pPr>
      <w:r>
        <w:rPr>
          <w:rFonts w:hint="eastAsia"/>
          <w:color w:val="auto"/>
          <w:highlight w:val="none"/>
        </w:rPr>
        <w:t>在履行合同过程中发生的下列情形，属发包人违约：</w:t>
      </w:r>
    </w:p>
    <w:p w14:paraId="47BEC00F">
      <w:pPr>
        <w:spacing w:line="400" w:lineRule="exact"/>
        <w:ind w:firstLine="718" w:firstLineChars="342"/>
        <w:rPr>
          <w:color w:val="auto"/>
          <w:highlight w:val="none"/>
        </w:rPr>
      </w:pPr>
      <w:r>
        <w:rPr>
          <w:rFonts w:hint="eastAsia"/>
          <w:color w:val="auto"/>
          <w:highlight w:val="none"/>
        </w:rPr>
        <w:t>（1）发包人未能按合同约定支付预付款或合同价款，或拖延、拒绝批准付款申请和支付凭证，导致付款延误的；</w:t>
      </w:r>
    </w:p>
    <w:p w14:paraId="51A10B94">
      <w:pPr>
        <w:spacing w:line="400" w:lineRule="exact"/>
        <w:ind w:firstLine="718" w:firstLineChars="342"/>
        <w:rPr>
          <w:color w:val="auto"/>
          <w:highlight w:val="none"/>
        </w:rPr>
      </w:pPr>
      <w:r>
        <w:rPr>
          <w:rFonts w:hint="eastAsia"/>
          <w:color w:val="auto"/>
          <w:highlight w:val="none"/>
        </w:rPr>
        <w:t>（2）发包人原因造成停工的；</w:t>
      </w:r>
    </w:p>
    <w:p w14:paraId="4D4C3B52">
      <w:pPr>
        <w:spacing w:line="400" w:lineRule="exact"/>
        <w:ind w:firstLine="718" w:firstLineChars="342"/>
        <w:rPr>
          <w:color w:val="auto"/>
          <w:highlight w:val="none"/>
        </w:rPr>
      </w:pPr>
      <w:r>
        <w:rPr>
          <w:rFonts w:hint="eastAsia"/>
          <w:color w:val="auto"/>
          <w:highlight w:val="none"/>
        </w:rPr>
        <w:t>（3）监理人无正当理由没有在约定期限内发出复工指示，导致承包人无法复工的；</w:t>
      </w:r>
    </w:p>
    <w:p w14:paraId="21D7950A">
      <w:pPr>
        <w:spacing w:line="400" w:lineRule="exact"/>
        <w:ind w:firstLine="718" w:firstLineChars="342"/>
        <w:rPr>
          <w:color w:val="auto"/>
          <w:highlight w:val="none"/>
        </w:rPr>
      </w:pPr>
      <w:r>
        <w:rPr>
          <w:rFonts w:hint="eastAsia"/>
          <w:color w:val="auto"/>
          <w:highlight w:val="none"/>
        </w:rPr>
        <w:t>（4）发包人无法继续履行或明确表示不履行或实质上已停止履行合同的；</w:t>
      </w:r>
    </w:p>
    <w:p w14:paraId="465524A9">
      <w:pPr>
        <w:spacing w:line="400" w:lineRule="exact"/>
        <w:ind w:firstLine="718" w:firstLineChars="342"/>
        <w:rPr>
          <w:color w:val="auto"/>
          <w:highlight w:val="none"/>
        </w:rPr>
      </w:pPr>
      <w:r>
        <w:rPr>
          <w:rFonts w:hint="eastAsia"/>
          <w:color w:val="auto"/>
          <w:highlight w:val="none"/>
        </w:rPr>
        <w:t>（5）发包人不履行合同约定其他义务的。</w:t>
      </w:r>
    </w:p>
    <w:p w14:paraId="57ABB66E">
      <w:pPr>
        <w:spacing w:line="400" w:lineRule="exact"/>
        <w:ind w:firstLine="420" w:firstLineChars="200"/>
        <w:rPr>
          <w:color w:val="auto"/>
          <w:highlight w:val="none"/>
        </w:rPr>
      </w:pPr>
      <w:r>
        <w:rPr>
          <w:rFonts w:hint="eastAsia"/>
          <w:color w:val="auto"/>
          <w:highlight w:val="none"/>
        </w:rPr>
        <w:t>22.2.2</w:t>
      </w:r>
      <w:r>
        <w:rPr>
          <w:rFonts w:hint="eastAsia" w:ascii="黑体" w:eastAsia="黑体"/>
          <w:color w:val="auto"/>
          <w:highlight w:val="none"/>
        </w:rPr>
        <w:t xml:space="preserve"> 承包人有权暂停施工</w:t>
      </w:r>
    </w:p>
    <w:p w14:paraId="78B2857E">
      <w:pPr>
        <w:spacing w:line="400" w:lineRule="exact"/>
        <w:ind w:firstLine="420" w:firstLineChars="200"/>
        <w:rPr>
          <w:color w:val="auto"/>
          <w:highlight w:val="none"/>
        </w:rPr>
      </w:pPr>
      <w:r>
        <w:rPr>
          <w:rFonts w:hint="eastAsia"/>
          <w:color w:val="auto"/>
          <w:highlight w:val="none"/>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77BF7FD5">
      <w:pPr>
        <w:spacing w:line="400" w:lineRule="exact"/>
        <w:ind w:firstLine="420" w:firstLineChars="200"/>
        <w:rPr>
          <w:color w:val="auto"/>
          <w:highlight w:val="none"/>
        </w:rPr>
      </w:pPr>
      <w:r>
        <w:rPr>
          <w:rFonts w:hint="eastAsia"/>
          <w:color w:val="auto"/>
          <w:highlight w:val="none"/>
        </w:rPr>
        <w:t>22.2.3</w:t>
      </w:r>
      <w:r>
        <w:rPr>
          <w:rFonts w:hint="eastAsia" w:ascii="黑体" w:eastAsia="黑体"/>
          <w:color w:val="auto"/>
          <w:highlight w:val="none"/>
        </w:rPr>
        <w:t xml:space="preserve"> 发包人违约解除合同</w:t>
      </w:r>
      <w:r>
        <w:rPr>
          <w:rFonts w:hint="eastAsia"/>
          <w:color w:val="auto"/>
          <w:highlight w:val="none"/>
        </w:rPr>
        <w:t xml:space="preserve"> </w:t>
      </w:r>
    </w:p>
    <w:p w14:paraId="1056A245">
      <w:pPr>
        <w:spacing w:line="400" w:lineRule="exact"/>
        <w:ind w:firstLine="718" w:firstLineChars="342"/>
        <w:rPr>
          <w:color w:val="auto"/>
          <w:highlight w:val="none"/>
        </w:rPr>
      </w:pPr>
      <w:r>
        <w:rPr>
          <w:rFonts w:hint="eastAsia"/>
          <w:color w:val="auto"/>
          <w:highlight w:val="none"/>
        </w:rPr>
        <w:t xml:space="preserve">（1）发生第22.2.1（4）目的违约情况时，承包人可书面通知发包人解除合同。   </w:t>
      </w:r>
    </w:p>
    <w:p w14:paraId="29B4D32B">
      <w:pPr>
        <w:spacing w:line="400" w:lineRule="exact"/>
        <w:ind w:firstLine="718" w:firstLineChars="342"/>
        <w:rPr>
          <w:color w:val="auto"/>
          <w:highlight w:val="none"/>
        </w:rPr>
      </w:pPr>
      <w:r>
        <w:rPr>
          <w:rFonts w:hint="eastAsia"/>
          <w:color w:val="auto"/>
          <w:highlight w:val="none"/>
        </w:rPr>
        <w:t>（2）承包人按22.2.2项暂停施工28天后，发包人仍不纠正违约行为的，承包人可向发包人发出解除合同通知。但承包人的这一行动不免除发包人承担的违约责任，也不影响承包人根据合同约定享有的索赔权利。</w:t>
      </w:r>
    </w:p>
    <w:p w14:paraId="27C292B4">
      <w:pPr>
        <w:spacing w:line="400" w:lineRule="exact"/>
        <w:ind w:firstLine="420" w:firstLineChars="200"/>
        <w:rPr>
          <w:rFonts w:ascii="黑体" w:eastAsia="黑体"/>
          <w:color w:val="auto"/>
          <w:highlight w:val="none"/>
        </w:rPr>
      </w:pPr>
      <w:r>
        <w:rPr>
          <w:rFonts w:hint="eastAsia"/>
          <w:color w:val="auto"/>
          <w:highlight w:val="none"/>
        </w:rPr>
        <w:t>22.2.4</w:t>
      </w:r>
      <w:r>
        <w:rPr>
          <w:rFonts w:hint="eastAsia" w:ascii="黑体" w:eastAsia="黑体"/>
          <w:color w:val="auto"/>
          <w:highlight w:val="none"/>
        </w:rPr>
        <w:t xml:space="preserve"> 解除合同后的付款</w:t>
      </w:r>
    </w:p>
    <w:p w14:paraId="37AA8809">
      <w:pPr>
        <w:spacing w:line="400" w:lineRule="exact"/>
        <w:ind w:firstLine="420" w:firstLineChars="200"/>
        <w:rPr>
          <w:color w:val="auto"/>
          <w:highlight w:val="none"/>
        </w:rPr>
      </w:pPr>
      <w:r>
        <w:rPr>
          <w:rFonts w:hint="eastAsia"/>
          <w:color w:val="auto"/>
          <w:highlight w:val="none"/>
        </w:rPr>
        <w:t>因发包人违约解除合同的，发包人应在解除合同后28天内向承包人支付下列金额，承包人应在此期限内及时向发包人提交要求支付下列金额的有关资料和凭证：</w:t>
      </w:r>
    </w:p>
    <w:p w14:paraId="435D68AE">
      <w:pPr>
        <w:spacing w:line="400" w:lineRule="exact"/>
        <w:ind w:firstLine="718" w:firstLineChars="342"/>
        <w:rPr>
          <w:color w:val="auto"/>
          <w:highlight w:val="none"/>
        </w:rPr>
      </w:pPr>
      <w:r>
        <w:rPr>
          <w:rFonts w:hint="eastAsia"/>
          <w:color w:val="auto"/>
          <w:highlight w:val="none"/>
        </w:rPr>
        <w:t>（1）合同解除日以前所完成工作的价款；</w:t>
      </w:r>
    </w:p>
    <w:p w14:paraId="233E07B1">
      <w:pPr>
        <w:spacing w:line="400" w:lineRule="exact"/>
        <w:ind w:firstLine="718" w:firstLineChars="342"/>
        <w:rPr>
          <w:color w:val="auto"/>
          <w:highlight w:val="none"/>
        </w:rPr>
      </w:pPr>
      <w:r>
        <w:rPr>
          <w:rFonts w:hint="eastAsia"/>
          <w:color w:val="auto"/>
          <w:highlight w:val="none"/>
        </w:rPr>
        <w:t>（2）承包人为该工程施工订购并已付款的材料、工程设备和其他物品的金额。发包人付还后，该材料、工程设备和其他物品归发包人所有；</w:t>
      </w:r>
    </w:p>
    <w:p w14:paraId="23893148">
      <w:pPr>
        <w:spacing w:line="400" w:lineRule="exact"/>
        <w:ind w:firstLine="718" w:firstLineChars="342"/>
        <w:rPr>
          <w:color w:val="auto"/>
          <w:highlight w:val="none"/>
        </w:rPr>
      </w:pPr>
      <w:r>
        <w:rPr>
          <w:rFonts w:hint="eastAsia"/>
          <w:color w:val="auto"/>
          <w:highlight w:val="none"/>
        </w:rPr>
        <w:t>（3）承包人为完成工程所发生的，而发包人未支付的金额；</w:t>
      </w:r>
    </w:p>
    <w:p w14:paraId="6BB2D2B3">
      <w:pPr>
        <w:spacing w:line="400" w:lineRule="exact"/>
        <w:ind w:firstLine="718" w:firstLineChars="342"/>
        <w:rPr>
          <w:color w:val="auto"/>
          <w:highlight w:val="none"/>
        </w:rPr>
      </w:pPr>
      <w:r>
        <w:rPr>
          <w:rFonts w:hint="eastAsia"/>
          <w:color w:val="auto"/>
          <w:highlight w:val="none"/>
        </w:rPr>
        <w:t>（4）承包人撤离施工场地以及遣散承包人人员的金额；</w:t>
      </w:r>
    </w:p>
    <w:p w14:paraId="1FDEEFD6">
      <w:pPr>
        <w:spacing w:line="400" w:lineRule="exact"/>
        <w:ind w:firstLine="718" w:firstLineChars="342"/>
        <w:rPr>
          <w:color w:val="auto"/>
          <w:highlight w:val="none"/>
        </w:rPr>
      </w:pPr>
      <w:r>
        <w:rPr>
          <w:rFonts w:hint="eastAsia"/>
          <w:color w:val="auto"/>
          <w:highlight w:val="none"/>
        </w:rPr>
        <w:t>（5）由于解除合同应赔偿的承包人损失；</w:t>
      </w:r>
    </w:p>
    <w:p w14:paraId="4A607215">
      <w:pPr>
        <w:spacing w:line="400" w:lineRule="exact"/>
        <w:ind w:firstLine="718" w:firstLineChars="342"/>
        <w:rPr>
          <w:color w:val="auto"/>
          <w:highlight w:val="none"/>
        </w:rPr>
      </w:pPr>
      <w:r>
        <w:rPr>
          <w:rFonts w:hint="eastAsia"/>
          <w:color w:val="auto"/>
          <w:highlight w:val="none"/>
        </w:rPr>
        <w:t>（6）按合同约定在合同解除日前应支付给承包人的其他金额。</w:t>
      </w:r>
    </w:p>
    <w:p w14:paraId="3227F99F">
      <w:pPr>
        <w:spacing w:line="400" w:lineRule="exact"/>
        <w:ind w:firstLine="420" w:firstLineChars="200"/>
        <w:rPr>
          <w:color w:val="auto"/>
          <w:highlight w:val="none"/>
        </w:rPr>
      </w:pPr>
      <w:r>
        <w:rPr>
          <w:rFonts w:hint="eastAsia"/>
          <w:color w:val="auto"/>
          <w:highlight w:val="none"/>
        </w:rPr>
        <w:t>发包人应按本项约定支付上述金额并退还质量保证金和履约担保，但有权要求承包人支付应偿还给发包人的各项金额。</w:t>
      </w:r>
    </w:p>
    <w:p w14:paraId="4A90433C">
      <w:pPr>
        <w:spacing w:line="400" w:lineRule="exact"/>
        <w:ind w:firstLine="420" w:firstLineChars="200"/>
        <w:rPr>
          <w:rFonts w:ascii="黑体" w:eastAsia="黑体"/>
          <w:color w:val="auto"/>
          <w:highlight w:val="none"/>
        </w:rPr>
      </w:pPr>
      <w:r>
        <w:rPr>
          <w:rFonts w:hint="eastAsia"/>
          <w:color w:val="auto"/>
          <w:highlight w:val="none"/>
        </w:rPr>
        <w:t>22.2.5</w:t>
      </w:r>
      <w:r>
        <w:rPr>
          <w:rFonts w:hint="eastAsia" w:ascii="黑体" w:eastAsia="黑体"/>
          <w:color w:val="auto"/>
          <w:highlight w:val="none"/>
        </w:rPr>
        <w:t xml:space="preserve"> 解除合同后的承包人撤离</w:t>
      </w:r>
    </w:p>
    <w:p w14:paraId="1CDCC4EA">
      <w:pPr>
        <w:spacing w:line="400" w:lineRule="exact"/>
        <w:ind w:firstLine="420" w:firstLineChars="200"/>
        <w:rPr>
          <w:color w:val="auto"/>
          <w:highlight w:val="none"/>
        </w:rPr>
      </w:pPr>
      <w:r>
        <w:rPr>
          <w:rFonts w:hint="eastAsia"/>
          <w:color w:val="auto"/>
          <w:highlight w:val="none"/>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14:paraId="2122A022">
      <w:pPr>
        <w:pStyle w:val="45"/>
        <w:rPr>
          <w:color w:val="auto"/>
          <w:highlight w:val="none"/>
        </w:rPr>
      </w:pPr>
      <w:bookmarkStart w:id="1012" w:name="_Toc152042535"/>
      <w:bookmarkStart w:id="1013" w:name="_Toc18044"/>
      <w:bookmarkStart w:id="1014" w:name="_Toc152045756"/>
      <w:bookmarkStart w:id="1015" w:name="_Toc179632774"/>
      <w:r>
        <w:rPr>
          <w:rFonts w:hint="eastAsia"/>
          <w:color w:val="auto"/>
          <w:highlight w:val="none"/>
        </w:rPr>
        <w:t>22.3 第三人造成的违约</w:t>
      </w:r>
      <w:bookmarkEnd w:id="1012"/>
      <w:bookmarkEnd w:id="1013"/>
      <w:bookmarkEnd w:id="1014"/>
      <w:bookmarkEnd w:id="1015"/>
    </w:p>
    <w:p w14:paraId="3A89B84D">
      <w:pPr>
        <w:spacing w:line="400" w:lineRule="exact"/>
        <w:ind w:firstLine="420" w:firstLineChars="200"/>
        <w:rPr>
          <w:color w:val="auto"/>
          <w:highlight w:val="none"/>
        </w:rPr>
      </w:pPr>
      <w:r>
        <w:rPr>
          <w:rFonts w:hint="eastAsia"/>
          <w:color w:val="auto"/>
          <w:highlight w:val="none"/>
        </w:rPr>
        <w:t>在履行合同过程中，一方当事人因第三人的原因造成违约的，应当向对方当事人承担违约责任。一方当事人和第三人之间的纠纷，依照法律规定或者按照约定解决。</w:t>
      </w:r>
    </w:p>
    <w:p w14:paraId="5ED5A2E2">
      <w:pPr>
        <w:pStyle w:val="44"/>
        <w:rPr>
          <w:color w:val="auto"/>
          <w:highlight w:val="none"/>
        </w:rPr>
      </w:pPr>
      <w:bookmarkStart w:id="1016" w:name="_Toc152045757"/>
      <w:bookmarkStart w:id="1017" w:name="_Toc152042536"/>
      <w:bookmarkStart w:id="1018" w:name="_Toc144974727"/>
      <w:bookmarkStart w:id="1019" w:name="_Toc21240"/>
      <w:bookmarkStart w:id="1020" w:name="_Toc179632775"/>
      <w:bookmarkStart w:id="1021" w:name="_Toc15272"/>
      <w:bookmarkStart w:id="1022" w:name="_Toc13734"/>
      <w:r>
        <w:rPr>
          <w:rFonts w:hint="eastAsia"/>
          <w:color w:val="auto"/>
          <w:highlight w:val="none"/>
        </w:rPr>
        <w:t>23. 索赔</w:t>
      </w:r>
      <w:bookmarkEnd w:id="1016"/>
      <w:bookmarkEnd w:id="1017"/>
      <w:bookmarkEnd w:id="1018"/>
      <w:bookmarkEnd w:id="1019"/>
      <w:bookmarkEnd w:id="1020"/>
      <w:bookmarkEnd w:id="1021"/>
      <w:bookmarkEnd w:id="1022"/>
    </w:p>
    <w:p w14:paraId="1250666E">
      <w:pPr>
        <w:pStyle w:val="45"/>
        <w:rPr>
          <w:color w:val="auto"/>
          <w:highlight w:val="none"/>
        </w:rPr>
      </w:pPr>
      <w:bookmarkStart w:id="1023" w:name="_Toc31214"/>
      <w:bookmarkStart w:id="1024" w:name="_Toc152042537"/>
      <w:bookmarkStart w:id="1025" w:name="_Toc152045758"/>
      <w:bookmarkStart w:id="1026" w:name="_Toc179632776"/>
      <w:bookmarkStart w:id="1027" w:name="_Toc144974728"/>
      <w:r>
        <w:rPr>
          <w:rFonts w:hint="eastAsia"/>
          <w:color w:val="auto"/>
          <w:highlight w:val="none"/>
        </w:rPr>
        <w:t>23.1 承包人索赔的提出</w:t>
      </w:r>
      <w:bookmarkEnd w:id="1023"/>
      <w:bookmarkEnd w:id="1024"/>
      <w:bookmarkEnd w:id="1025"/>
      <w:bookmarkEnd w:id="1026"/>
      <w:bookmarkEnd w:id="1027"/>
    </w:p>
    <w:p w14:paraId="6D0B2771">
      <w:pPr>
        <w:spacing w:line="400" w:lineRule="exact"/>
        <w:ind w:firstLine="420" w:firstLineChars="200"/>
        <w:rPr>
          <w:color w:val="auto"/>
          <w:highlight w:val="none"/>
        </w:rPr>
      </w:pPr>
      <w:r>
        <w:rPr>
          <w:rFonts w:hint="eastAsia"/>
          <w:color w:val="auto"/>
          <w:highlight w:val="none"/>
        </w:rPr>
        <w:t>根据合同约定，承包人认为有权得到追加付款和（或）延长工期的，应按以下程序向发包人提出索赔：</w:t>
      </w:r>
    </w:p>
    <w:p w14:paraId="1B5B0F9E">
      <w:pPr>
        <w:spacing w:line="400" w:lineRule="exact"/>
        <w:ind w:firstLine="359" w:firstLineChars="171"/>
        <w:rPr>
          <w:color w:val="auto"/>
          <w:highlight w:val="none"/>
        </w:rPr>
      </w:pPr>
      <w:r>
        <w:rPr>
          <w:rFonts w:hint="eastAsia"/>
          <w:color w:val="auto"/>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138BA03D">
      <w:pPr>
        <w:spacing w:line="400" w:lineRule="exact"/>
        <w:ind w:firstLine="359" w:firstLineChars="171"/>
        <w:rPr>
          <w:color w:val="auto"/>
          <w:highlight w:val="none"/>
        </w:rPr>
      </w:pPr>
      <w:r>
        <w:rPr>
          <w:rFonts w:hint="eastAsia"/>
          <w:color w:val="auto"/>
          <w:highlight w:val="none"/>
        </w:rPr>
        <w:t>（2）承包人应在发出索赔意向通知书后28天内，向监理人正式递交索赔通知书。索赔通知书应详细说明索赔理由以及要求追加的付款金额和（或）延长的工期，并附必要的记录和证明材料；</w:t>
      </w:r>
    </w:p>
    <w:p w14:paraId="7643D266">
      <w:pPr>
        <w:spacing w:line="400" w:lineRule="exact"/>
        <w:ind w:firstLine="359" w:firstLineChars="171"/>
        <w:rPr>
          <w:color w:val="auto"/>
          <w:highlight w:val="none"/>
        </w:rPr>
      </w:pPr>
      <w:r>
        <w:rPr>
          <w:rFonts w:hint="eastAsia"/>
          <w:color w:val="auto"/>
          <w:highlight w:val="none"/>
        </w:rPr>
        <w:t>（3）索赔事件具有连续影响的，承包人应按合理时间间隔继续递交延续索赔通知，说明连续影响的实际情况和记录，列出累计的追加付款金额和（或）工期延长天数；</w:t>
      </w:r>
    </w:p>
    <w:p w14:paraId="4396E7C6">
      <w:pPr>
        <w:spacing w:line="400" w:lineRule="exact"/>
        <w:ind w:firstLine="359" w:firstLineChars="171"/>
        <w:rPr>
          <w:color w:val="auto"/>
          <w:highlight w:val="none"/>
        </w:rPr>
      </w:pPr>
      <w:r>
        <w:rPr>
          <w:rFonts w:hint="eastAsia"/>
          <w:color w:val="auto"/>
          <w:highlight w:val="none"/>
        </w:rPr>
        <w:t>（4）在索赔事件影响结束后的28天内，承包人应向监理人递交最终索赔通知书，说明最终要求索赔的追加付款金额和延长的工期，并附必要的记录和证明材料。</w:t>
      </w:r>
    </w:p>
    <w:p w14:paraId="5793EF3D">
      <w:pPr>
        <w:pStyle w:val="45"/>
        <w:rPr>
          <w:color w:val="auto"/>
          <w:highlight w:val="none"/>
        </w:rPr>
      </w:pPr>
      <w:bookmarkStart w:id="1028" w:name="_Toc11708"/>
      <w:bookmarkStart w:id="1029" w:name="_Toc152045759"/>
      <w:bookmarkStart w:id="1030" w:name="_Toc179632777"/>
      <w:bookmarkStart w:id="1031" w:name="_Toc152042538"/>
      <w:bookmarkStart w:id="1032" w:name="_Toc144974729"/>
      <w:r>
        <w:rPr>
          <w:rFonts w:hint="eastAsia"/>
          <w:color w:val="auto"/>
          <w:highlight w:val="none"/>
        </w:rPr>
        <w:t>23.2 承包人索赔处理程序</w:t>
      </w:r>
      <w:bookmarkEnd w:id="1028"/>
      <w:bookmarkEnd w:id="1029"/>
      <w:bookmarkEnd w:id="1030"/>
      <w:bookmarkEnd w:id="1031"/>
      <w:bookmarkEnd w:id="1032"/>
    </w:p>
    <w:p w14:paraId="0E86B677">
      <w:pPr>
        <w:spacing w:line="400" w:lineRule="exact"/>
        <w:ind w:firstLine="359" w:firstLineChars="171"/>
        <w:rPr>
          <w:color w:val="auto"/>
          <w:highlight w:val="none"/>
        </w:rPr>
      </w:pPr>
      <w:r>
        <w:rPr>
          <w:rFonts w:hint="eastAsia"/>
          <w:color w:val="auto"/>
          <w:highlight w:val="none"/>
        </w:rPr>
        <w:t>（1）监理人收到承包人提交的索赔通知书后，应及时审查索赔通知书的内容、查验承包人的记录和证明材料，必要时监理人可要求承包人提交全部原始记录副本。</w:t>
      </w:r>
    </w:p>
    <w:p w14:paraId="61179AA0">
      <w:pPr>
        <w:spacing w:line="400" w:lineRule="exact"/>
        <w:ind w:firstLine="359" w:firstLineChars="171"/>
        <w:rPr>
          <w:color w:val="auto"/>
          <w:highlight w:val="none"/>
        </w:rPr>
      </w:pPr>
      <w:r>
        <w:rPr>
          <w:rFonts w:hint="eastAsia"/>
          <w:color w:val="auto"/>
          <w:highlight w:val="none"/>
        </w:rPr>
        <w:t>（2）监理人应按第3.5款商定或确定追加的付款和（或）延长的工期，并在收到上述索赔通知书或有关索赔的进一步证明材料后的42天内，将索赔处理结果答复承包人。</w:t>
      </w:r>
    </w:p>
    <w:p w14:paraId="058F0488">
      <w:pPr>
        <w:spacing w:line="400" w:lineRule="exact"/>
        <w:ind w:firstLine="359" w:firstLineChars="171"/>
        <w:rPr>
          <w:color w:val="auto"/>
          <w:highlight w:val="none"/>
        </w:rPr>
      </w:pPr>
      <w:r>
        <w:rPr>
          <w:rFonts w:hint="eastAsia"/>
          <w:color w:val="auto"/>
          <w:highlight w:val="none"/>
        </w:rPr>
        <w:t>（3）承包人接受索赔处理结果的，发包人应在作出索赔处理结果答复后28天内完成赔付。承包人不接受索赔处理结果的，按第24条的约定办理。</w:t>
      </w:r>
    </w:p>
    <w:p w14:paraId="58CD568F">
      <w:pPr>
        <w:pStyle w:val="45"/>
        <w:rPr>
          <w:color w:val="auto"/>
          <w:highlight w:val="none"/>
        </w:rPr>
      </w:pPr>
      <w:bookmarkStart w:id="1033" w:name="_Toc152042539"/>
      <w:bookmarkStart w:id="1034" w:name="_Toc11891"/>
      <w:bookmarkStart w:id="1035" w:name="_Toc179632778"/>
      <w:bookmarkStart w:id="1036" w:name="_Toc152045760"/>
      <w:bookmarkStart w:id="1037" w:name="_Toc144974730"/>
      <w:r>
        <w:rPr>
          <w:rFonts w:hint="eastAsia"/>
          <w:color w:val="auto"/>
          <w:highlight w:val="none"/>
        </w:rPr>
        <w:t>23.3 承包人提出索赔的期限</w:t>
      </w:r>
      <w:bookmarkEnd w:id="1033"/>
      <w:bookmarkEnd w:id="1034"/>
      <w:bookmarkEnd w:id="1035"/>
      <w:bookmarkEnd w:id="1036"/>
      <w:bookmarkEnd w:id="1037"/>
    </w:p>
    <w:p w14:paraId="4015E566">
      <w:pPr>
        <w:spacing w:line="400" w:lineRule="exact"/>
        <w:ind w:firstLine="420" w:firstLineChars="200"/>
        <w:rPr>
          <w:color w:val="auto"/>
          <w:highlight w:val="none"/>
        </w:rPr>
      </w:pPr>
      <w:r>
        <w:rPr>
          <w:rFonts w:hint="eastAsia"/>
          <w:color w:val="auto"/>
          <w:highlight w:val="none"/>
        </w:rPr>
        <w:t>23.3.1 承包人按第17.5款的约定接受了竣工付款证书后，应被认为已无权再提出在合同工程接收证书颁发前所发生的任何索赔。</w:t>
      </w:r>
    </w:p>
    <w:p w14:paraId="5119CEA4">
      <w:pPr>
        <w:spacing w:line="400" w:lineRule="exact"/>
        <w:ind w:firstLine="420" w:firstLineChars="200"/>
        <w:rPr>
          <w:color w:val="auto"/>
          <w:highlight w:val="none"/>
          <w:shd w:val="pct10" w:color="auto" w:fill="FFFFFF"/>
        </w:rPr>
      </w:pPr>
      <w:r>
        <w:rPr>
          <w:rFonts w:hint="eastAsia"/>
          <w:color w:val="auto"/>
          <w:highlight w:val="none"/>
        </w:rPr>
        <w:t xml:space="preserve">23.3.2 承包人按第17.6款的约定提交的最终结清申请单中，只限于提出工程接收证书颁发后发生的索赔。提出索赔的期限自接受最终结清证书时终止。 </w:t>
      </w:r>
    </w:p>
    <w:p w14:paraId="380400E6">
      <w:pPr>
        <w:pStyle w:val="45"/>
        <w:rPr>
          <w:color w:val="auto"/>
          <w:highlight w:val="none"/>
        </w:rPr>
      </w:pPr>
      <w:bookmarkStart w:id="1038" w:name="_Toc21853"/>
      <w:bookmarkStart w:id="1039" w:name="_Toc144974731"/>
      <w:bookmarkStart w:id="1040" w:name="_Toc152042540"/>
      <w:bookmarkStart w:id="1041" w:name="_Toc179632779"/>
      <w:bookmarkStart w:id="1042" w:name="_Toc152045761"/>
      <w:r>
        <w:rPr>
          <w:rFonts w:hint="eastAsia"/>
          <w:color w:val="auto"/>
          <w:highlight w:val="none"/>
        </w:rPr>
        <w:t>23.4 发包人的索赔</w:t>
      </w:r>
      <w:bookmarkEnd w:id="1038"/>
      <w:bookmarkEnd w:id="1039"/>
      <w:bookmarkEnd w:id="1040"/>
      <w:bookmarkEnd w:id="1041"/>
      <w:bookmarkEnd w:id="1042"/>
    </w:p>
    <w:p w14:paraId="75156BC5">
      <w:pPr>
        <w:spacing w:line="400" w:lineRule="exact"/>
        <w:ind w:firstLine="420" w:firstLineChars="200"/>
        <w:rPr>
          <w:color w:val="auto"/>
          <w:highlight w:val="none"/>
        </w:rPr>
      </w:pPr>
      <w:r>
        <w:rPr>
          <w:rFonts w:hint="eastAsia"/>
          <w:color w:val="auto"/>
          <w:highlight w:val="none"/>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14:paraId="3C91BA2C">
      <w:pPr>
        <w:spacing w:line="400" w:lineRule="exact"/>
        <w:ind w:firstLine="420" w:firstLineChars="200"/>
        <w:rPr>
          <w:color w:val="auto"/>
          <w:highlight w:val="none"/>
        </w:rPr>
      </w:pPr>
      <w:r>
        <w:rPr>
          <w:rFonts w:hint="eastAsia"/>
          <w:color w:val="auto"/>
          <w:highlight w:val="none"/>
        </w:rPr>
        <w:t>23.4.2 监理人按第3.5款商定或确定发包人从承包人处得到赔付的金额和（或）缺陷责任期的延长期。承包人应付给发包人的金额可从拟支付给承包人的合同价款中扣除，或由承包人以其他方式支付给发包人。</w:t>
      </w:r>
    </w:p>
    <w:p w14:paraId="468653E3">
      <w:pPr>
        <w:pStyle w:val="44"/>
        <w:rPr>
          <w:color w:val="auto"/>
          <w:highlight w:val="none"/>
        </w:rPr>
      </w:pPr>
      <w:bookmarkStart w:id="1043" w:name="_Toc179632780"/>
      <w:bookmarkStart w:id="1044" w:name="_Toc144974732"/>
      <w:bookmarkStart w:id="1045" w:name="_Toc152045762"/>
      <w:bookmarkStart w:id="1046" w:name="_Toc152042541"/>
      <w:bookmarkStart w:id="1047" w:name="_Toc11556"/>
      <w:bookmarkStart w:id="1048" w:name="_Toc3201"/>
      <w:bookmarkStart w:id="1049" w:name="_Toc25719"/>
      <w:r>
        <w:rPr>
          <w:rFonts w:hint="eastAsia"/>
          <w:color w:val="auto"/>
          <w:highlight w:val="none"/>
        </w:rPr>
        <w:t>24. 争议的解决</w:t>
      </w:r>
      <w:bookmarkEnd w:id="1043"/>
      <w:bookmarkEnd w:id="1044"/>
      <w:bookmarkEnd w:id="1045"/>
      <w:bookmarkEnd w:id="1046"/>
      <w:bookmarkEnd w:id="1047"/>
      <w:bookmarkEnd w:id="1048"/>
      <w:bookmarkEnd w:id="1049"/>
    </w:p>
    <w:p w14:paraId="3C99D8D9">
      <w:pPr>
        <w:pStyle w:val="45"/>
        <w:rPr>
          <w:color w:val="auto"/>
          <w:highlight w:val="none"/>
        </w:rPr>
      </w:pPr>
      <w:bookmarkStart w:id="1050" w:name="_Toc152042542"/>
      <w:bookmarkStart w:id="1051" w:name="_Toc10541"/>
      <w:bookmarkStart w:id="1052" w:name="_Toc179632781"/>
      <w:bookmarkStart w:id="1053" w:name="_Toc144974733"/>
      <w:bookmarkStart w:id="1054" w:name="_Toc152045763"/>
      <w:r>
        <w:rPr>
          <w:rFonts w:hint="eastAsia"/>
          <w:color w:val="auto"/>
          <w:highlight w:val="none"/>
        </w:rPr>
        <w:t>24.1 争议的解决方式</w:t>
      </w:r>
      <w:bookmarkEnd w:id="1050"/>
      <w:bookmarkEnd w:id="1051"/>
      <w:bookmarkEnd w:id="1052"/>
      <w:bookmarkEnd w:id="1053"/>
      <w:bookmarkEnd w:id="1054"/>
    </w:p>
    <w:p w14:paraId="20DFCDED">
      <w:pPr>
        <w:spacing w:line="400" w:lineRule="exact"/>
        <w:ind w:firstLine="420" w:firstLineChars="200"/>
        <w:rPr>
          <w:color w:val="auto"/>
          <w:highlight w:val="none"/>
        </w:rPr>
      </w:pPr>
      <w:r>
        <w:rPr>
          <w:rFonts w:hint="eastAsia"/>
          <w:color w:val="auto"/>
          <w:highlight w:val="none"/>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39138F3D">
      <w:pPr>
        <w:spacing w:line="400" w:lineRule="exact"/>
        <w:ind w:firstLine="420" w:firstLineChars="200"/>
        <w:rPr>
          <w:color w:val="auto"/>
          <w:highlight w:val="none"/>
        </w:rPr>
      </w:pPr>
      <w:r>
        <w:rPr>
          <w:rFonts w:hint="eastAsia"/>
          <w:color w:val="auto"/>
          <w:highlight w:val="none"/>
        </w:rPr>
        <w:t>（1）向约定的仲裁委员会申请仲裁；</w:t>
      </w:r>
    </w:p>
    <w:p w14:paraId="243ED912">
      <w:pPr>
        <w:spacing w:line="400" w:lineRule="exact"/>
        <w:ind w:firstLine="420" w:firstLineChars="200"/>
        <w:rPr>
          <w:color w:val="auto"/>
          <w:highlight w:val="none"/>
        </w:rPr>
      </w:pPr>
      <w:r>
        <w:rPr>
          <w:rFonts w:hint="eastAsia"/>
          <w:color w:val="auto"/>
          <w:highlight w:val="none"/>
        </w:rPr>
        <w:t>（2）向有管辖权的人民法院提起诉讼。</w:t>
      </w:r>
    </w:p>
    <w:p w14:paraId="0C243755">
      <w:pPr>
        <w:pStyle w:val="45"/>
        <w:rPr>
          <w:color w:val="auto"/>
          <w:highlight w:val="none"/>
        </w:rPr>
      </w:pPr>
      <w:bookmarkStart w:id="1055" w:name="_Toc179632782"/>
      <w:bookmarkStart w:id="1056" w:name="_Toc12322"/>
      <w:bookmarkStart w:id="1057" w:name="_Toc144974734"/>
      <w:bookmarkStart w:id="1058" w:name="_Toc152045764"/>
      <w:bookmarkStart w:id="1059" w:name="_Toc152042543"/>
      <w:r>
        <w:rPr>
          <w:rFonts w:hint="eastAsia"/>
          <w:color w:val="auto"/>
          <w:highlight w:val="none"/>
        </w:rPr>
        <w:t>24.2 友好解决</w:t>
      </w:r>
      <w:bookmarkEnd w:id="1055"/>
      <w:bookmarkEnd w:id="1056"/>
      <w:bookmarkEnd w:id="1057"/>
      <w:bookmarkEnd w:id="1058"/>
      <w:bookmarkEnd w:id="1059"/>
    </w:p>
    <w:p w14:paraId="6F5F14CD">
      <w:pPr>
        <w:spacing w:line="400" w:lineRule="exact"/>
        <w:ind w:firstLine="420" w:firstLineChars="200"/>
        <w:rPr>
          <w:color w:val="auto"/>
          <w:highlight w:val="none"/>
        </w:rPr>
      </w:pPr>
      <w:r>
        <w:rPr>
          <w:rFonts w:hint="eastAsia"/>
          <w:color w:val="auto"/>
          <w:highlight w:val="none"/>
        </w:rPr>
        <w:t>在提请争议评审、仲裁或者诉讼前，以及在争议评审、仲裁或诉讼过程中，发包人和承包人均可共同努力友好协商解决争议。</w:t>
      </w:r>
    </w:p>
    <w:p w14:paraId="3AF9AE33">
      <w:pPr>
        <w:pStyle w:val="45"/>
        <w:rPr>
          <w:color w:val="auto"/>
          <w:highlight w:val="none"/>
        </w:rPr>
      </w:pPr>
      <w:bookmarkStart w:id="1060" w:name="_Toc23168"/>
      <w:bookmarkStart w:id="1061" w:name="_Toc152042544"/>
      <w:bookmarkStart w:id="1062" w:name="_Toc152045765"/>
      <w:bookmarkStart w:id="1063" w:name="_Toc179632783"/>
      <w:bookmarkStart w:id="1064" w:name="_Toc144974735"/>
      <w:r>
        <w:rPr>
          <w:rFonts w:hint="eastAsia"/>
          <w:color w:val="auto"/>
          <w:highlight w:val="none"/>
        </w:rPr>
        <w:t>24.3 争议评审</w:t>
      </w:r>
      <w:bookmarkEnd w:id="1060"/>
      <w:bookmarkEnd w:id="1061"/>
      <w:bookmarkEnd w:id="1062"/>
      <w:bookmarkEnd w:id="1063"/>
      <w:bookmarkEnd w:id="1064"/>
    </w:p>
    <w:p w14:paraId="6B521EA8">
      <w:pPr>
        <w:spacing w:line="400" w:lineRule="exact"/>
        <w:ind w:firstLine="420" w:firstLineChars="200"/>
        <w:rPr>
          <w:color w:val="auto"/>
          <w:highlight w:val="none"/>
        </w:rPr>
      </w:pPr>
      <w:r>
        <w:rPr>
          <w:rFonts w:hint="eastAsia"/>
          <w:color w:val="auto"/>
          <w:highlight w:val="none"/>
        </w:rPr>
        <w:t>24.3.1 采用争议评审的，发包人和承包人应在开工日后的28天内或在争议发生后，协商成立争议评审组。争议评审组由有合同管理和工程实践经验的专家组成。</w:t>
      </w:r>
    </w:p>
    <w:p w14:paraId="1E2687A2">
      <w:pPr>
        <w:spacing w:line="400" w:lineRule="exact"/>
        <w:ind w:firstLine="420" w:firstLineChars="200"/>
        <w:rPr>
          <w:color w:val="auto"/>
          <w:highlight w:val="none"/>
        </w:rPr>
      </w:pPr>
      <w:r>
        <w:rPr>
          <w:rFonts w:hint="eastAsia"/>
          <w:color w:val="auto"/>
          <w:highlight w:val="none"/>
        </w:rPr>
        <w:t>24.3.2 合同双方的争议，应首先由申请人向争议评审组提交一份详细的评审申请报告，并附必要的文件、图纸和证明材料，申请人还应将上述报告的副本同时提交给被申请人和监理人。</w:t>
      </w:r>
    </w:p>
    <w:p w14:paraId="3F3D6029">
      <w:pPr>
        <w:spacing w:line="400" w:lineRule="exact"/>
        <w:ind w:firstLine="420" w:firstLineChars="200"/>
        <w:rPr>
          <w:color w:val="auto"/>
          <w:highlight w:val="none"/>
        </w:rPr>
      </w:pPr>
      <w:r>
        <w:rPr>
          <w:rFonts w:hint="eastAsia"/>
          <w:color w:val="auto"/>
          <w:highlight w:val="none"/>
        </w:rPr>
        <w:t>24.3.3 被申请人在收到申请人评审申请报告副本后的28天内，向争议评审组提交一份答辩报告，并附证明材料。被申请人应将答辩报告的副本同时提交给申请人和监理人。</w:t>
      </w:r>
    </w:p>
    <w:p w14:paraId="28416020">
      <w:pPr>
        <w:spacing w:line="400" w:lineRule="exact"/>
        <w:ind w:firstLine="420" w:firstLineChars="200"/>
        <w:rPr>
          <w:color w:val="auto"/>
          <w:highlight w:val="none"/>
        </w:rPr>
      </w:pPr>
      <w:r>
        <w:rPr>
          <w:rFonts w:hint="eastAsia"/>
          <w:color w:val="auto"/>
          <w:highlight w:val="none"/>
        </w:rPr>
        <w:t>24.3.4 除专用合同条款另有约定外，争议评审组在收到合同双方报告后的14天内，邀请双方代表和有关人员举行调查会，向双方调查争议细节；必要时争议评审组可要求双方进一步提供补充材料。</w:t>
      </w:r>
    </w:p>
    <w:p w14:paraId="12697916">
      <w:pPr>
        <w:spacing w:line="400" w:lineRule="exact"/>
        <w:ind w:firstLine="420" w:firstLineChars="200"/>
        <w:rPr>
          <w:color w:val="auto"/>
          <w:highlight w:val="none"/>
        </w:rPr>
      </w:pPr>
      <w:r>
        <w:rPr>
          <w:rFonts w:hint="eastAsia"/>
          <w:color w:val="auto"/>
          <w:highlight w:val="none"/>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14:paraId="4CE3D91A">
      <w:pPr>
        <w:spacing w:line="400" w:lineRule="exact"/>
        <w:ind w:firstLine="420" w:firstLineChars="200"/>
        <w:rPr>
          <w:color w:val="auto"/>
          <w:highlight w:val="none"/>
        </w:rPr>
      </w:pPr>
      <w:r>
        <w:rPr>
          <w:rFonts w:hint="eastAsia"/>
          <w:color w:val="auto"/>
          <w:highlight w:val="none"/>
        </w:rPr>
        <w:t>24.3.6 发包人和承包人接受评审意见的，由监理人根据评审意见拟定执行协议，经争议双方签字后作为合同的补充文件，并遵照执行。</w:t>
      </w:r>
    </w:p>
    <w:p w14:paraId="5FA6B3DB">
      <w:pPr>
        <w:spacing w:line="400" w:lineRule="exact"/>
        <w:ind w:firstLine="420" w:firstLineChars="200"/>
        <w:rPr>
          <w:color w:val="auto"/>
          <w:highlight w:val="none"/>
        </w:rPr>
      </w:pPr>
      <w:r>
        <w:rPr>
          <w:rFonts w:hint="eastAsia"/>
          <w:color w:val="auto"/>
          <w:highlight w:val="none"/>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14:paraId="124DB7F0">
      <w:pPr>
        <w:spacing w:line="400" w:lineRule="exact"/>
        <w:rPr>
          <w:color w:val="auto"/>
          <w:highlight w:val="none"/>
        </w:rPr>
      </w:pPr>
      <w:r>
        <w:rPr>
          <w:color w:val="auto"/>
          <w:highlight w:val="none"/>
        </w:rPr>
        <w:br w:type="page"/>
      </w:r>
    </w:p>
    <w:p w14:paraId="16BCF6A4">
      <w:pPr>
        <w:spacing w:line="400" w:lineRule="exact"/>
        <w:rPr>
          <w:color w:val="auto"/>
          <w:highlight w:val="none"/>
        </w:rPr>
      </w:pPr>
    </w:p>
    <w:p w14:paraId="64300063">
      <w:pPr>
        <w:pStyle w:val="44"/>
        <w:numPr>
          <w:ilvl w:val="0"/>
          <w:numId w:val="0"/>
        </w:numPr>
        <w:ind w:firstLine="3360" w:firstLineChars="1200"/>
        <w:jc w:val="both"/>
        <w:rPr>
          <w:rFonts w:hint="eastAsia"/>
          <w:color w:val="auto"/>
          <w:highlight w:val="none"/>
        </w:rPr>
      </w:pPr>
      <w:bookmarkStart w:id="1065" w:name="_Toc179632784"/>
      <w:bookmarkStart w:id="1066" w:name="_Toc144974736"/>
      <w:bookmarkStart w:id="1067" w:name="_Toc152045766"/>
      <w:bookmarkStart w:id="1068" w:name="_Toc6603"/>
      <w:bookmarkStart w:id="1069" w:name="_Toc5223"/>
      <w:bookmarkStart w:id="1070" w:name="_Toc19556"/>
      <w:bookmarkStart w:id="1071" w:name="_Toc152042545"/>
      <w:r>
        <w:rPr>
          <w:rFonts w:hint="eastAsia"/>
          <w:color w:val="auto"/>
          <w:highlight w:val="none"/>
          <w:lang w:val="en-US" w:eastAsia="zh-CN"/>
        </w:rPr>
        <w:t>第三部分</w:t>
      </w:r>
      <w:r>
        <w:rPr>
          <w:rFonts w:hint="eastAsia"/>
          <w:color w:val="auto"/>
          <w:highlight w:val="none"/>
        </w:rPr>
        <w:t xml:space="preserve"> 专用合同条款</w:t>
      </w:r>
      <w:bookmarkEnd w:id="1065"/>
      <w:bookmarkEnd w:id="1066"/>
      <w:bookmarkEnd w:id="1067"/>
      <w:bookmarkEnd w:id="1068"/>
      <w:bookmarkEnd w:id="1069"/>
      <w:bookmarkEnd w:id="1070"/>
      <w:bookmarkEnd w:id="1071"/>
    </w:p>
    <w:p w14:paraId="23B5288C">
      <w:pPr>
        <w:outlineLvl w:val="2"/>
        <w:rPr>
          <w:b/>
          <w:color w:val="auto"/>
        </w:rPr>
      </w:pPr>
      <w:r>
        <w:rPr>
          <w:rFonts w:hint="eastAsia"/>
          <w:b/>
          <w:color w:val="auto"/>
        </w:rPr>
        <w:t>1　一般约定</w:t>
      </w:r>
    </w:p>
    <w:p w14:paraId="16B13926">
      <w:pPr>
        <w:outlineLvl w:val="3"/>
        <w:rPr>
          <w:color w:val="auto"/>
        </w:rPr>
      </w:pPr>
      <w:r>
        <w:rPr>
          <w:rFonts w:hint="eastAsia"/>
          <w:color w:val="auto"/>
        </w:rPr>
        <w:t>　1.1　词语定义</w:t>
      </w:r>
    </w:p>
    <w:p w14:paraId="24286975">
      <w:pPr>
        <w:outlineLvl w:val="4"/>
        <w:rPr>
          <w:color w:val="auto"/>
        </w:rPr>
      </w:pPr>
      <w:r>
        <w:rPr>
          <w:rFonts w:hint="eastAsia"/>
          <w:color w:val="auto"/>
        </w:rPr>
        <w:t>　　1.1.2　合同当事人和人员</w:t>
      </w:r>
    </w:p>
    <w:p w14:paraId="09149A79">
      <w:pPr>
        <w:rPr>
          <w:color w:val="auto"/>
        </w:rPr>
      </w:pPr>
      <w:r>
        <w:rPr>
          <w:rFonts w:hint="eastAsia"/>
          <w:color w:val="auto"/>
        </w:rPr>
        <w:t>　　1.1.2.2　发包人：</w:t>
      </w:r>
      <w:r>
        <w:rPr>
          <w:rFonts w:hint="eastAsia"/>
          <w:color w:val="auto"/>
          <w:u w:val="single"/>
        </w:rPr>
        <w:t>　　　</w:t>
      </w:r>
      <w:r>
        <w:rPr>
          <w:rFonts w:hint="eastAsia"/>
          <w:color w:val="auto"/>
        </w:rPr>
        <w:t>(填入发包人的名称)。</w:t>
      </w:r>
    </w:p>
    <w:p w14:paraId="6D285A97">
      <w:pPr>
        <w:rPr>
          <w:color w:val="auto"/>
        </w:rPr>
      </w:pPr>
      <w:r>
        <w:rPr>
          <w:rFonts w:hint="eastAsia"/>
          <w:color w:val="auto"/>
        </w:rPr>
        <w:t>　　1.1.2.3　承包人：</w:t>
      </w:r>
      <w:r>
        <w:rPr>
          <w:rFonts w:hint="eastAsia"/>
          <w:color w:val="auto"/>
          <w:u w:val="single"/>
        </w:rPr>
        <w:t>　　　</w:t>
      </w:r>
      <w:r>
        <w:rPr>
          <w:rFonts w:hint="eastAsia"/>
          <w:color w:val="auto"/>
        </w:rPr>
        <w:t>(签约后填入承包人的名称)。</w:t>
      </w:r>
    </w:p>
    <w:p w14:paraId="4294CAE1">
      <w:pPr>
        <w:rPr>
          <w:color w:val="auto"/>
        </w:rPr>
      </w:pPr>
      <w:r>
        <w:rPr>
          <w:rFonts w:hint="eastAsia"/>
          <w:color w:val="auto"/>
        </w:rPr>
        <w:t>　　1.1.2.5　分包人：</w:t>
      </w:r>
      <w:r>
        <w:rPr>
          <w:rFonts w:hint="eastAsia"/>
          <w:color w:val="auto"/>
          <w:u w:val="single"/>
        </w:rPr>
        <w:t>　　　</w:t>
      </w:r>
      <w:r>
        <w:rPr>
          <w:rFonts w:hint="eastAsia"/>
          <w:color w:val="auto"/>
        </w:rPr>
        <w:t>(签约后填入分包人的名称)。</w:t>
      </w:r>
    </w:p>
    <w:p w14:paraId="2F7B9B0B">
      <w:pPr>
        <w:rPr>
          <w:color w:val="auto"/>
        </w:rPr>
      </w:pPr>
      <w:r>
        <w:rPr>
          <w:rFonts w:hint="eastAsia"/>
          <w:color w:val="auto"/>
        </w:rPr>
        <w:t>　　1.1.2.6　监理人：</w:t>
      </w:r>
      <w:r>
        <w:rPr>
          <w:rFonts w:hint="eastAsia"/>
          <w:color w:val="auto"/>
          <w:u w:val="single"/>
        </w:rPr>
        <w:t>　　　</w:t>
      </w:r>
      <w:r>
        <w:rPr>
          <w:rFonts w:hint="eastAsia"/>
          <w:color w:val="auto"/>
        </w:rPr>
        <w:t>(填入监理人名称)。</w:t>
      </w:r>
    </w:p>
    <w:p w14:paraId="595CB3D4">
      <w:pPr>
        <w:outlineLvl w:val="4"/>
        <w:rPr>
          <w:color w:val="auto"/>
        </w:rPr>
      </w:pPr>
      <w:r>
        <w:rPr>
          <w:rFonts w:hint="eastAsia"/>
          <w:color w:val="auto"/>
        </w:rPr>
        <w:t>　　1.1.4　日期</w:t>
      </w:r>
    </w:p>
    <w:p w14:paraId="1FDB0365">
      <w:pPr>
        <w:rPr>
          <w:color w:val="auto"/>
        </w:rPr>
      </w:pPr>
      <w:r>
        <w:rPr>
          <w:rFonts w:hint="eastAsia"/>
          <w:color w:val="auto"/>
        </w:rPr>
        <w:t>　　1.1.4.5　缺陷责任期(工程质量保修期)：</w:t>
      </w:r>
      <w:r>
        <w:rPr>
          <w:rFonts w:hint="eastAsia"/>
          <w:color w:val="auto"/>
          <w:u w:val="single"/>
        </w:rPr>
        <w:t>　　　　　　　　　　　　</w:t>
      </w:r>
      <w:r>
        <w:rPr>
          <w:rFonts w:hint="eastAsia"/>
          <w:color w:val="auto"/>
        </w:rPr>
        <w:t>。</w:t>
      </w:r>
    </w:p>
    <w:p w14:paraId="49E15B10">
      <w:pPr>
        <w:outlineLvl w:val="3"/>
        <w:rPr>
          <w:color w:val="auto"/>
        </w:rPr>
      </w:pPr>
      <w:r>
        <w:rPr>
          <w:rFonts w:hint="eastAsia"/>
          <w:color w:val="auto"/>
        </w:rPr>
        <w:t>　1.4　合同文件的优先顺序</w:t>
      </w:r>
    </w:p>
    <w:p w14:paraId="3E80F020">
      <w:pPr>
        <w:rPr>
          <w:color w:val="auto"/>
        </w:rPr>
      </w:pPr>
      <w:r>
        <w:rPr>
          <w:rFonts w:hint="eastAsia"/>
          <w:color w:val="auto"/>
        </w:rPr>
        <w:t>　　进入合同文件的各项文件及其优先顺序是</w:t>
      </w:r>
      <w:r>
        <w:rPr>
          <w:rFonts w:hint="eastAsia"/>
          <w:color w:val="auto"/>
          <w:u w:val="single"/>
        </w:rPr>
        <w:t>　　　　　　　　　　　　　</w:t>
      </w:r>
      <w:r>
        <w:rPr>
          <w:rFonts w:hint="eastAsia"/>
          <w:color w:val="auto"/>
        </w:rPr>
        <w:t>。</w:t>
      </w:r>
    </w:p>
    <w:p w14:paraId="42F1FD0E">
      <w:pPr>
        <w:outlineLvl w:val="3"/>
        <w:rPr>
          <w:color w:val="auto"/>
        </w:rPr>
      </w:pPr>
      <w:r>
        <w:rPr>
          <w:rFonts w:hint="eastAsia"/>
          <w:color w:val="auto"/>
        </w:rPr>
        <w:t>　1.7　联络</w:t>
      </w:r>
    </w:p>
    <w:p w14:paraId="551C0736">
      <w:pPr>
        <w:rPr>
          <w:color w:val="auto"/>
        </w:rPr>
      </w:pPr>
      <w:r>
        <w:rPr>
          <w:rFonts w:hint="eastAsia"/>
          <w:color w:val="auto"/>
        </w:rPr>
        <w:t>　　1.7.2　来往函件均应按技术标准和要求(合同技术条款)约定的期限送达</w:t>
      </w:r>
      <w:r>
        <w:rPr>
          <w:rFonts w:hint="eastAsia"/>
          <w:color w:val="auto"/>
          <w:u w:val="single"/>
        </w:rPr>
        <w:t>　　　　　</w:t>
      </w:r>
      <w:r>
        <w:rPr>
          <w:rFonts w:hint="eastAsia"/>
          <w:color w:val="auto"/>
        </w:rPr>
        <w:t>(填写文件送达地点)。</w:t>
      </w:r>
    </w:p>
    <w:p w14:paraId="183FC923">
      <w:pPr>
        <w:outlineLvl w:val="2"/>
        <w:rPr>
          <w:b/>
          <w:color w:val="auto"/>
        </w:rPr>
      </w:pPr>
      <w:bookmarkStart w:id="1072" w:name="第04章合同条款及格式0202"/>
      <w:bookmarkEnd w:id="1072"/>
      <w:r>
        <w:rPr>
          <w:rFonts w:hint="eastAsia"/>
          <w:b/>
          <w:color w:val="auto"/>
        </w:rPr>
        <w:t>2　发包人义务</w:t>
      </w:r>
    </w:p>
    <w:p w14:paraId="6E0F9E59">
      <w:pPr>
        <w:outlineLvl w:val="3"/>
        <w:rPr>
          <w:color w:val="auto"/>
        </w:rPr>
      </w:pPr>
      <w:r>
        <w:rPr>
          <w:rFonts w:hint="eastAsia"/>
          <w:color w:val="auto"/>
        </w:rPr>
        <w:t>　2.3　提供施工场地</w:t>
      </w:r>
    </w:p>
    <w:p w14:paraId="134D0D7A">
      <w:pPr>
        <w:rPr>
          <w:color w:val="auto"/>
        </w:rPr>
      </w:pPr>
      <w:r>
        <w:rPr>
          <w:rFonts w:hint="eastAsia"/>
          <w:color w:val="auto"/>
        </w:rPr>
        <w:t>　　2.3.2　发包人提供的施工场地范围为：</w:t>
      </w:r>
      <w:r>
        <w:rPr>
          <w:rFonts w:hint="eastAsia"/>
          <w:color w:val="auto"/>
          <w:u w:val="single"/>
        </w:rPr>
        <w:t>　　　　　　　　　　</w:t>
      </w:r>
      <w:r>
        <w:rPr>
          <w:rFonts w:hint="eastAsia"/>
          <w:color w:val="auto"/>
        </w:rPr>
        <w:t>。</w:t>
      </w:r>
    </w:p>
    <w:p w14:paraId="337A84F8">
      <w:pPr>
        <w:rPr>
          <w:color w:val="auto"/>
        </w:rPr>
      </w:pPr>
      <w:r>
        <w:rPr>
          <w:rFonts w:hint="eastAsia"/>
          <w:color w:val="auto"/>
        </w:rPr>
        <w:t>　　2.3.3　承包人自行勘察的施工场地范围为：</w:t>
      </w:r>
      <w:r>
        <w:rPr>
          <w:rFonts w:hint="eastAsia"/>
          <w:color w:val="auto"/>
          <w:u w:val="single"/>
        </w:rPr>
        <w:t>　　　　　　　　　　</w:t>
      </w:r>
      <w:r>
        <w:rPr>
          <w:rFonts w:hint="eastAsia"/>
          <w:color w:val="auto"/>
        </w:rPr>
        <w:t>。</w:t>
      </w:r>
    </w:p>
    <w:p w14:paraId="528AFA7A">
      <w:pPr>
        <w:outlineLvl w:val="3"/>
        <w:rPr>
          <w:color w:val="auto"/>
        </w:rPr>
      </w:pPr>
      <w:r>
        <w:rPr>
          <w:rFonts w:hint="eastAsia"/>
          <w:color w:val="auto"/>
        </w:rPr>
        <w:t>　2.8　其它义务</w:t>
      </w:r>
    </w:p>
    <w:p w14:paraId="1B3074B3">
      <w:pPr>
        <w:rPr>
          <w:color w:val="auto"/>
        </w:rPr>
      </w:pPr>
      <w:r>
        <w:rPr>
          <w:rFonts w:hint="eastAsia"/>
          <w:color w:val="auto"/>
        </w:rPr>
        <w:t>　　(根据发包人的合同管理要求补充)</w:t>
      </w:r>
    </w:p>
    <w:p w14:paraId="3E95B41A">
      <w:pPr>
        <w:rPr>
          <w:color w:val="auto"/>
        </w:rPr>
      </w:pPr>
      <w:r>
        <w:rPr>
          <w:rFonts w:hint="eastAsia"/>
          <w:color w:val="auto"/>
        </w:rPr>
        <w:t>　　(1)……</w:t>
      </w:r>
    </w:p>
    <w:p w14:paraId="1DBD72EE">
      <w:pPr>
        <w:rPr>
          <w:color w:val="auto"/>
        </w:rPr>
      </w:pPr>
      <w:r>
        <w:rPr>
          <w:rFonts w:hint="eastAsia"/>
          <w:color w:val="auto"/>
        </w:rPr>
        <w:t>　　(2)……</w:t>
      </w:r>
    </w:p>
    <w:p w14:paraId="594F074C">
      <w:pPr>
        <w:outlineLvl w:val="2"/>
        <w:rPr>
          <w:b/>
          <w:color w:val="auto"/>
        </w:rPr>
      </w:pPr>
      <w:bookmarkStart w:id="1073" w:name="第04章合同条款及格式0203"/>
      <w:bookmarkEnd w:id="1073"/>
      <w:r>
        <w:rPr>
          <w:rFonts w:hint="eastAsia"/>
          <w:b/>
          <w:color w:val="auto"/>
        </w:rPr>
        <w:t>3　监理人</w:t>
      </w:r>
    </w:p>
    <w:p w14:paraId="1CE78BA5">
      <w:pPr>
        <w:outlineLvl w:val="3"/>
        <w:rPr>
          <w:color w:val="auto"/>
        </w:rPr>
      </w:pPr>
      <w:r>
        <w:rPr>
          <w:rFonts w:hint="eastAsia"/>
          <w:color w:val="auto"/>
        </w:rPr>
        <w:t>　3.1　监理人的职责和权力</w:t>
      </w:r>
    </w:p>
    <w:p w14:paraId="504D5570">
      <w:pPr>
        <w:rPr>
          <w:color w:val="auto"/>
        </w:rPr>
      </w:pPr>
      <w:r>
        <w:rPr>
          <w:rFonts w:hint="eastAsia"/>
          <w:color w:val="auto"/>
        </w:rPr>
        <w:t>　　3.1.1　监理人须根据发包人事先批准的权力范围行使权力，发包人批准的权力范围：(填写监理人须经发包人批准才能行使的权力，以下示例供参考)</w:t>
      </w:r>
    </w:p>
    <w:p w14:paraId="6765D89D">
      <w:pPr>
        <w:rPr>
          <w:color w:val="auto"/>
        </w:rPr>
      </w:pPr>
      <w:r>
        <w:rPr>
          <w:rFonts w:hint="eastAsia"/>
          <w:color w:val="auto"/>
        </w:rPr>
        <w:t>　　(1)按第4.3款约定，批准工程的分包；</w:t>
      </w:r>
    </w:p>
    <w:p w14:paraId="5E66B1D7">
      <w:pPr>
        <w:rPr>
          <w:color w:val="auto"/>
        </w:rPr>
      </w:pPr>
      <w:r>
        <w:rPr>
          <w:rFonts w:hint="eastAsia"/>
          <w:color w:val="auto"/>
        </w:rPr>
        <w:t>　　(2)按第11.3款约定，确定延长完工期限；</w:t>
      </w:r>
    </w:p>
    <w:p w14:paraId="5482B393">
      <w:pPr>
        <w:rPr>
          <w:color w:val="auto"/>
        </w:rPr>
      </w:pPr>
      <w:r>
        <w:rPr>
          <w:rFonts w:hint="eastAsia"/>
          <w:color w:val="auto"/>
        </w:rPr>
        <w:t>　　(3)按第15.6款约定，批准暂列金额的使用；</w:t>
      </w:r>
    </w:p>
    <w:p w14:paraId="5E916330">
      <w:pPr>
        <w:rPr>
          <w:color w:val="auto"/>
        </w:rPr>
      </w:pPr>
      <w:r>
        <w:rPr>
          <w:rFonts w:hint="eastAsia"/>
          <w:color w:val="auto"/>
        </w:rPr>
        <w:t>　　(4)……</w:t>
      </w:r>
    </w:p>
    <w:p w14:paraId="4DD0F035">
      <w:pPr>
        <w:outlineLvl w:val="2"/>
        <w:rPr>
          <w:b/>
          <w:color w:val="auto"/>
        </w:rPr>
      </w:pPr>
      <w:bookmarkStart w:id="1074" w:name="第04章合同条款及格式0204"/>
      <w:bookmarkEnd w:id="1074"/>
      <w:r>
        <w:rPr>
          <w:rFonts w:hint="eastAsia"/>
          <w:b/>
          <w:color w:val="auto"/>
        </w:rPr>
        <w:t>4　承包人</w:t>
      </w:r>
    </w:p>
    <w:p w14:paraId="4D1E73C2">
      <w:pPr>
        <w:outlineLvl w:val="3"/>
        <w:rPr>
          <w:color w:val="auto"/>
        </w:rPr>
      </w:pPr>
      <w:r>
        <w:rPr>
          <w:rFonts w:hint="eastAsia"/>
          <w:color w:val="auto"/>
        </w:rPr>
        <w:t>　4.1　承包人的一般义务</w:t>
      </w:r>
    </w:p>
    <w:p w14:paraId="0DBA25EA">
      <w:pPr>
        <w:outlineLvl w:val="4"/>
        <w:rPr>
          <w:color w:val="auto"/>
        </w:rPr>
      </w:pPr>
      <w:r>
        <w:rPr>
          <w:rFonts w:hint="eastAsia"/>
          <w:color w:val="auto"/>
        </w:rPr>
        <w:t>　　4.1.10　其它义务</w:t>
      </w:r>
    </w:p>
    <w:p w14:paraId="2D893212">
      <w:pPr>
        <w:rPr>
          <w:color w:val="auto"/>
        </w:rPr>
      </w:pPr>
      <w:r>
        <w:rPr>
          <w:rFonts w:hint="eastAsia"/>
          <w:color w:val="auto"/>
        </w:rPr>
        <w:t>　　(1)……</w:t>
      </w:r>
    </w:p>
    <w:p w14:paraId="6BDAE985">
      <w:pPr>
        <w:rPr>
          <w:color w:val="auto"/>
        </w:rPr>
      </w:pPr>
      <w:r>
        <w:rPr>
          <w:rFonts w:hint="eastAsia"/>
          <w:color w:val="auto"/>
        </w:rPr>
        <w:t>　　(2)……</w:t>
      </w:r>
    </w:p>
    <w:p w14:paraId="1B3D4454">
      <w:pPr>
        <w:outlineLvl w:val="3"/>
        <w:rPr>
          <w:color w:val="auto"/>
        </w:rPr>
      </w:pPr>
      <w:r>
        <w:rPr>
          <w:rFonts w:hint="eastAsia"/>
          <w:color w:val="auto"/>
        </w:rPr>
        <w:t>　4.3　分包</w:t>
      </w:r>
    </w:p>
    <w:p w14:paraId="2A12AC3E">
      <w:pPr>
        <w:rPr>
          <w:color w:val="auto"/>
        </w:rPr>
      </w:pPr>
      <w:r>
        <w:rPr>
          <w:rFonts w:hint="eastAsia"/>
          <w:color w:val="auto"/>
        </w:rPr>
        <w:t>　　4.3.2　允许承包人分包的工程项目、工作内容与分包金额限额为：</w:t>
      </w:r>
    </w:p>
    <w:p w14:paraId="25642E76">
      <w:pPr>
        <w:rPr>
          <w:color w:val="auto"/>
        </w:rPr>
      </w:pPr>
      <w:r>
        <w:rPr>
          <w:rFonts w:hint="eastAsia"/>
          <w:color w:val="auto"/>
        </w:rPr>
        <w:t>　　(1)工程项目：</w:t>
      </w:r>
      <w:r>
        <w:rPr>
          <w:rFonts w:hint="eastAsia"/>
          <w:color w:val="auto"/>
          <w:u w:val="single"/>
        </w:rPr>
        <w:t>　　　　　　　　　</w:t>
      </w:r>
      <w:r>
        <w:rPr>
          <w:rFonts w:hint="eastAsia"/>
          <w:color w:val="auto"/>
        </w:rPr>
        <w:t>。</w:t>
      </w:r>
    </w:p>
    <w:p w14:paraId="1D8B0ED6">
      <w:pPr>
        <w:rPr>
          <w:color w:val="auto"/>
        </w:rPr>
      </w:pPr>
      <w:r>
        <w:rPr>
          <w:rFonts w:hint="eastAsia"/>
          <w:color w:val="auto"/>
        </w:rPr>
        <w:t>　　(2)工作内容：</w:t>
      </w:r>
      <w:r>
        <w:rPr>
          <w:rFonts w:hint="eastAsia"/>
          <w:color w:val="auto"/>
          <w:u w:val="single"/>
        </w:rPr>
        <w:t>　　　　　　　　　　</w:t>
      </w:r>
      <w:r>
        <w:rPr>
          <w:rFonts w:hint="eastAsia"/>
          <w:color w:val="auto"/>
        </w:rPr>
        <w:t>。</w:t>
      </w:r>
    </w:p>
    <w:p w14:paraId="3E690303">
      <w:pPr>
        <w:rPr>
          <w:color w:val="auto"/>
        </w:rPr>
      </w:pPr>
      <w:r>
        <w:rPr>
          <w:rFonts w:hint="eastAsia"/>
          <w:color w:val="auto"/>
        </w:rPr>
        <w:t>　　(3)分包金额限额：</w:t>
      </w:r>
      <w:r>
        <w:rPr>
          <w:rFonts w:hint="eastAsia"/>
          <w:color w:val="auto"/>
          <w:u w:val="single"/>
        </w:rPr>
        <w:t>　　　　　　　　　　</w:t>
      </w:r>
      <w:r>
        <w:rPr>
          <w:rFonts w:hint="eastAsia"/>
          <w:color w:val="auto"/>
        </w:rPr>
        <w:t>。</w:t>
      </w:r>
    </w:p>
    <w:p w14:paraId="6F4BE84C">
      <w:pPr>
        <w:rPr>
          <w:color w:val="auto"/>
        </w:rPr>
      </w:pPr>
      <w:r>
        <w:rPr>
          <w:rFonts w:hint="eastAsia"/>
          <w:color w:val="auto"/>
        </w:rPr>
        <w:t>　　4.3.10　分包人项目管理机构的设立：</w:t>
      </w:r>
      <w:r>
        <w:rPr>
          <w:rFonts w:hint="eastAsia"/>
          <w:color w:val="auto"/>
          <w:u w:val="single"/>
        </w:rPr>
        <w:t>　　　　　　　　　　</w:t>
      </w:r>
      <w:r>
        <w:rPr>
          <w:rFonts w:hint="eastAsia"/>
          <w:color w:val="auto"/>
        </w:rPr>
        <w:t>。</w:t>
      </w:r>
    </w:p>
    <w:p w14:paraId="283C0516">
      <w:pPr>
        <w:outlineLvl w:val="3"/>
        <w:rPr>
          <w:color w:val="auto"/>
        </w:rPr>
      </w:pPr>
      <w:r>
        <w:rPr>
          <w:rFonts w:hint="eastAsia"/>
          <w:color w:val="auto"/>
        </w:rPr>
        <w:t>　4.11　不利物质条件</w:t>
      </w:r>
    </w:p>
    <w:p w14:paraId="372BC012">
      <w:pPr>
        <w:outlineLvl w:val="4"/>
        <w:rPr>
          <w:color w:val="auto"/>
        </w:rPr>
      </w:pPr>
      <w:r>
        <w:rPr>
          <w:rFonts w:hint="eastAsia"/>
          <w:color w:val="auto"/>
        </w:rPr>
        <w:t>　　4.11.1　不利物质条件的范围：</w:t>
      </w:r>
      <w:r>
        <w:rPr>
          <w:rFonts w:hint="eastAsia"/>
          <w:color w:val="auto"/>
          <w:u w:val="single"/>
        </w:rPr>
        <w:t>　　　　　　　　　　</w:t>
      </w:r>
      <w:r>
        <w:rPr>
          <w:rFonts w:hint="eastAsia"/>
          <w:color w:val="auto"/>
        </w:rPr>
        <w:t>。</w:t>
      </w:r>
    </w:p>
    <w:p w14:paraId="1890D64B">
      <w:pPr>
        <w:outlineLvl w:val="2"/>
        <w:rPr>
          <w:b/>
          <w:color w:val="auto"/>
        </w:rPr>
      </w:pPr>
      <w:bookmarkStart w:id="1075" w:name="第04章合同条款及格式0205"/>
      <w:bookmarkEnd w:id="1075"/>
      <w:r>
        <w:rPr>
          <w:rFonts w:hint="eastAsia"/>
          <w:b/>
          <w:color w:val="auto"/>
        </w:rPr>
        <w:t>5　材料和工程设备</w:t>
      </w:r>
    </w:p>
    <w:p w14:paraId="57CD9054">
      <w:pPr>
        <w:outlineLvl w:val="3"/>
        <w:rPr>
          <w:color w:val="auto"/>
        </w:rPr>
      </w:pPr>
      <w:r>
        <w:rPr>
          <w:rFonts w:hint="eastAsia"/>
          <w:color w:val="auto"/>
        </w:rPr>
        <w:t>　5.2　发包人提供的材料和工程设备</w:t>
      </w:r>
    </w:p>
    <w:p w14:paraId="4E723159">
      <w:pPr>
        <w:outlineLvl w:val="4"/>
        <w:rPr>
          <w:color w:val="auto"/>
        </w:rPr>
      </w:pPr>
      <w:r>
        <w:rPr>
          <w:rFonts w:hint="eastAsia"/>
          <w:color w:val="auto"/>
        </w:rPr>
        <w:t>　　5.2.1　发包人提供的材料和工程设备见下表：</w:t>
      </w:r>
    </w:p>
    <w:p w14:paraId="2EE75C9A">
      <w:pPr>
        <w:jc w:val="center"/>
        <w:outlineLvl w:val="2"/>
        <w:rPr>
          <w:b/>
          <w:color w:val="auto"/>
        </w:rPr>
      </w:pPr>
      <w:r>
        <w:rPr>
          <w:rFonts w:hint="eastAsia"/>
          <w:b/>
          <w:color w:val="auto"/>
        </w:rPr>
        <w:t>发包人提供的材料表(参考格式)</w:t>
      </w:r>
    </w:p>
    <w:tbl>
      <w:tblPr>
        <w:tblStyle w:val="2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9"/>
        <w:gridCol w:w="1418"/>
        <w:gridCol w:w="1417"/>
        <w:gridCol w:w="709"/>
        <w:gridCol w:w="1417"/>
        <w:gridCol w:w="1134"/>
        <w:gridCol w:w="1560"/>
        <w:gridCol w:w="708"/>
      </w:tblGrid>
      <w:tr w14:paraId="2634C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08B0E960">
            <w:pPr>
              <w:jc w:val="center"/>
              <w:rPr>
                <w:color w:val="auto"/>
              </w:rPr>
            </w:pPr>
            <w:r>
              <w:rPr>
                <w:rFonts w:hint="eastAsia"/>
                <w:color w:val="auto"/>
              </w:rPr>
              <w:t>序号</w:t>
            </w:r>
          </w:p>
        </w:tc>
        <w:tc>
          <w:tcPr>
            <w:tcW w:w="1418" w:type="dxa"/>
            <w:vAlign w:val="center"/>
          </w:tcPr>
          <w:p w14:paraId="19690483">
            <w:pPr>
              <w:jc w:val="center"/>
              <w:rPr>
                <w:color w:val="auto"/>
              </w:rPr>
            </w:pPr>
            <w:r>
              <w:rPr>
                <w:rFonts w:hint="eastAsia"/>
                <w:color w:val="auto"/>
              </w:rPr>
              <w:t>材料名称</w:t>
            </w:r>
          </w:p>
        </w:tc>
        <w:tc>
          <w:tcPr>
            <w:tcW w:w="1417" w:type="dxa"/>
            <w:vAlign w:val="center"/>
          </w:tcPr>
          <w:p w14:paraId="7F1DC005">
            <w:pPr>
              <w:jc w:val="center"/>
              <w:rPr>
                <w:color w:val="auto"/>
              </w:rPr>
            </w:pPr>
            <w:r>
              <w:rPr>
                <w:rFonts w:hint="eastAsia"/>
                <w:color w:val="auto"/>
              </w:rPr>
              <w:t>材料规格</w:t>
            </w:r>
          </w:p>
        </w:tc>
        <w:tc>
          <w:tcPr>
            <w:tcW w:w="709" w:type="dxa"/>
            <w:vAlign w:val="center"/>
          </w:tcPr>
          <w:p w14:paraId="69B1A042">
            <w:pPr>
              <w:jc w:val="center"/>
              <w:rPr>
                <w:color w:val="auto"/>
              </w:rPr>
            </w:pPr>
            <w:r>
              <w:rPr>
                <w:rFonts w:hint="eastAsia"/>
                <w:color w:val="auto"/>
              </w:rPr>
              <w:t>数量</w:t>
            </w:r>
          </w:p>
        </w:tc>
        <w:tc>
          <w:tcPr>
            <w:tcW w:w="1417" w:type="dxa"/>
            <w:vAlign w:val="center"/>
          </w:tcPr>
          <w:p w14:paraId="4CDD6702">
            <w:pPr>
              <w:jc w:val="center"/>
              <w:rPr>
                <w:color w:val="auto"/>
              </w:rPr>
            </w:pPr>
            <w:r>
              <w:rPr>
                <w:rFonts w:hint="eastAsia"/>
                <w:color w:val="auto"/>
              </w:rPr>
              <w:t>交货地点</w:t>
            </w:r>
          </w:p>
        </w:tc>
        <w:tc>
          <w:tcPr>
            <w:tcW w:w="1134" w:type="dxa"/>
            <w:vAlign w:val="center"/>
          </w:tcPr>
          <w:p w14:paraId="200D1B59">
            <w:pPr>
              <w:jc w:val="center"/>
              <w:rPr>
                <w:color w:val="auto"/>
              </w:rPr>
            </w:pPr>
            <w:r>
              <w:rPr>
                <w:rFonts w:hint="eastAsia"/>
                <w:color w:val="auto"/>
              </w:rPr>
              <w:t>交货方式</w:t>
            </w:r>
          </w:p>
        </w:tc>
        <w:tc>
          <w:tcPr>
            <w:tcW w:w="1560" w:type="dxa"/>
            <w:vAlign w:val="center"/>
          </w:tcPr>
          <w:p w14:paraId="1BBCA57C">
            <w:pPr>
              <w:jc w:val="center"/>
              <w:rPr>
                <w:color w:val="auto"/>
              </w:rPr>
            </w:pPr>
            <w:r>
              <w:rPr>
                <w:rFonts w:hint="eastAsia"/>
                <w:color w:val="auto"/>
              </w:rPr>
              <w:t>计划交货日期</w:t>
            </w:r>
          </w:p>
        </w:tc>
        <w:tc>
          <w:tcPr>
            <w:tcW w:w="708" w:type="dxa"/>
            <w:vAlign w:val="center"/>
          </w:tcPr>
          <w:p w14:paraId="53AD0634">
            <w:pPr>
              <w:jc w:val="center"/>
              <w:rPr>
                <w:color w:val="auto"/>
              </w:rPr>
            </w:pPr>
            <w:r>
              <w:rPr>
                <w:rFonts w:hint="eastAsia"/>
                <w:color w:val="auto"/>
              </w:rPr>
              <w:t>备注</w:t>
            </w:r>
          </w:p>
        </w:tc>
      </w:tr>
      <w:tr w14:paraId="308B5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6C5638C8">
            <w:pPr>
              <w:jc w:val="center"/>
              <w:rPr>
                <w:color w:val="auto"/>
              </w:rPr>
            </w:pPr>
          </w:p>
        </w:tc>
        <w:tc>
          <w:tcPr>
            <w:tcW w:w="1418" w:type="dxa"/>
            <w:vAlign w:val="center"/>
          </w:tcPr>
          <w:p w14:paraId="2230C8F4">
            <w:pPr>
              <w:jc w:val="center"/>
              <w:rPr>
                <w:color w:val="auto"/>
              </w:rPr>
            </w:pPr>
          </w:p>
        </w:tc>
        <w:tc>
          <w:tcPr>
            <w:tcW w:w="1417" w:type="dxa"/>
            <w:vAlign w:val="center"/>
          </w:tcPr>
          <w:p w14:paraId="51F5DC96">
            <w:pPr>
              <w:jc w:val="center"/>
              <w:rPr>
                <w:color w:val="auto"/>
              </w:rPr>
            </w:pPr>
          </w:p>
        </w:tc>
        <w:tc>
          <w:tcPr>
            <w:tcW w:w="709" w:type="dxa"/>
            <w:vAlign w:val="center"/>
          </w:tcPr>
          <w:p w14:paraId="4FD08708">
            <w:pPr>
              <w:jc w:val="center"/>
              <w:rPr>
                <w:color w:val="auto"/>
              </w:rPr>
            </w:pPr>
          </w:p>
        </w:tc>
        <w:tc>
          <w:tcPr>
            <w:tcW w:w="1417" w:type="dxa"/>
            <w:vAlign w:val="center"/>
          </w:tcPr>
          <w:p w14:paraId="434B03E7">
            <w:pPr>
              <w:jc w:val="center"/>
              <w:rPr>
                <w:color w:val="auto"/>
              </w:rPr>
            </w:pPr>
          </w:p>
        </w:tc>
        <w:tc>
          <w:tcPr>
            <w:tcW w:w="1134" w:type="dxa"/>
            <w:vAlign w:val="center"/>
          </w:tcPr>
          <w:p w14:paraId="119181E9">
            <w:pPr>
              <w:jc w:val="center"/>
              <w:rPr>
                <w:color w:val="auto"/>
              </w:rPr>
            </w:pPr>
          </w:p>
        </w:tc>
        <w:tc>
          <w:tcPr>
            <w:tcW w:w="1560" w:type="dxa"/>
            <w:vAlign w:val="center"/>
          </w:tcPr>
          <w:p w14:paraId="3AD0DD8B">
            <w:pPr>
              <w:jc w:val="center"/>
              <w:rPr>
                <w:color w:val="auto"/>
              </w:rPr>
            </w:pPr>
          </w:p>
        </w:tc>
        <w:tc>
          <w:tcPr>
            <w:tcW w:w="708" w:type="dxa"/>
            <w:vAlign w:val="center"/>
          </w:tcPr>
          <w:p w14:paraId="56D05B10">
            <w:pPr>
              <w:jc w:val="center"/>
              <w:rPr>
                <w:color w:val="auto"/>
              </w:rPr>
            </w:pPr>
          </w:p>
        </w:tc>
      </w:tr>
      <w:tr w14:paraId="7A058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667CBAC3">
            <w:pPr>
              <w:jc w:val="center"/>
              <w:rPr>
                <w:color w:val="auto"/>
              </w:rPr>
            </w:pPr>
          </w:p>
        </w:tc>
        <w:tc>
          <w:tcPr>
            <w:tcW w:w="1418" w:type="dxa"/>
            <w:vAlign w:val="center"/>
          </w:tcPr>
          <w:p w14:paraId="402C69AB">
            <w:pPr>
              <w:jc w:val="center"/>
              <w:rPr>
                <w:color w:val="auto"/>
              </w:rPr>
            </w:pPr>
          </w:p>
        </w:tc>
        <w:tc>
          <w:tcPr>
            <w:tcW w:w="1417" w:type="dxa"/>
            <w:vAlign w:val="center"/>
          </w:tcPr>
          <w:p w14:paraId="6EA33F53">
            <w:pPr>
              <w:jc w:val="center"/>
              <w:rPr>
                <w:color w:val="auto"/>
              </w:rPr>
            </w:pPr>
          </w:p>
        </w:tc>
        <w:tc>
          <w:tcPr>
            <w:tcW w:w="709" w:type="dxa"/>
            <w:vAlign w:val="center"/>
          </w:tcPr>
          <w:p w14:paraId="28A1096C">
            <w:pPr>
              <w:jc w:val="center"/>
              <w:rPr>
                <w:color w:val="auto"/>
              </w:rPr>
            </w:pPr>
          </w:p>
        </w:tc>
        <w:tc>
          <w:tcPr>
            <w:tcW w:w="1417" w:type="dxa"/>
            <w:vAlign w:val="center"/>
          </w:tcPr>
          <w:p w14:paraId="3AC7AE29">
            <w:pPr>
              <w:jc w:val="center"/>
              <w:rPr>
                <w:color w:val="auto"/>
              </w:rPr>
            </w:pPr>
          </w:p>
        </w:tc>
        <w:tc>
          <w:tcPr>
            <w:tcW w:w="1134" w:type="dxa"/>
            <w:vAlign w:val="center"/>
          </w:tcPr>
          <w:p w14:paraId="42F8F1FB">
            <w:pPr>
              <w:jc w:val="center"/>
              <w:rPr>
                <w:color w:val="auto"/>
              </w:rPr>
            </w:pPr>
          </w:p>
        </w:tc>
        <w:tc>
          <w:tcPr>
            <w:tcW w:w="1560" w:type="dxa"/>
            <w:vAlign w:val="center"/>
          </w:tcPr>
          <w:p w14:paraId="7C8ACCBA">
            <w:pPr>
              <w:jc w:val="center"/>
              <w:rPr>
                <w:color w:val="auto"/>
              </w:rPr>
            </w:pPr>
          </w:p>
        </w:tc>
        <w:tc>
          <w:tcPr>
            <w:tcW w:w="708" w:type="dxa"/>
            <w:vAlign w:val="center"/>
          </w:tcPr>
          <w:p w14:paraId="6FFB11E6">
            <w:pPr>
              <w:jc w:val="center"/>
              <w:rPr>
                <w:color w:val="auto"/>
              </w:rPr>
            </w:pPr>
          </w:p>
        </w:tc>
      </w:tr>
      <w:tr w14:paraId="051A9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25E0045A">
            <w:pPr>
              <w:jc w:val="center"/>
              <w:rPr>
                <w:color w:val="auto"/>
              </w:rPr>
            </w:pPr>
          </w:p>
        </w:tc>
        <w:tc>
          <w:tcPr>
            <w:tcW w:w="1418" w:type="dxa"/>
            <w:vAlign w:val="center"/>
          </w:tcPr>
          <w:p w14:paraId="64C5ED64">
            <w:pPr>
              <w:jc w:val="center"/>
              <w:rPr>
                <w:color w:val="auto"/>
              </w:rPr>
            </w:pPr>
          </w:p>
        </w:tc>
        <w:tc>
          <w:tcPr>
            <w:tcW w:w="1417" w:type="dxa"/>
            <w:vAlign w:val="center"/>
          </w:tcPr>
          <w:p w14:paraId="4F29F2B1">
            <w:pPr>
              <w:jc w:val="center"/>
              <w:rPr>
                <w:color w:val="auto"/>
              </w:rPr>
            </w:pPr>
          </w:p>
        </w:tc>
        <w:tc>
          <w:tcPr>
            <w:tcW w:w="709" w:type="dxa"/>
            <w:vAlign w:val="center"/>
          </w:tcPr>
          <w:p w14:paraId="29C55BCA">
            <w:pPr>
              <w:jc w:val="center"/>
              <w:rPr>
                <w:color w:val="auto"/>
              </w:rPr>
            </w:pPr>
          </w:p>
        </w:tc>
        <w:tc>
          <w:tcPr>
            <w:tcW w:w="1417" w:type="dxa"/>
            <w:vAlign w:val="center"/>
          </w:tcPr>
          <w:p w14:paraId="55F39DE8">
            <w:pPr>
              <w:jc w:val="center"/>
              <w:rPr>
                <w:color w:val="auto"/>
              </w:rPr>
            </w:pPr>
          </w:p>
        </w:tc>
        <w:tc>
          <w:tcPr>
            <w:tcW w:w="1134" w:type="dxa"/>
            <w:vAlign w:val="center"/>
          </w:tcPr>
          <w:p w14:paraId="2194B971">
            <w:pPr>
              <w:jc w:val="center"/>
              <w:rPr>
                <w:color w:val="auto"/>
              </w:rPr>
            </w:pPr>
          </w:p>
        </w:tc>
        <w:tc>
          <w:tcPr>
            <w:tcW w:w="1560" w:type="dxa"/>
            <w:vAlign w:val="center"/>
          </w:tcPr>
          <w:p w14:paraId="2B3428BB">
            <w:pPr>
              <w:jc w:val="center"/>
              <w:rPr>
                <w:color w:val="auto"/>
              </w:rPr>
            </w:pPr>
          </w:p>
        </w:tc>
        <w:tc>
          <w:tcPr>
            <w:tcW w:w="708" w:type="dxa"/>
            <w:vAlign w:val="center"/>
          </w:tcPr>
          <w:p w14:paraId="29C24595">
            <w:pPr>
              <w:jc w:val="center"/>
              <w:rPr>
                <w:color w:val="auto"/>
              </w:rPr>
            </w:pPr>
          </w:p>
        </w:tc>
      </w:tr>
    </w:tbl>
    <w:p w14:paraId="56725179">
      <w:pPr>
        <w:rPr>
          <w:color w:val="auto"/>
        </w:rPr>
      </w:pPr>
    </w:p>
    <w:p w14:paraId="1F75FA94">
      <w:pPr>
        <w:jc w:val="center"/>
        <w:rPr>
          <w:b/>
          <w:color w:val="auto"/>
        </w:rPr>
      </w:pPr>
      <w:r>
        <w:rPr>
          <w:rFonts w:hint="eastAsia"/>
          <w:b/>
          <w:color w:val="auto"/>
        </w:rPr>
        <w:t>发包人提供的工程设备表(参考格式)</w:t>
      </w:r>
    </w:p>
    <w:tbl>
      <w:tblPr>
        <w:tblStyle w:val="2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9"/>
        <w:gridCol w:w="1701"/>
        <w:gridCol w:w="1276"/>
        <w:gridCol w:w="877"/>
        <w:gridCol w:w="1168"/>
        <w:gridCol w:w="1168"/>
        <w:gridCol w:w="1606"/>
        <w:gridCol w:w="730"/>
      </w:tblGrid>
      <w:tr w14:paraId="6EBE0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59F4B13B">
            <w:pPr>
              <w:jc w:val="center"/>
              <w:rPr>
                <w:color w:val="auto"/>
              </w:rPr>
            </w:pPr>
            <w:r>
              <w:rPr>
                <w:rFonts w:hint="eastAsia"/>
                <w:color w:val="auto"/>
              </w:rPr>
              <w:t>序号</w:t>
            </w:r>
          </w:p>
        </w:tc>
        <w:tc>
          <w:tcPr>
            <w:tcW w:w="1701" w:type="dxa"/>
            <w:vAlign w:val="center"/>
          </w:tcPr>
          <w:p w14:paraId="7A5B2430">
            <w:pPr>
              <w:jc w:val="center"/>
              <w:rPr>
                <w:color w:val="auto"/>
              </w:rPr>
            </w:pPr>
            <w:r>
              <w:rPr>
                <w:rFonts w:hint="eastAsia"/>
                <w:color w:val="auto"/>
              </w:rPr>
              <w:t>工程设备名称</w:t>
            </w:r>
          </w:p>
        </w:tc>
        <w:tc>
          <w:tcPr>
            <w:tcW w:w="1276" w:type="dxa"/>
            <w:vAlign w:val="center"/>
          </w:tcPr>
          <w:p w14:paraId="7FA643D8">
            <w:pPr>
              <w:jc w:val="center"/>
              <w:rPr>
                <w:color w:val="auto"/>
              </w:rPr>
            </w:pPr>
            <w:r>
              <w:rPr>
                <w:rFonts w:hint="eastAsia"/>
                <w:color w:val="auto"/>
              </w:rPr>
              <w:t>型号及规格</w:t>
            </w:r>
          </w:p>
        </w:tc>
        <w:tc>
          <w:tcPr>
            <w:tcW w:w="877" w:type="dxa"/>
            <w:vAlign w:val="center"/>
          </w:tcPr>
          <w:p w14:paraId="21464D7E">
            <w:pPr>
              <w:jc w:val="center"/>
              <w:rPr>
                <w:color w:val="auto"/>
              </w:rPr>
            </w:pPr>
            <w:r>
              <w:rPr>
                <w:rFonts w:hint="eastAsia"/>
                <w:color w:val="auto"/>
              </w:rPr>
              <w:t>数量</w:t>
            </w:r>
          </w:p>
        </w:tc>
        <w:tc>
          <w:tcPr>
            <w:tcW w:w="1168" w:type="dxa"/>
            <w:vAlign w:val="center"/>
          </w:tcPr>
          <w:p w14:paraId="7DF00EDC">
            <w:pPr>
              <w:jc w:val="center"/>
              <w:rPr>
                <w:color w:val="auto"/>
              </w:rPr>
            </w:pPr>
            <w:r>
              <w:rPr>
                <w:rFonts w:hint="eastAsia"/>
                <w:color w:val="auto"/>
              </w:rPr>
              <w:t>交货地点</w:t>
            </w:r>
          </w:p>
        </w:tc>
        <w:tc>
          <w:tcPr>
            <w:tcW w:w="1168" w:type="dxa"/>
            <w:vAlign w:val="center"/>
          </w:tcPr>
          <w:p w14:paraId="289C709B">
            <w:pPr>
              <w:jc w:val="center"/>
              <w:rPr>
                <w:color w:val="auto"/>
              </w:rPr>
            </w:pPr>
            <w:r>
              <w:rPr>
                <w:rFonts w:hint="eastAsia"/>
                <w:color w:val="auto"/>
              </w:rPr>
              <w:t>交货方式</w:t>
            </w:r>
          </w:p>
        </w:tc>
        <w:tc>
          <w:tcPr>
            <w:tcW w:w="1606" w:type="dxa"/>
            <w:vAlign w:val="center"/>
          </w:tcPr>
          <w:p w14:paraId="30B19839">
            <w:pPr>
              <w:jc w:val="center"/>
              <w:rPr>
                <w:color w:val="auto"/>
              </w:rPr>
            </w:pPr>
            <w:r>
              <w:rPr>
                <w:rFonts w:hint="eastAsia"/>
                <w:color w:val="auto"/>
              </w:rPr>
              <w:t>计划交货日期</w:t>
            </w:r>
          </w:p>
        </w:tc>
        <w:tc>
          <w:tcPr>
            <w:tcW w:w="730" w:type="dxa"/>
            <w:vAlign w:val="center"/>
          </w:tcPr>
          <w:p w14:paraId="63E0B16D">
            <w:pPr>
              <w:jc w:val="center"/>
              <w:rPr>
                <w:color w:val="auto"/>
              </w:rPr>
            </w:pPr>
            <w:r>
              <w:rPr>
                <w:rFonts w:hint="eastAsia"/>
                <w:color w:val="auto"/>
              </w:rPr>
              <w:t>备注</w:t>
            </w:r>
          </w:p>
        </w:tc>
      </w:tr>
      <w:tr w14:paraId="3D46D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4347A1AC">
            <w:pPr>
              <w:jc w:val="center"/>
              <w:rPr>
                <w:color w:val="auto"/>
              </w:rPr>
            </w:pPr>
          </w:p>
        </w:tc>
        <w:tc>
          <w:tcPr>
            <w:tcW w:w="1701" w:type="dxa"/>
            <w:vAlign w:val="center"/>
          </w:tcPr>
          <w:p w14:paraId="5870E788">
            <w:pPr>
              <w:jc w:val="center"/>
              <w:rPr>
                <w:color w:val="auto"/>
              </w:rPr>
            </w:pPr>
          </w:p>
        </w:tc>
        <w:tc>
          <w:tcPr>
            <w:tcW w:w="1276" w:type="dxa"/>
            <w:vAlign w:val="center"/>
          </w:tcPr>
          <w:p w14:paraId="60709727">
            <w:pPr>
              <w:jc w:val="center"/>
              <w:rPr>
                <w:color w:val="auto"/>
              </w:rPr>
            </w:pPr>
          </w:p>
        </w:tc>
        <w:tc>
          <w:tcPr>
            <w:tcW w:w="877" w:type="dxa"/>
            <w:vAlign w:val="center"/>
          </w:tcPr>
          <w:p w14:paraId="2B1CB358">
            <w:pPr>
              <w:jc w:val="center"/>
              <w:rPr>
                <w:color w:val="auto"/>
              </w:rPr>
            </w:pPr>
          </w:p>
        </w:tc>
        <w:tc>
          <w:tcPr>
            <w:tcW w:w="1168" w:type="dxa"/>
            <w:vAlign w:val="center"/>
          </w:tcPr>
          <w:p w14:paraId="07C9F9E3">
            <w:pPr>
              <w:jc w:val="center"/>
              <w:rPr>
                <w:color w:val="auto"/>
              </w:rPr>
            </w:pPr>
          </w:p>
        </w:tc>
        <w:tc>
          <w:tcPr>
            <w:tcW w:w="1168" w:type="dxa"/>
            <w:vAlign w:val="center"/>
          </w:tcPr>
          <w:p w14:paraId="1FD13B52">
            <w:pPr>
              <w:jc w:val="center"/>
              <w:rPr>
                <w:color w:val="auto"/>
              </w:rPr>
            </w:pPr>
          </w:p>
        </w:tc>
        <w:tc>
          <w:tcPr>
            <w:tcW w:w="1606" w:type="dxa"/>
            <w:vAlign w:val="center"/>
          </w:tcPr>
          <w:p w14:paraId="60365E5E">
            <w:pPr>
              <w:jc w:val="center"/>
              <w:rPr>
                <w:color w:val="auto"/>
              </w:rPr>
            </w:pPr>
          </w:p>
        </w:tc>
        <w:tc>
          <w:tcPr>
            <w:tcW w:w="730" w:type="dxa"/>
            <w:vAlign w:val="center"/>
          </w:tcPr>
          <w:p w14:paraId="265B1705">
            <w:pPr>
              <w:jc w:val="center"/>
              <w:rPr>
                <w:color w:val="auto"/>
              </w:rPr>
            </w:pPr>
          </w:p>
        </w:tc>
      </w:tr>
      <w:tr w14:paraId="6696D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0C050240">
            <w:pPr>
              <w:jc w:val="center"/>
              <w:rPr>
                <w:color w:val="auto"/>
              </w:rPr>
            </w:pPr>
          </w:p>
        </w:tc>
        <w:tc>
          <w:tcPr>
            <w:tcW w:w="1701" w:type="dxa"/>
            <w:vAlign w:val="center"/>
          </w:tcPr>
          <w:p w14:paraId="3197BB1B">
            <w:pPr>
              <w:jc w:val="center"/>
              <w:rPr>
                <w:color w:val="auto"/>
              </w:rPr>
            </w:pPr>
          </w:p>
        </w:tc>
        <w:tc>
          <w:tcPr>
            <w:tcW w:w="1276" w:type="dxa"/>
            <w:vAlign w:val="center"/>
          </w:tcPr>
          <w:p w14:paraId="096B6EA1">
            <w:pPr>
              <w:jc w:val="center"/>
              <w:rPr>
                <w:color w:val="auto"/>
              </w:rPr>
            </w:pPr>
          </w:p>
        </w:tc>
        <w:tc>
          <w:tcPr>
            <w:tcW w:w="877" w:type="dxa"/>
            <w:vAlign w:val="center"/>
          </w:tcPr>
          <w:p w14:paraId="1087ED90">
            <w:pPr>
              <w:jc w:val="center"/>
              <w:rPr>
                <w:color w:val="auto"/>
              </w:rPr>
            </w:pPr>
          </w:p>
        </w:tc>
        <w:tc>
          <w:tcPr>
            <w:tcW w:w="1168" w:type="dxa"/>
            <w:vAlign w:val="center"/>
          </w:tcPr>
          <w:p w14:paraId="032679E8">
            <w:pPr>
              <w:jc w:val="center"/>
              <w:rPr>
                <w:color w:val="auto"/>
              </w:rPr>
            </w:pPr>
          </w:p>
        </w:tc>
        <w:tc>
          <w:tcPr>
            <w:tcW w:w="1168" w:type="dxa"/>
            <w:vAlign w:val="center"/>
          </w:tcPr>
          <w:p w14:paraId="7F52DDA3">
            <w:pPr>
              <w:jc w:val="center"/>
              <w:rPr>
                <w:color w:val="auto"/>
              </w:rPr>
            </w:pPr>
          </w:p>
        </w:tc>
        <w:tc>
          <w:tcPr>
            <w:tcW w:w="1606" w:type="dxa"/>
            <w:vAlign w:val="center"/>
          </w:tcPr>
          <w:p w14:paraId="744C4487">
            <w:pPr>
              <w:jc w:val="center"/>
              <w:rPr>
                <w:color w:val="auto"/>
              </w:rPr>
            </w:pPr>
          </w:p>
        </w:tc>
        <w:tc>
          <w:tcPr>
            <w:tcW w:w="730" w:type="dxa"/>
            <w:vAlign w:val="center"/>
          </w:tcPr>
          <w:p w14:paraId="7955ACBF">
            <w:pPr>
              <w:jc w:val="center"/>
              <w:rPr>
                <w:color w:val="auto"/>
              </w:rPr>
            </w:pPr>
          </w:p>
        </w:tc>
      </w:tr>
    </w:tbl>
    <w:p w14:paraId="23816D9C">
      <w:pPr>
        <w:outlineLvl w:val="2"/>
        <w:rPr>
          <w:b/>
          <w:color w:val="auto"/>
        </w:rPr>
      </w:pPr>
      <w:bookmarkStart w:id="1076" w:name="第04章合同条款及格式0206"/>
      <w:bookmarkEnd w:id="1076"/>
      <w:r>
        <w:rPr>
          <w:rFonts w:hint="eastAsia"/>
          <w:b/>
          <w:color w:val="auto"/>
        </w:rPr>
        <w:t>6　施工设备和临时设施</w:t>
      </w:r>
    </w:p>
    <w:p w14:paraId="31CD1610">
      <w:pPr>
        <w:outlineLvl w:val="3"/>
        <w:rPr>
          <w:color w:val="auto"/>
        </w:rPr>
      </w:pPr>
      <w:r>
        <w:rPr>
          <w:rFonts w:hint="eastAsia"/>
          <w:color w:val="auto"/>
        </w:rPr>
        <w:t>　6.2　发包人提供的施工设备和临时设施</w:t>
      </w:r>
    </w:p>
    <w:p w14:paraId="0A6C4225">
      <w:pPr>
        <w:outlineLvl w:val="4"/>
        <w:rPr>
          <w:color w:val="auto"/>
        </w:rPr>
      </w:pPr>
      <w:r>
        <w:rPr>
          <w:rFonts w:hint="eastAsia"/>
          <w:color w:val="auto"/>
        </w:rPr>
        <w:t>　　(1)发包人提供的施工设备见下表：</w:t>
      </w:r>
    </w:p>
    <w:p w14:paraId="78236A96">
      <w:pPr>
        <w:rPr>
          <w:color w:val="auto"/>
        </w:rPr>
      </w:pPr>
    </w:p>
    <w:p w14:paraId="7EA35021">
      <w:pPr>
        <w:jc w:val="center"/>
        <w:outlineLvl w:val="5"/>
        <w:rPr>
          <w:b/>
          <w:color w:val="auto"/>
        </w:rPr>
      </w:pPr>
      <w:r>
        <w:rPr>
          <w:rFonts w:hint="eastAsia"/>
          <w:b/>
          <w:color w:val="auto"/>
        </w:rPr>
        <w:t>发包人提供的施工设备表(参考格式)</w:t>
      </w:r>
    </w:p>
    <w:tbl>
      <w:tblPr>
        <w:tblStyle w:val="2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9"/>
        <w:gridCol w:w="1518"/>
        <w:gridCol w:w="1317"/>
        <w:gridCol w:w="1418"/>
        <w:gridCol w:w="769"/>
        <w:gridCol w:w="1168"/>
        <w:gridCol w:w="1606"/>
        <w:gridCol w:w="730"/>
      </w:tblGrid>
      <w:tr w14:paraId="0B2EA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43C98190">
            <w:pPr>
              <w:jc w:val="center"/>
              <w:rPr>
                <w:color w:val="auto"/>
              </w:rPr>
            </w:pPr>
            <w:r>
              <w:rPr>
                <w:rFonts w:hint="eastAsia"/>
                <w:color w:val="auto"/>
              </w:rPr>
              <w:t>序号</w:t>
            </w:r>
          </w:p>
        </w:tc>
        <w:tc>
          <w:tcPr>
            <w:tcW w:w="1518" w:type="dxa"/>
            <w:vAlign w:val="center"/>
          </w:tcPr>
          <w:p w14:paraId="1447144F">
            <w:pPr>
              <w:jc w:val="center"/>
              <w:rPr>
                <w:color w:val="auto"/>
              </w:rPr>
            </w:pPr>
            <w:r>
              <w:rPr>
                <w:rFonts w:hint="eastAsia"/>
                <w:color w:val="auto"/>
              </w:rPr>
              <w:t>施工设备名称</w:t>
            </w:r>
          </w:p>
        </w:tc>
        <w:tc>
          <w:tcPr>
            <w:tcW w:w="1317" w:type="dxa"/>
            <w:vAlign w:val="center"/>
          </w:tcPr>
          <w:p w14:paraId="7BF604DA">
            <w:pPr>
              <w:jc w:val="center"/>
              <w:rPr>
                <w:color w:val="auto"/>
              </w:rPr>
            </w:pPr>
            <w:r>
              <w:rPr>
                <w:rFonts w:hint="eastAsia"/>
                <w:color w:val="auto"/>
              </w:rPr>
              <w:t>型号及规格</w:t>
            </w:r>
          </w:p>
        </w:tc>
        <w:tc>
          <w:tcPr>
            <w:tcW w:w="1418" w:type="dxa"/>
            <w:vAlign w:val="center"/>
          </w:tcPr>
          <w:p w14:paraId="47398F23">
            <w:pPr>
              <w:jc w:val="center"/>
              <w:rPr>
                <w:color w:val="auto"/>
              </w:rPr>
            </w:pPr>
            <w:r>
              <w:rPr>
                <w:rFonts w:hint="eastAsia"/>
                <w:color w:val="auto"/>
              </w:rPr>
              <w:t>设备状况</w:t>
            </w:r>
          </w:p>
        </w:tc>
        <w:tc>
          <w:tcPr>
            <w:tcW w:w="769" w:type="dxa"/>
            <w:vAlign w:val="center"/>
          </w:tcPr>
          <w:p w14:paraId="7D3D6B5D">
            <w:pPr>
              <w:jc w:val="center"/>
              <w:rPr>
                <w:color w:val="auto"/>
              </w:rPr>
            </w:pPr>
            <w:r>
              <w:rPr>
                <w:rFonts w:hint="eastAsia"/>
                <w:color w:val="auto"/>
              </w:rPr>
              <w:t>数量</w:t>
            </w:r>
          </w:p>
        </w:tc>
        <w:tc>
          <w:tcPr>
            <w:tcW w:w="1168" w:type="dxa"/>
            <w:vAlign w:val="center"/>
          </w:tcPr>
          <w:p w14:paraId="09142069">
            <w:pPr>
              <w:jc w:val="center"/>
              <w:rPr>
                <w:color w:val="auto"/>
              </w:rPr>
            </w:pPr>
            <w:r>
              <w:rPr>
                <w:rFonts w:hint="eastAsia"/>
                <w:color w:val="auto"/>
              </w:rPr>
              <w:t>移交地点</w:t>
            </w:r>
          </w:p>
        </w:tc>
        <w:tc>
          <w:tcPr>
            <w:tcW w:w="1606" w:type="dxa"/>
            <w:vAlign w:val="center"/>
          </w:tcPr>
          <w:p w14:paraId="68BFB328">
            <w:pPr>
              <w:jc w:val="center"/>
              <w:rPr>
                <w:color w:val="auto"/>
              </w:rPr>
            </w:pPr>
            <w:r>
              <w:rPr>
                <w:rFonts w:hint="eastAsia"/>
                <w:color w:val="auto"/>
              </w:rPr>
              <w:t>计划移交日期</w:t>
            </w:r>
          </w:p>
        </w:tc>
        <w:tc>
          <w:tcPr>
            <w:tcW w:w="730" w:type="dxa"/>
            <w:vAlign w:val="center"/>
          </w:tcPr>
          <w:p w14:paraId="10196FE2">
            <w:pPr>
              <w:jc w:val="center"/>
              <w:rPr>
                <w:color w:val="auto"/>
              </w:rPr>
            </w:pPr>
            <w:r>
              <w:rPr>
                <w:rFonts w:hint="eastAsia"/>
                <w:color w:val="auto"/>
              </w:rPr>
              <w:t>备注</w:t>
            </w:r>
          </w:p>
        </w:tc>
      </w:tr>
      <w:tr w14:paraId="0E618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58480988">
            <w:pPr>
              <w:jc w:val="center"/>
              <w:rPr>
                <w:color w:val="auto"/>
              </w:rPr>
            </w:pPr>
          </w:p>
        </w:tc>
        <w:tc>
          <w:tcPr>
            <w:tcW w:w="1518" w:type="dxa"/>
            <w:vAlign w:val="center"/>
          </w:tcPr>
          <w:p w14:paraId="0E9E3597">
            <w:pPr>
              <w:jc w:val="center"/>
              <w:rPr>
                <w:color w:val="auto"/>
              </w:rPr>
            </w:pPr>
          </w:p>
        </w:tc>
        <w:tc>
          <w:tcPr>
            <w:tcW w:w="1317" w:type="dxa"/>
            <w:vAlign w:val="center"/>
          </w:tcPr>
          <w:p w14:paraId="7DD58399">
            <w:pPr>
              <w:jc w:val="center"/>
              <w:rPr>
                <w:color w:val="auto"/>
              </w:rPr>
            </w:pPr>
          </w:p>
        </w:tc>
        <w:tc>
          <w:tcPr>
            <w:tcW w:w="1418" w:type="dxa"/>
            <w:vAlign w:val="center"/>
          </w:tcPr>
          <w:p w14:paraId="77494831">
            <w:pPr>
              <w:jc w:val="center"/>
              <w:rPr>
                <w:color w:val="auto"/>
              </w:rPr>
            </w:pPr>
          </w:p>
        </w:tc>
        <w:tc>
          <w:tcPr>
            <w:tcW w:w="769" w:type="dxa"/>
            <w:vAlign w:val="center"/>
          </w:tcPr>
          <w:p w14:paraId="53E678BF">
            <w:pPr>
              <w:jc w:val="center"/>
              <w:rPr>
                <w:color w:val="auto"/>
              </w:rPr>
            </w:pPr>
          </w:p>
        </w:tc>
        <w:tc>
          <w:tcPr>
            <w:tcW w:w="1168" w:type="dxa"/>
            <w:vAlign w:val="center"/>
          </w:tcPr>
          <w:p w14:paraId="4926A3D0">
            <w:pPr>
              <w:jc w:val="center"/>
              <w:rPr>
                <w:color w:val="auto"/>
              </w:rPr>
            </w:pPr>
          </w:p>
        </w:tc>
        <w:tc>
          <w:tcPr>
            <w:tcW w:w="1606" w:type="dxa"/>
            <w:vAlign w:val="center"/>
          </w:tcPr>
          <w:p w14:paraId="6C319B7D">
            <w:pPr>
              <w:jc w:val="center"/>
              <w:rPr>
                <w:color w:val="auto"/>
              </w:rPr>
            </w:pPr>
          </w:p>
        </w:tc>
        <w:tc>
          <w:tcPr>
            <w:tcW w:w="730" w:type="dxa"/>
            <w:vAlign w:val="center"/>
          </w:tcPr>
          <w:p w14:paraId="78C6D14F">
            <w:pPr>
              <w:jc w:val="center"/>
              <w:rPr>
                <w:color w:val="auto"/>
              </w:rPr>
            </w:pPr>
          </w:p>
        </w:tc>
      </w:tr>
      <w:tr w14:paraId="54DF4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28F0FEFA">
            <w:pPr>
              <w:jc w:val="center"/>
              <w:rPr>
                <w:color w:val="auto"/>
              </w:rPr>
            </w:pPr>
          </w:p>
        </w:tc>
        <w:tc>
          <w:tcPr>
            <w:tcW w:w="1518" w:type="dxa"/>
            <w:vAlign w:val="center"/>
          </w:tcPr>
          <w:p w14:paraId="18788B25">
            <w:pPr>
              <w:jc w:val="center"/>
              <w:rPr>
                <w:color w:val="auto"/>
              </w:rPr>
            </w:pPr>
          </w:p>
        </w:tc>
        <w:tc>
          <w:tcPr>
            <w:tcW w:w="1317" w:type="dxa"/>
            <w:vAlign w:val="center"/>
          </w:tcPr>
          <w:p w14:paraId="35017BCC">
            <w:pPr>
              <w:jc w:val="center"/>
              <w:rPr>
                <w:color w:val="auto"/>
              </w:rPr>
            </w:pPr>
          </w:p>
        </w:tc>
        <w:tc>
          <w:tcPr>
            <w:tcW w:w="1418" w:type="dxa"/>
            <w:vAlign w:val="center"/>
          </w:tcPr>
          <w:p w14:paraId="0A3766D8">
            <w:pPr>
              <w:jc w:val="center"/>
              <w:rPr>
                <w:color w:val="auto"/>
              </w:rPr>
            </w:pPr>
          </w:p>
        </w:tc>
        <w:tc>
          <w:tcPr>
            <w:tcW w:w="769" w:type="dxa"/>
            <w:vAlign w:val="center"/>
          </w:tcPr>
          <w:p w14:paraId="59089E67">
            <w:pPr>
              <w:jc w:val="center"/>
              <w:rPr>
                <w:color w:val="auto"/>
              </w:rPr>
            </w:pPr>
          </w:p>
        </w:tc>
        <w:tc>
          <w:tcPr>
            <w:tcW w:w="1168" w:type="dxa"/>
            <w:vAlign w:val="center"/>
          </w:tcPr>
          <w:p w14:paraId="06E9F556">
            <w:pPr>
              <w:jc w:val="center"/>
              <w:rPr>
                <w:color w:val="auto"/>
              </w:rPr>
            </w:pPr>
          </w:p>
        </w:tc>
        <w:tc>
          <w:tcPr>
            <w:tcW w:w="1606" w:type="dxa"/>
            <w:vAlign w:val="center"/>
          </w:tcPr>
          <w:p w14:paraId="1909E7B1">
            <w:pPr>
              <w:jc w:val="center"/>
              <w:rPr>
                <w:color w:val="auto"/>
              </w:rPr>
            </w:pPr>
          </w:p>
        </w:tc>
        <w:tc>
          <w:tcPr>
            <w:tcW w:w="730" w:type="dxa"/>
            <w:vAlign w:val="center"/>
          </w:tcPr>
          <w:p w14:paraId="223D20E6">
            <w:pPr>
              <w:jc w:val="center"/>
              <w:rPr>
                <w:color w:val="auto"/>
              </w:rPr>
            </w:pPr>
          </w:p>
        </w:tc>
      </w:tr>
    </w:tbl>
    <w:p w14:paraId="4CF285BB">
      <w:pPr>
        <w:rPr>
          <w:color w:val="auto"/>
        </w:rPr>
      </w:pPr>
      <w:r>
        <w:rPr>
          <w:rFonts w:hint="eastAsia"/>
          <w:color w:val="auto"/>
        </w:rPr>
        <w:t>　　注　设备状况栏内填写该设备的新旧程度、购进时间、已使用小时数和最近一次的大修时间。</w:t>
      </w:r>
    </w:p>
    <w:p w14:paraId="2BC663AD">
      <w:pPr>
        <w:outlineLvl w:val="4"/>
        <w:rPr>
          <w:color w:val="auto"/>
        </w:rPr>
      </w:pPr>
      <w:r>
        <w:rPr>
          <w:rFonts w:hint="eastAsia"/>
          <w:color w:val="auto"/>
        </w:rPr>
        <w:t>　　(2)发包人提供的临时设施：</w:t>
      </w:r>
      <w:r>
        <w:rPr>
          <w:rFonts w:hint="eastAsia"/>
          <w:color w:val="auto"/>
          <w:u w:val="single"/>
        </w:rPr>
        <w:t>　　　　　　　　　</w:t>
      </w:r>
      <w:r>
        <w:rPr>
          <w:rFonts w:hint="eastAsia"/>
          <w:color w:val="auto"/>
        </w:rPr>
        <w:t>。</w:t>
      </w:r>
    </w:p>
    <w:p w14:paraId="0F20C15F">
      <w:pPr>
        <w:outlineLvl w:val="2"/>
        <w:rPr>
          <w:b/>
          <w:color w:val="auto"/>
        </w:rPr>
      </w:pPr>
      <w:bookmarkStart w:id="1077" w:name="第04章合同条款及格式0207"/>
      <w:bookmarkEnd w:id="1077"/>
      <w:r>
        <w:rPr>
          <w:rFonts w:hint="eastAsia"/>
          <w:b/>
          <w:color w:val="auto"/>
        </w:rPr>
        <w:t>7　交通运输</w:t>
      </w:r>
    </w:p>
    <w:p w14:paraId="63C8CEEC">
      <w:pPr>
        <w:outlineLvl w:val="3"/>
        <w:rPr>
          <w:color w:val="auto"/>
        </w:rPr>
      </w:pPr>
      <w:r>
        <w:rPr>
          <w:rFonts w:hint="eastAsia"/>
          <w:color w:val="auto"/>
        </w:rPr>
        <w:t>　7.1　道路通行权和场外设施</w:t>
      </w:r>
    </w:p>
    <w:p w14:paraId="7A6A2B4F">
      <w:pPr>
        <w:rPr>
          <w:color w:val="auto"/>
        </w:rPr>
      </w:pPr>
      <w:r>
        <w:rPr>
          <w:rFonts w:hint="eastAsia"/>
          <w:color w:val="auto"/>
        </w:rPr>
        <w:t>　　道路通行权和场外设施的约定：</w:t>
      </w:r>
      <w:r>
        <w:rPr>
          <w:rFonts w:hint="eastAsia"/>
          <w:color w:val="auto"/>
          <w:u w:val="single"/>
        </w:rPr>
        <w:t>　　　　　　</w:t>
      </w:r>
      <w:r>
        <w:rPr>
          <w:rFonts w:hint="eastAsia"/>
          <w:color w:val="auto"/>
        </w:rPr>
        <w:t>。</w:t>
      </w:r>
    </w:p>
    <w:p w14:paraId="7156E659">
      <w:pPr>
        <w:outlineLvl w:val="2"/>
        <w:rPr>
          <w:b/>
          <w:color w:val="auto"/>
        </w:rPr>
      </w:pPr>
      <w:bookmarkStart w:id="1078" w:name="第04章合同条款及格式0208"/>
      <w:bookmarkEnd w:id="1078"/>
      <w:r>
        <w:rPr>
          <w:rFonts w:hint="eastAsia"/>
          <w:b/>
          <w:color w:val="auto"/>
        </w:rPr>
        <w:t>8　测量放线</w:t>
      </w:r>
    </w:p>
    <w:p w14:paraId="46958B03">
      <w:pPr>
        <w:outlineLvl w:val="3"/>
        <w:rPr>
          <w:color w:val="auto"/>
        </w:rPr>
      </w:pPr>
      <w:r>
        <w:rPr>
          <w:rFonts w:hint="eastAsia"/>
          <w:color w:val="auto"/>
        </w:rPr>
        <w:t>　8.1　施工控制网</w:t>
      </w:r>
    </w:p>
    <w:p w14:paraId="464639E0">
      <w:pPr>
        <w:outlineLvl w:val="4"/>
        <w:rPr>
          <w:color w:val="auto"/>
        </w:rPr>
      </w:pPr>
      <w:r>
        <w:rPr>
          <w:rFonts w:hint="eastAsia"/>
          <w:color w:val="auto"/>
        </w:rPr>
        <w:t>　　8.1.1　施工控制网的约定：</w:t>
      </w:r>
      <w:r>
        <w:rPr>
          <w:rFonts w:hint="eastAsia"/>
          <w:color w:val="auto"/>
          <w:u w:val="single"/>
        </w:rPr>
        <w:t>　　　　　　　　</w:t>
      </w:r>
      <w:r>
        <w:rPr>
          <w:rFonts w:hint="eastAsia"/>
          <w:color w:val="auto"/>
        </w:rPr>
        <w:t>。</w:t>
      </w:r>
    </w:p>
    <w:p w14:paraId="0A558077">
      <w:pPr>
        <w:outlineLvl w:val="2"/>
        <w:rPr>
          <w:b/>
          <w:color w:val="auto"/>
        </w:rPr>
      </w:pPr>
      <w:bookmarkStart w:id="1079" w:name="第04章合同条款及格式0209"/>
      <w:bookmarkEnd w:id="1079"/>
      <w:r>
        <w:rPr>
          <w:rFonts w:hint="eastAsia"/>
          <w:b/>
          <w:color w:val="auto"/>
        </w:rPr>
        <w:t>9　施工安全、治安保卫和环境保护</w:t>
      </w:r>
    </w:p>
    <w:p w14:paraId="7D5BD1FC">
      <w:pPr>
        <w:outlineLvl w:val="3"/>
        <w:rPr>
          <w:color w:val="auto"/>
        </w:rPr>
      </w:pPr>
      <w:r>
        <w:rPr>
          <w:rFonts w:hint="eastAsia"/>
          <w:color w:val="auto"/>
        </w:rPr>
        <w:t>　9.1　发包人的施工安全责任</w:t>
      </w:r>
    </w:p>
    <w:p w14:paraId="357E2862">
      <w:pPr>
        <w:rPr>
          <w:color w:val="auto"/>
        </w:rPr>
      </w:pPr>
      <w:r>
        <w:rPr>
          <w:rFonts w:hint="eastAsia"/>
          <w:color w:val="auto"/>
        </w:rPr>
        <w:t>　　9.1.4　发包人提供</w:t>
      </w:r>
      <w:r>
        <w:rPr>
          <w:rFonts w:hint="eastAsia"/>
          <w:color w:val="auto"/>
          <w:u w:val="single"/>
        </w:rPr>
        <w:t>　　　　　　　</w:t>
      </w:r>
      <w:r>
        <w:rPr>
          <w:rFonts w:hint="eastAsia"/>
          <w:color w:val="auto"/>
        </w:rPr>
        <w:t>资料，其余资料由承包人负责收集。</w:t>
      </w:r>
    </w:p>
    <w:p w14:paraId="406E51DD">
      <w:pPr>
        <w:outlineLvl w:val="3"/>
        <w:rPr>
          <w:color w:val="auto"/>
        </w:rPr>
      </w:pPr>
      <w:r>
        <w:rPr>
          <w:rFonts w:hint="eastAsia"/>
          <w:color w:val="auto"/>
        </w:rPr>
        <w:t>　9.2　承包人的施工安全责任</w:t>
      </w:r>
    </w:p>
    <w:p w14:paraId="1B609DFB">
      <w:pPr>
        <w:rPr>
          <w:color w:val="auto"/>
        </w:rPr>
      </w:pPr>
      <w:r>
        <w:rPr>
          <w:rFonts w:hint="eastAsia"/>
          <w:color w:val="auto"/>
        </w:rPr>
        <w:t>　　9.2.12　下列工程应编制专项施工方案：</w:t>
      </w:r>
      <w:r>
        <w:rPr>
          <w:rFonts w:hint="eastAsia"/>
          <w:color w:val="auto"/>
          <w:u w:val="single"/>
        </w:rPr>
        <w:t>　　　　　</w:t>
      </w:r>
      <w:r>
        <w:rPr>
          <w:rFonts w:hint="eastAsia"/>
          <w:color w:val="auto"/>
        </w:rPr>
        <w:t>。其中</w:t>
      </w:r>
      <w:r>
        <w:rPr>
          <w:rFonts w:hint="eastAsia"/>
          <w:color w:val="auto"/>
          <w:u w:val="single"/>
        </w:rPr>
        <w:t>　　　　　</w:t>
      </w:r>
      <w:r>
        <w:rPr>
          <w:rFonts w:hint="eastAsia"/>
          <w:color w:val="auto"/>
        </w:rPr>
        <w:t>应组织专家论证和审查。</w:t>
      </w:r>
    </w:p>
    <w:p w14:paraId="3CB86A02">
      <w:pPr>
        <w:outlineLvl w:val="3"/>
        <w:rPr>
          <w:color w:val="auto"/>
        </w:rPr>
      </w:pPr>
      <w:r>
        <w:rPr>
          <w:rFonts w:hint="eastAsia"/>
          <w:color w:val="auto"/>
        </w:rPr>
        <w:t>　9.7　文明工地</w:t>
      </w:r>
    </w:p>
    <w:p w14:paraId="6E0FBA0C">
      <w:pPr>
        <w:outlineLvl w:val="4"/>
        <w:rPr>
          <w:color w:val="auto"/>
        </w:rPr>
      </w:pPr>
      <w:r>
        <w:rPr>
          <w:rFonts w:hint="eastAsia"/>
          <w:color w:val="auto"/>
        </w:rPr>
        <w:t>　　9.7.1　本合同文明工地的约定：</w:t>
      </w:r>
      <w:r>
        <w:rPr>
          <w:rFonts w:hint="eastAsia"/>
          <w:color w:val="auto"/>
          <w:u w:val="single"/>
        </w:rPr>
        <w:t>　　　　　　　</w:t>
      </w:r>
      <w:r>
        <w:rPr>
          <w:rFonts w:hint="eastAsia"/>
          <w:color w:val="auto"/>
        </w:rPr>
        <w:t>。</w:t>
      </w:r>
    </w:p>
    <w:p w14:paraId="72D70A13">
      <w:pPr>
        <w:outlineLvl w:val="2"/>
        <w:rPr>
          <w:b/>
          <w:color w:val="auto"/>
        </w:rPr>
      </w:pPr>
      <w:bookmarkStart w:id="1080" w:name="第04章合同条款及格式0211"/>
      <w:bookmarkEnd w:id="1080"/>
      <w:r>
        <w:rPr>
          <w:rFonts w:hint="eastAsia"/>
          <w:b/>
          <w:color w:val="auto"/>
        </w:rPr>
        <w:t>11　开工和竣工(完工)</w:t>
      </w:r>
    </w:p>
    <w:p w14:paraId="56A0C458">
      <w:pPr>
        <w:outlineLvl w:val="3"/>
        <w:rPr>
          <w:color w:val="auto"/>
        </w:rPr>
      </w:pPr>
      <w:r>
        <w:rPr>
          <w:rFonts w:hint="eastAsia"/>
          <w:color w:val="auto"/>
        </w:rPr>
        <w:t>　11.4　异常恶劣的气候条件</w:t>
      </w:r>
    </w:p>
    <w:p w14:paraId="51B27813">
      <w:pPr>
        <w:outlineLvl w:val="4"/>
        <w:rPr>
          <w:color w:val="auto"/>
        </w:rPr>
      </w:pPr>
      <w:r>
        <w:rPr>
          <w:rFonts w:hint="eastAsia"/>
          <w:color w:val="auto"/>
        </w:rPr>
        <w:t>　11.4.3　本合同工程界定异常恶劣气候条件的范围为：</w:t>
      </w:r>
    </w:p>
    <w:p w14:paraId="204626B1">
      <w:pPr>
        <w:rPr>
          <w:color w:val="auto"/>
        </w:rPr>
      </w:pPr>
      <w:r>
        <w:rPr>
          <w:rFonts w:hint="eastAsia"/>
          <w:color w:val="auto"/>
        </w:rPr>
        <w:t>　　(1)日降雨量大于　　　　mm的雨日超过　　　　天；</w:t>
      </w:r>
    </w:p>
    <w:p w14:paraId="5E184A16">
      <w:pPr>
        <w:rPr>
          <w:color w:val="auto"/>
        </w:rPr>
      </w:pPr>
      <w:r>
        <w:rPr>
          <w:rFonts w:hint="eastAsia"/>
          <w:color w:val="auto"/>
        </w:rPr>
        <w:t>　　(2)风速大于　　　　m/s的　　　级以上台风灾害；</w:t>
      </w:r>
    </w:p>
    <w:p w14:paraId="18C20C77">
      <w:pPr>
        <w:rPr>
          <w:color w:val="auto"/>
        </w:rPr>
      </w:pPr>
      <w:r>
        <w:rPr>
          <w:rFonts w:hint="eastAsia"/>
          <w:color w:val="auto"/>
        </w:rPr>
        <w:t>　　(3)日气温超过　　　　℃的高温大于　　　　天；</w:t>
      </w:r>
    </w:p>
    <w:p w14:paraId="69C7A689">
      <w:pPr>
        <w:rPr>
          <w:color w:val="auto"/>
        </w:rPr>
      </w:pPr>
      <w:r>
        <w:rPr>
          <w:rFonts w:hint="eastAsia"/>
          <w:color w:val="auto"/>
        </w:rPr>
        <w:t>　　(4)日气温低于　　　　℃的严寒大于　　　　天；</w:t>
      </w:r>
    </w:p>
    <w:p w14:paraId="59AA10CC">
      <w:pPr>
        <w:rPr>
          <w:color w:val="auto"/>
        </w:rPr>
      </w:pPr>
      <w:r>
        <w:rPr>
          <w:rFonts w:hint="eastAsia"/>
          <w:color w:val="auto"/>
        </w:rPr>
        <w:t>　　(5)造成工程损坏的冰雹和大雪灾害：　　　　；</w:t>
      </w:r>
    </w:p>
    <w:p w14:paraId="465C5E1A">
      <w:pPr>
        <w:rPr>
          <w:color w:val="auto"/>
        </w:rPr>
      </w:pPr>
      <w:r>
        <w:rPr>
          <w:rFonts w:hint="eastAsia"/>
          <w:color w:val="auto"/>
        </w:rPr>
        <w:t>　　(6)其它异常恶劣气候灾害。</w:t>
      </w:r>
    </w:p>
    <w:p w14:paraId="40B6BE91">
      <w:pPr>
        <w:outlineLvl w:val="3"/>
        <w:rPr>
          <w:color w:val="auto"/>
        </w:rPr>
      </w:pPr>
      <w:r>
        <w:rPr>
          <w:rFonts w:hint="eastAsia"/>
          <w:color w:val="auto"/>
        </w:rPr>
        <w:t>　11.5　承包人工期延误</w:t>
      </w:r>
    </w:p>
    <w:p w14:paraId="78B947DD">
      <w:pPr>
        <w:outlineLvl w:val="4"/>
        <w:rPr>
          <w:color w:val="auto"/>
        </w:rPr>
      </w:pPr>
      <w:r>
        <w:rPr>
          <w:rFonts w:hint="eastAsia"/>
          <w:color w:val="auto"/>
        </w:rPr>
        <w:t>　　(1)逾期完工违约金表(参考格式)。</w:t>
      </w:r>
    </w:p>
    <w:tbl>
      <w:tblPr>
        <w:tblStyle w:val="2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3"/>
        <w:gridCol w:w="3570"/>
        <w:gridCol w:w="2336"/>
        <w:gridCol w:w="2173"/>
      </w:tblGrid>
      <w:tr w14:paraId="48195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14:paraId="7923B062">
            <w:pPr>
              <w:jc w:val="center"/>
              <w:rPr>
                <w:color w:val="auto"/>
              </w:rPr>
            </w:pPr>
            <w:r>
              <w:rPr>
                <w:rFonts w:hint="eastAsia"/>
                <w:color w:val="auto"/>
              </w:rPr>
              <w:t>序号</w:t>
            </w:r>
          </w:p>
        </w:tc>
        <w:tc>
          <w:tcPr>
            <w:tcW w:w="3570" w:type="dxa"/>
            <w:vAlign w:val="center"/>
          </w:tcPr>
          <w:p w14:paraId="146E583E">
            <w:pPr>
              <w:jc w:val="center"/>
              <w:rPr>
                <w:color w:val="auto"/>
              </w:rPr>
            </w:pPr>
            <w:r>
              <w:rPr>
                <w:rFonts w:hint="eastAsia"/>
                <w:color w:val="auto"/>
              </w:rPr>
              <w:t>项目及其说明</w:t>
            </w:r>
          </w:p>
        </w:tc>
        <w:tc>
          <w:tcPr>
            <w:tcW w:w="2336" w:type="dxa"/>
            <w:vAlign w:val="center"/>
          </w:tcPr>
          <w:p w14:paraId="76E24652">
            <w:pPr>
              <w:jc w:val="center"/>
              <w:rPr>
                <w:color w:val="auto"/>
              </w:rPr>
            </w:pPr>
            <w:r>
              <w:rPr>
                <w:rFonts w:hint="eastAsia"/>
                <w:color w:val="auto"/>
              </w:rPr>
              <w:t>要求完工日期</w:t>
            </w:r>
          </w:p>
        </w:tc>
        <w:tc>
          <w:tcPr>
            <w:tcW w:w="2173" w:type="dxa"/>
            <w:vAlign w:val="center"/>
          </w:tcPr>
          <w:p w14:paraId="4ADF6A05">
            <w:pPr>
              <w:jc w:val="center"/>
              <w:rPr>
                <w:color w:val="auto"/>
              </w:rPr>
            </w:pPr>
            <w:r>
              <w:rPr>
                <w:rFonts w:hint="eastAsia"/>
                <w:color w:val="auto"/>
              </w:rPr>
              <w:t>违约金(元/天)</w:t>
            </w:r>
          </w:p>
        </w:tc>
      </w:tr>
      <w:tr w14:paraId="09B67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14:paraId="57EC8169">
            <w:pPr>
              <w:jc w:val="center"/>
              <w:rPr>
                <w:color w:val="auto"/>
              </w:rPr>
            </w:pPr>
          </w:p>
        </w:tc>
        <w:tc>
          <w:tcPr>
            <w:tcW w:w="3570" w:type="dxa"/>
            <w:vAlign w:val="center"/>
          </w:tcPr>
          <w:p w14:paraId="1156527E">
            <w:pPr>
              <w:jc w:val="center"/>
              <w:rPr>
                <w:color w:val="auto"/>
              </w:rPr>
            </w:pPr>
          </w:p>
        </w:tc>
        <w:tc>
          <w:tcPr>
            <w:tcW w:w="2336" w:type="dxa"/>
            <w:vAlign w:val="center"/>
          </w:tcPr>
          <w:p w14:paraId="3FDD4B1C">
            <w:pPr>
              <w:jc w:val="center"/>
              <w:rPr>
                <w:color w:val="auto"/>
              </w:rPr>
            </w:pPr>
          </w:p>
        </w:tc>
        <w:tc>
          <w:tcPr>
            <w:tcW w:w="2173" w:type="dxa"/>
            <w:vAlign w:val="center"/>
          </w:tcPr>
          <w:p w14:paraId="5293EAD1">
            <w:pPr>
              <w:jc w:val="center"/>
              <w:rPr>
                <w:color w:val="auto"/>
              </w:rPr>
            </w:pPr>
          </w:p>
        </w:tc>
      </w:tr>
      <w:tr w14:paraId="66C79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14:paraId="55B88D42">
            <w:pPr>
              <w:jc w:val="center"/>
              <w:rPr>
                <w:color w:val="auto"/>
              </w:rPr>
            </w:pPr>
          </w:p>
        </w:tc>
        <w:tc>
          <w:tcPr>
            <w:tcW w:w="3570" w:type="dxa"/>
            <w:vAlign w:val="center"/>
          </w:tcPr>
          <w:p w14:paraId="583D2201">
            <w:pPr>
              <w:jc w:val="center"/>
              <w:rPr>
                <w:color w:val="auto"/>
              </w:rPr>
            </w:pPr>
          </w:p>
        </w:tc>
        <w:tc>
          <w:tcPr>
            <w:tcW w:w="2336" w:type="dxa"/>
            <w:vAlign w:val="center"/>
          </w:tcPr>
          <w:p w14:paraId="0BF34D30">
            <w:pPr>
              <w:jc w:val="center"/>
              <w:rPr>
                <w:color w:val="auto"/>
              </w:rPr>
            </w:pPr>
          </w:p>
        </w:tc>
        <w:tc>
          <w:tcPr>
            <w:tcW w:w="2173" w:type="dxa"/>
            <w:vAlign w:val="center"/>
          </w:tcPr>
          <w:p w14:paraId="1BF28606">
            <w:pPr>
              <w:jc w:val="center"/>
              <w:rPr>
                <w:color w:val="auto"/>
              </w:rPr>
            </w:pPr>
          </w:p>
        </w:tc>
      </w:tr>
    </w:tbl>
    <w:p w14:paraId="7D9F0EA7">
      <w:pPr>
        <w:rPr>
          <w:color w:val="auto"/>
        </w:rPr>
      </w:pPr>
      <w:r>
        <w:rPr>
          <w:rFonts w:hint="eastAsia"/>
          <w:color w:val="auto"/>
        </w:rPr>
        <w:t>　　(2)全部逾期完工违约金的总限额为</w:t>
      </w:r>
      <w:r>
        <w:rPr>
          <w:rFonts w:hint="eastAsia"/>
          <w:color w:val="auto"/>
          <w:u w:val="single"/>
        </w:rPr>
        <w:t>　　　　</w:t>
      </w:r>
      <w:r>
        <w:rPr>
          <w:rFonts w:hint="eastAsia"/>
          <w:color w:val="auto"/>
        </w:rPr>
        <w:t>(不超过签约合同价的</w:t>
      </w:r>
      <w:r>
        <w:rPr>
          <w:rFonts w:hint="eastAsia"/>
          <w:color w:val="auto"/>
          <w:u w:val="single"/>
        </w:rPr>
        <w:t>　</w:t>
      </w:r>
      <w:r>
        <w:rPr>
          <w:rFonts w:hint="eastAsia"/>
          <w:color w:val="auto"/>
        </w:rPr>
        <w:t>%)。</w:t>
      </w:r>
    </w:p>
    <w:p w14:paraId="5ACC45CA">
      <w:pPr>
        <w:outlineLvl w:val="3"/>
        <w:rPr>
          <w:color w:val="auto"/>
        </w:rPr>
      </w:pPr>
      <w:r>
        <w:rPr>
          <w:rFonts w:hint="eastAsia"/>
          <w:color w:val="auto"/>
        </w:rPr>
        <w:t>　11.6　工期提前</w:t>
      </w:r>
    </w:p>
    <w:p w14:paraId="37A5DADB">
      <w:pPr>
        <w:rPr>
          <w:color w:val="auto"/>
        </w:rPr>
      </w:pPr>
      <w:r>
        <w:rPr>
          <w:rFonts w:hint="eastAsia"/>
          <w:color w:val="auto"/>
        </w:rPr>
        <w:t>　　工期提前的奖金约定：</w:t>
      </w:r>
      <w:r>
        <w:rPr>
          <w:rFonts w:hint="eastAsia"/>
          <w:color w:val="auto"/>
          <w:u w:val="single"/>
        </w:rPr>
        <w:t>　　　　</w:t>
      </w:r>
      <w:r>
        <w:rPr>
          <w:rFonts w:hint="eastAsia"/>
          <w:color w:val="auto"/>
        </w:rPr>
        <w:t>。</w:t>
      </w:r>
    </w:p>
    <w:p w14:paraId="3A4F46F4">
      <w:pPr>
        <w:outlineLvl w:val="2"/>
        <w:rPr>
          <w:b/>
          <w:color w:val="auto"/>
        </w:rPr>
      </w:pPr>
      <w:bookmarkStart w:id="1081" w:name="第04章合同条款及格式0212"/>
      <w:bookmarkEnd w:id="1081"/>
      <w:r>
        <w:rPr>
          <w:rFonts w:hint="eastAsia"/>
          <w:b/>
          <w:color w:val="auto"/>
        </w:rPr>
        <w:t>12　暂停施工</w:t>
      </w:r>
    </w:p>
    <w:p w14:paraId="22FD994D">
      <w:pPr>
        <w:outlineLvl w:val="3"/>
        <w:rPr>
          <w:color w:val="auto"/>
        </w:rPr>
      </w:pPr>
      <w:r>
        <w:rPr>
          <w:rFonts w:hint="eastAsia"/>
          <w:color w:val="auto"/>
        </w:rPr>
        <w:t>　12.1　承包人暂停施工的责任</w:t>
      </w:r>
    </w:p>
    <w:p w14:paraId="7693A6EE">
      <w:pPr>
        <w:outlineLvl w:val="4"/>
        <w:rPr>
          <w:color w:val="auto"/>
        </w:rPr>
      </w:pPr>
      <w:r>
        <w:rPr>
          <w:rFonts w:hint="eastAsia"/>
          <w:color w:val="auto"/>
        </w:rPr>
        <w:t>　　(5)承包人承担暂停施工责任的其它情形：</w:t>
      </w:r>
      <w:r>
        <w:rPr>
          <w:rFonts w:hint="eastAsia"/>
          <w:color w:val="auto"/>
          <w:u w:val="single"/>
        </w:rPr>
        <w:t>　　　　　</w:t>
      </w:r>
      <w:r>
        <w:rPr>
          <w:rFonts w:hint="eastAsia"/>
          <w:color w:val="auto"/>
        </w:rPr>
        <w:t>。</w:t>
      </w:r>
    </w:p>
    <w:p w14:paraId="1B99B279">
      <w:pPr>
        <w:outlineLvl w:val="3"/>
        <w:rPr>
          <w:color w:val="auto"/>
        </w:rPr>
      </w:pPr>
      <w:r>
        <w:rPr>
          <w:rFonts w:hint="eastAsia"/>
          <w:color w:val="auto"/>
        </w:rPr>
        <w:t>　12.2　发包人暂停施工的责任</w:t>
      </w:r>
    </w:p>
    <w:p w14:paraId="7DB3711E">
      <w:pPr>
        <w:outlineLvl w:val="4"/>
        <w:rPr>
          <w:color w:val="auto"/>
        </w:rPr>
      </w:pPr>
      <w:r>
        <w:rPr>
          <w:rFonts w:hint="eastAsia"/>
          <w:color w:val="auto"/>
        </w:rPr>
        <w:t>　　(3)发包人承担暂停施工责任的其它情形：</w:t>
      </w:r>
      <w:r>
        <w:rPr>
          <w:rFonts w:hint="eastAsia"/>
          <w:color w:val="auto"/>
          <w:u w:val="single"/>
        </w:rPr>
        <w:t>　　　　　</w:t>
      </w:r>
      <w:r>
        <w:rPr>
          <w:rFonts w:hint="eastAsia"/>
          <w:color w:val="auto"/>
        </w:rPr>
        <w:t>。</w:t>
      </w:r>
    </w:p>
    <w:p w14:paraId="1E2C1E8A">
      <w:pPr>
        <w:outlineLvl w:val="2"/>
        <w:rPr>
          <w:b/>
          <w:color w:val="auto"/>
        </w:rPr>
      </w:pPr>
      <w:bookmarkStart w:id="1082" w:name="第04章合同条款及格式0213"/>
      <w:bookmarkEnd w:id="1082"/>
      <w:r>
        <w:rPr>
          <w:rFonts w:hint="eastAsia"/>
          <w:b/>
          <w:color w:val="auto"/>
        </w:rPr>
        <w:t>13　工程质量</w:t>
      </w:r>
    </w:p>
    <w:p w14:paraId="52B2F52E">
      <w:pPr>
        <w:outlineLvl w:val="3"/>
        <w:rPr>
          <w:color w:val="auto"/>
        </w:rPr>
      </w:pPr>
      <w:r>
        <w:rPr>
          <w:rFonts w:hint="eastAsia"/>
          <w:color w:val="auto"/>
        </w:rPr>
        <w:t>　13.7　质量评定</w:t>
      </w:r>
    </w:p>
    <w:p w14:paraId="74557B9A">
      <w:pPr>
        <w:rPr>
          <w:color w:val="auto"/>
        </w:rPr>
      </w:pPr>
      <w:r>
        <w:rPr>
          <w:rFonts w:hint="eastAsia"/>
          <w:color w:val="auto"/>
        </w:rPr>
        <w:t>　　13.7.4　重要隐蔽单元工程和关键部位单元工程质量评定的约定：　　　　。</w:t>
      </w:r>
    </w:p>
    <w:p w14:paraId="5B147FB4">
      <w:pPr>
        <w:rPr>
          <w:color w:val="auto"/>
        </w:rPr>
      </w:pPr>
      <w:r>
        <w:rPr>
          <w:rFonts w:hint="eastAsia"/>
          <w:color w:val="auto"/>
        </w:rPr>
        <w:t>　　13.7.7　工程合格标准为：　　　　　；优良标准为：　　　　。达到优良的奖金为：　　　　　。</w:t>
      </w:r>
    </w:p>
    <w:p w14:paraId="70D48761">
      <w:pPr>
        <w:outlineLvl w:val="3"/>
        <w:rPr>
          <w:color w:val="auto"/>
        </w:rPr>
      </w:pPr>
      <w:r>
        <w:rPr>
          <w:rFonts w:hint="eastAsia"/>
          <w:color w:val="auto"/>
        </w:rPr>
        <w:t>　13.8　质量事故处理</w:t>
      </w:r>
    </w:p>
    <w:p w14:paraId="7AEB351F">
      <w:pPr>
        <w:rPr>
          <w:color w:val="auto"/>
        </w:rPr>
      </w:pPr>
      <w:r>
        <w:rPr>
          <w:rFonts w:hint="eastAsia"/>
          <w:color w:val="auto"/>
        </w:rPr>
        <w:t>　　13.8.4　工程竣工验收时，　　　　　向竣工验收委员会汇报并提交历次质量缺陷处理的备案资料。</w:t>
      </w:r>
    </w:p>
    <w:p w14:paraId="0FFAC392">
      <w:pPr>
        <w:outlineLvl w:val="2"/>
        <w:rPr>
          <w:b/>
          <w:color w:val="auto"/>
        </w:rPr>
      </w:pPr>
      <w:bookmarkStart w:id="1083" w:name="第04章合同条款及格式0214"/>
      <w:bookmarkEnd w:id="1083"/>
      <w:r>
        <w:rPr>
          <w:rFonts w:hint="eastAsia"/>
          <w:b/>
          <w:color w:val="auto"/>
        </w:rPr>
        <w:t>14　试验和检验</w:t>
      </w:r>
    </w:p>
    <w:p w14:paraId="77B1BDD8">
      <w:pPr>
        <w:outlineLvl w:val="3"/>
        <w:rPr>
          <w:color w:val="auto"/>
        </w:rPr>
      </w:pPr>
      <w:r>
        <w:rPr>
          <w:rFonts w:hint="eastAsia"/>
          <w:color w:val="auto"/>
        </w:rPr>
        <w:t>　14.1　材料、工程设备和工程的试验和检验</w:t>
      </w:r>
    </w:p>
    <w:p w14:paraId="0F4E029C">
      <w:pPr>
        <w:rPr>
          <w:color w:val="auto"/>
        </w:rPr>
      </w:pPr>
      <w:r>
        <w:rPr>
          <w:rFonts w:hint="eastAsia"/>
          <w:color w:val="auto"/>
        </w:rPr>
        <w:t>　　14.1.5　水工金属结构、启闭机及机电产品进场后的交货检查和验收中，承包人负责　　　　　。</w:t>
      </w:r>
    </w:p>
    <w:p w14:paraId="34929E86">
      <w:pPr>
        <w:rPr>
          <w:color w:val="auto"/>
        </w:rPr>
      </w:pPr>
      <w:r>
        <w:rPr>
          <w:rFonts w:hint="eastAsia"/>
          <w:color w:val="auto"/>
        </w:rPr>
        <w:t>　　14.1.6　本工程实行见证取样的试块、试件及有关材料：　　　　　　。</w:t>
      </w:r>
    </w:p>
    <w:p w14:paraId="16BCDDA8">
      <w:pPr>
        <w:outlineLvl w:val="2"/>
        <w:rPr>
          <w:b/>
          <w:color w:val="auto"/>
        </w:rPr>
      </w:pPr>
      <w:bookmarkStart w:id="1084" w:name="第04章合同条款及格式0215"/>
      <w:bookmarkEnd w:id="1084"/>
      <w:r>
        <w:rPr>
          <w:rFonts w:hint="eastAsia"/>
          <w:b/>
          <w:color w:val="auto"/>
        </w:rPr>
        <w:t>15　变更</w:t>
      </w:r>
    </w:p>
    <w:p w14:paraId="2D534925">
      <w:pPr>
        <w:outlineLvl w:val="3"/>
        <w:rPr>
          <w:color w:val="auto"/>
        </w:rPr>
      </w:pPr>
      <w:r>
        <w:rPr>
          <w:rFonts w:hint="eastAsia"/>
          <w:color w:val="auto"/>
        </w:rPr>
        <w:t>　15.1　变更的范围和内容</w:t>
      </w:r>
    </w:p>
    <w:p w14:paraId="3FA2D279">
      <w:pPr>
        <w:rPr>
          <w:color w:val="auto"/>
        </w:rPr>
      </w:pPr>
      <w:r>
        <w:rPr>
          <w:rFonts w:hint="eastAsia"/>
          <w:color w:val="auto"/>
        </w:rPr>
        <w:t>　　(6)增加或减少合同中关键项目的工程量超过其工程总量的　　　　%，关键项目：　　　　，单价调整方式：　　　　　。</w:t>
      </w:r>
    </w:p>
    <w:p w14:paraId="37913357">
      <w:pPr>
        <w:outlineLvl w:val="3"/>
        <w:rPr>
          <w:color w:val="auto"/>
        </w:rPr>
      </w:pPr>
      <w:r>
        <w:rPr>
          <w:rFonts w:hint="eastAsia"/>
          <w:color w:val="auto"/>
        </w:rPr>
        <w:t>　15.5　承包人的合理化建议</w:t>
      </w:r>
    </w:p>
    <w:p w14:paraId="0039FBE9">
      <w:pPr>
        <w:rPr>
          <w:color w:val="auto"/>
        </w:rPr>
      </w:pPr>
      <w:r>
        <w:rPr>
          <w:rFonts w:hint="eastAsia"/>
          <w:color w:val="auto"/>
        </w:rPr>
        <w:t>　　15.5.2　承包人实现合理化建议的奖励金额为：　　　　　　　　。</w:t>
      </w:r>
    </w:p>
    <w:p w14:paraId="0DA769F5">
      <w:pPr>
        <w:outlineLvl w:val="3"/>
        <w:rPr>
          <w:color w:val="auto"/>
        </w:rPr>
      </w:pPr>
      <w:r>
        <w:rPr>
          <w:rFonts w:hint="eastAsia"/>
          <w:color w:val="auto"/>
        </w:rPr>
        <w:t>　15.8　暂估价</w:t>
      </w:r>
    </w:p>
    <w:p w14:paraId="15A07F89">
      <w:pPr>
        <w:rPr>
          <w:color w:val="auto"/>
        </w:rPr>
      </w:pPr>
      <w:r>
        <w:rPr>
          <w:rFonts w:hint="eastAsia"/>
          <w:color w:val="auto"/>
        </w:rPr>
        <w:t>　　15.8.1　(1)发包人和承包人组织招标的暂估价项目：　　　　　(签约后填入)；发包人组织招标的暂估价项目：　　　　　(签约后填入)。</w:t>
      </w:r>
    </w:p>
    <w:p w14:paraId="23FF68E6">
      <w:pPr>
        <w:rPr>
          <w:color w:val="auto"/>
        </w:rPr>
      </w:pPr>
      <w:r>
        <w:rPr>
          <w:rFonts w:hint="eastAsia"/>
          <w:color w:val="auto"/>
        </w:rPr>
        <w:t>　　(2)发包人和承包人以招标方式选择暂估价项目供应商或分包人时，双方的权利义务关系：　　　　　。</w:t>
      </w:r>
    </w:p>
    <w:p w14:paraId="50570DF7">
      <w:pPr>
        <w:outlineLvl w:val="2"/>
        <w:rPr>
          <w:b/>
          <w:color w:val="auto"/>
        </w:rPr>
      </w:pPr>
      <w:bookmarkStart w:id="1085" w:name="第04章合同条款及格式0216"/>
      <w:bookmarkEnd w:id="1085"/>
      <w:r>
        <w:rPr>
          <w:rFonts w:hint="eastAsia"/>
          <w:b/>
          <w:color w:val="auto"/>
        </w:rPr>
        <w:t>16　价格调整</w:t>
      </w:r>
    </w:p>
    <w:p w14:paraId="3E4F7F5B">
      <w:pPr>
        <w:outlineLvl w:val="3"/>
        <w:rPr>
          <w:color w:val="auto"/>
        </w:rPr>
      </w:pPr>
      <w:r>
        <w:rPr>
          <w:rFonts w:hint="eastAsia"/>
          <w:color w:val="auto"/>
        </w:rPr>
        <w:t>　16.1　物价波动引起的价格调整</w:t>
      </w:r>
    </w:p>
    <w:p w14:paraId="3D0B8368">
      <w:pPr>
        <w:rPr>
          <w:color w:val="auto"/>
        </w:rPr>
      </w:pPr>
      <w:r>
        <w:rPr>
          <w:rFonts w:hint="eastAsia"/>
          <w:color w:val="auto"/>
        </w:rPr>
        <w:t>　　物价波动引起的价格调整方式：　　　　。</w:t>
      </w:r>
    </w:p>
    <w:p w14:paraId="10B3343A">
      <w:pPr>
        <w:outlineLvl w:val="4"/>
        <w:rPr>
          <w:color w:val="auto"/>
        </w:rPr>
      </w:pPr>
      <w:r>
        <w:rPr>
          <w:rFonts w:hint="eastAsia"/>
          <w:color w:val="auto"/>
        </w:rPr>
        <w:t>　　16.1.2　采用造价信息调整价格差额</w:t>
      </w:r>
    </w:p>
    <w:p w14:paraId="619128FC">
      <w:pPr>
        <w:rPr>
          <w:color w:val="auto"/>
        </w:rPr>
      </w:pPr>
      <w:r>
        <w:rPr>
          <w:rFonts w:hint="eastAsia"/>
          <w:color w:val="auto"/>
        </w:rPr>
        <w:t>　　工程造价信息的来源：　　　　　。</w:t>
      </w:r>
    </w:p>
    <w:p w14:paraId="322D030B">
      <w:pPr>
        <w:rPr>
          <w:color w:val="auto"/>
        </w:rPr>
      </w:pPr>
      <w:r>
        <w:rPr>
          <w:rFonts w:hint="eastAsia"/>
          <w:color w:val="auto"/>
        </w:rPr>
        <w:t>　　价格调整的项目和系数：　　　　　。</w:t>
      </w:r>
    </w:p>
    <w:p w14:paraId="320DB948">
      <w:pPr>
        <w:outlineLvl w:val="2"/>
        <w:rPr>
          <w:b/>
          <w:color w:val="auto"/>
        </w:rPr>
      </w:pPr>
      <w:bookmarkStart w:id="1086" w:name="第04章合同条款及格式0217"/>
      <w:bookmarkEnd w:id="1086"/>
      <w:r>
        <w:rPr>
          <w:rFonts w:hint="eastAsia"/>
          <w:b/>
          <w:color w:val="auto"/>
        </w:rPr>
        <w:t>17　计量与支付</w:t>
      </w:r>
    </w:p>
    <w:p w14:paraId="623AF1E2">
      <w:pPr>
        <w:outlineLvl w:val="3"/>
        <w:rPr>
          <w:color w:val="auto"/>
        </w:rPr>
      </w:pPr>
      <w:r>
        <w:rPr>
          <w:rFonts w:hint="eastAsia"/>
          <w:color w:val="auto"/>
        </w:rPr>
        <w:t>　17.2　预付款</w:t>
      </w:r>
    </w:p>
    <w:p w14:paraId="41A6E434">
      <w:pPr>
        <w:outlineLvl w:val="4"/>
        <w:rPr>
          <w:color w:val="auto"/>
        </w:rPr>
      </w:pPr>
      <w:r>
        <w:rPr>
          <w:rFonts w:hint="eastAsia"/>
          <w:color w:val="auto"/>
        </w:rPr>
        <w:t>　　17.2.1　预付款：</w:t>
      </w:r>
    </w:p>
    <w:p w14:paraId="2F13C01C">
      <w:pPr>
        <w:rPr>
          <w:color w:val="auto"/>
        </w:rPr>
      </w:pPr>
      <w:r>
        <w:rPr>
          <w:rFonts w:hint="eastAsia"/>
          <w:color w:val="auto"/>
        </w:rPr>
        <w:t>　　(1)工程预付款的总金额为签约合同价的　　　　%，分　　　　次支付给承包人。</w:t>
      </w:r>
    </w:p>
    <w:p w14:paraId="1A2497C8">
      <w:pPr>
        <w:rPr>
          <w:color w:val="auto"/>
        </w:rPr>
      </w:pPr>
      <w:r>
        <w:rPr>
          <w:rFonts w:hint="eastAsia"/>
          <w:color w:val="auto"/>
        </w:rPr>
        <w:t>　　各次预付款的支付额度和付款时间为：</w:t>
      </w:r>
    </w:p>
    <w:p w14:paraId="2FC20975">
      <w:pPr>
        <w:rPr>
          <w:color w:val="auto"/>
        </w:rPr>
      </w:pPr>
      <w:r>
        <w:rPr>
          <w:rFonts w:hint="eastAsia"/>
          <w:color w:val="auto"/>
        </w:rPr>
        <w:t>　　1)第一次预付款金额为工程预付款总金额的　　　%，付款时间应在合同协议书签订后，由承包人向发包人提交了发包人认可的工程预付款担保，并经监理人出具付款证书报送发包人批准后14天内予以支付。</w:t>
      </w:r>
    </w:p>
    <w:p w14:paraId="29F18277">
      <w:pPr>
        <w:rPr>
          <w:color w:val="auto"/>
        </w:rPr>
      </w:pPr>
      <w:r>
        <w:rPr>
          <w:rFonts w:hint="eastAsia"/>
          <w:color w:val="auto"/>
        </w:rPr>
        <w:t>　　2)第二次预付款金额为工程预付款总金额的　　%。付款时间需待承包人主要设备进入工地后，其估算价值已达到本次预付款金额时，由承包人提出书面申请，经监理人核实后出具付款证书报送发包人批准后14天内予以支付。</w:t>
      </w:r>
    </w:p>
    <w:p w14:paraId="010177E6">
      <w:pPr>
        <w:rPr>
          <w:color w:val="auto"/>
        </w:rPr>
      </w:pPr>
      <w:r>
        <w:rPr>
          <w:rFonts w:hint="eastAsia"/>
          <w:color w:val="auto"/>
        </w:rPr>
        <w:t>　　3)第三次预付款……。</w:t>
      </w:r>
    </w:p>
    <w:p w14:paraId="6659EE61">
      <w:pPr>
        <w:rPr>
          <w:color w:val="auto"/>
        </w:rPr>
      </w:pPr>
      <w:r>
        <w:rPr>
          <w:rFonts w:hint="eastAsia"/>
          <w:color w:val="auto"/>
        </w:rPr>
        <w:t>　　……</w:t>
      </w:r>
    </w:p>
    <w:p w14:paraId="72DCC4F3">
      <w:pPr>
        <w:rPr>
          <w:color w:val="auto"/>
        </w:rPr>
      </w:pPr>
      <w:r>
        <w:rPr>
          <w:rFonts w:hint="eastAsia"/>
          <w:color w:val="auto"/>
        </w:rPr>
        <w:t>　　(2)工程材料预付款的额度和预付办法约定为：　　　。</w:t>
      </w:r>
    </w:p>
    <w:p w14:paraId="4CB46D35">
      <w:pPr>
        <w:outlineLvl w:val="4"/>
        <w:rPr>
          <w:color w:val="auto"/>
        </w:rPr>
      </w:pPr>
      <w:r>
        <w:rPr>
          <w:rFonts w:hint="eastAsia"/>
          <w:color w:val="auto"/>
        </w:rPr>
        <w:t>　　17.2.2　预付款保函(担保)</w:t>
      </w:r>
    </w:p>
    <w:p w14:paraId="471BD6F9">
      <w:pPr>
        <w:rPr>
          <w:color w:val="auto"/>
        </w:rPr>
      </w:pPr>
      <w:r>
        <w:rPr>
          <w:rFonts w:hint="eastAsia"/>
          <w:color w:val="auto"/>
        </w:rPr>
        <w:t>　　(2)工程材料预付款的担保约定为：　　　。</w:t>
      </w:r>
    </w:p>
    <w:p w14:paraId="76431B31">
      <w:pPr>
        <w:outlineLvl w:val="4"/>
        <w:rPr>
          <w:color w:val="auto"/>
        </w:rPr>
      </w:pPr>
      <w:r>
        <w:rPr>
          <w:rFonts w:hint="eastAsia"/>
          <w:color w:val="auto"/>
        </w:rPr>
        <w:t>　　17.2.3　预付款的扣回与还清</w:t>
      </w:r>
    </w:p>
    <w:p w14:paraId="62E03F78">
      <w:pPr>
        <w:rPr>
          <w:color w:val="auto"/>
        </w:rPr>
      </w:pPr>
      <w:r>
        <w:rPr>
          <w:rFonts w:hint="eastAsia"/>
          <w:color w:val="auto"/>
        </w:rPr>
        <w:t>　　(1)工程预付款在合同累计完成金额达到签约合同价的　　%时开始扣款，直至合同累计完成金额达到签约合同价的%时全部扣清。</w:t>
      </w:r>
    </w:p>
    <w:p w14:paraId="26CC2D09">
      <w:pPr>
        <w:rPr>
          <w:color w:val="auto"/>
        </w:rPr>
      </w:pPr>
      <w:r>
        <w:rPr>
          <w:rFonts w:hint="eastAsia"/>
          <w:color w:val="auto"/>
        </w:rPr>
        <w:t>　　　　　　　　　　　　　　　　　</w:t>
      </w:r>
      <m:oMath>
        <m:r>
          <m:rPr>
            <m:sty m:val="p"/>
          </m:rPr>
          <w:rPr>
            <w:rFonts w:ascii="Cambria Math" w:hAnsi="Cambria Math"/>
            <w:color w:val="auto"/>
          </w:rPr>
          <m:t>R=</m:t>
        </m:r>
        <m:f>
          <m:fPr>
            <m:ctrlPr>
              <w:rPr>
                <w:rFonts w:ascii="Cambria Math" w:hAnsi="Cambria Math"/>
                <w:color w:val="auto"/>
              </w:rPr>
            </m:ctrlPr>
          </m:fPr>
          <m:num>
            <m:r>
              <m:rPr>
                <m:sty m:val="p"/>
              </m:rPr>
              <w:rPr>
                <w:rFonts w:ascii="Cambria Math" w:hAnsi="Cambria Math" w:cs="Cambria Math"/>
                <w:color w:val="auto"/>
              </w:rPr>
              <m:t>A</m:t>
            </m:r>
            <m:ctrlPr>
              <w:rPr>
                <w:rFonts w:ascii="Cambria Math" w:hAnsi="Cambria Math"/>
                <w:color w:val="auto"/>
              </w:rPr>
            </m:ctrlPr>
          </m:num>
          <m:den>
            <m:d>
              <m:dPr>
                <m:ctrlPr>
                  <w:rPr>
                    <w:rFonts w:ascii="Cambria Math" w:hAnsi="Cambria Math" w:cs="Cambria Math"/>
                    <w:color w:val="auto"/>
                  </w:rPr>
                </m:ctrlPr>
              </m:dPr>
              <m:e>
                <m:r>
                  <m:rPr>
                    <m:sty m:val="p"/>
                  </m:rPr>
                  <w:rPr>
                    <w:rFonts w:ascii="Cambria Math" w:hAnsi="Cambria Math" w:cs="Cambria Math"/>
                    <w:color w:val="auto"/>
                  </w:rPr>
                  <m:t>F2−F1</m:t>
                </m:r>
                <m:ctrlPr>
                  <w:rPr>
                    <w:rFonts w:ascii="Cambria Math" w:hAnsi="Cambria Math" w:cs="Cambria Math"/>
                    <w:color w:val="auto"/>
                  </w:rPr>
                </m:ctrlPr>
              </m:e>
            </m:d>
            <m:r>
              <m:rPr>
                <m:sty m:val="p"/>
              </m:rPr>
              <w:rPr>
                <w:rFonts w:ascii="Cambria Math" w:hAnsi="Cambria Math" w:cs="Cambria Math"/>
                <w:color w:val="auto"/>
              </w:rPr>
              <m:t>S</m:t>
            </m:r>
            <m:ctrlPr>
              <w:rPr>
                <w:rFonts w:ascii="Cambria Math" w:hAnsi="Cambria Math"/>
                <w:color w:val="auto"/>
              </w:rPr>
            </m:ctrlPr>
          </m:den>
        </m:f>
        <m:r>
          <m:rPr>
            <m:sty m:val="p"/>
          </m:rPr>
          <w:rPr>
            <w:rFonts w:ascii="Cambria Math" w:hAnsi="Cambria Math"/>
            <w:color w:val="auto"/>
          </w:rPr>
          <m:t>(C−F1S)</m:t>
        </m:r>
      </m:oMath>
    </w:p>
    <w:p w14:paraId="66879E74">
      <w:pPr>
        <w:rPr>
          <w:color w:val="auto"/>
        </w:rPr>
      </w:pPr>
      <w:r>
        <w:rPr>
          <w:rFonts w:hint="eastAsia"/>
          <w:color w:val="auto"/>
        </w:rPr>
        <w:t>式中　R——每次进度付款中累计扣回的金额；</w:t>
      </w:r>
    </w:p>
    <w:p w14:paraId="4CA88496">
      <w:pPr>
        <w:rPr>
          <w:color w:val="auto"/>
        </w:rPr>
      </w:pPr>
      <w:r>
        <w:rPr>
          <w:rFonts w:hint="eastAsia"/>
          <w:color w:val="auto"/>
        </w:rPr>
        <w:t>　　　A——工程预付款总金额；</w:t>
      </w:r>
    </w:p>
    <w:p w14:paraId="67EFD576">
      <w:pPr>
        <w:rPr>
          <w:color w:val="auto"/>
        </w:rPr>
      </w:pPr>
      <w:r>
        <w:rPr>
          <w:rFonts w:hint="eastAsia"/>
          <w:color w:val="auto"/>
        </w:rPr>
        <w:t>　　　S——签约合同价；</w:t>
      </w:r>
    </w:p>
    <w:p w14:paraId="0C674D51">
      <w:pPr>
        <w:rPr>
          <w:color w:val="auto"/>
        </w:rPr>
      </w:pPr>
      <w:r>
        <w:rPr>
          <w:rFonts w:hint="eastAsia"/>
          <w:color w:val="auto"/>
        </w:rPr>
        <w:t>　　　C——合同累计完成金额；</w:t>
      </w:r>
    </w:p>
    <w:p w14:paraId="05E33265">
      <w:pPr>
        <w:rPr>
          <w:color w:val="auto"/>
        </w:rPr>
      </w:pPr>
      <w:r>
        <w:rPr>
          <w:rFonts w:hint="eastAsia"/>
          <w:color w:val="auto"/>
        </w:rPr>
        <w:t>　　　F1——开始扣款时合同累计完成金额达到签约合同价的比例；</w:t>
      </w:r>
    </w:p>
    <w:p w14:paraId="0A2EEF2B">
      <w:pPr>
        <w:rPr>
          <w:color w:val="auto"/>
        </w:rPr>
      </w:pPr>
      <w:r>
        <w:rPr>
          <w:rFonts w:hint="eastAsia"/>
          <w:color w:val="auto"/>
        </w:rPr>
        <w:t>　　　F2——全部扣清时合同累计完成金额达到签约合同价的比例。</w:t>
      </w:r>
    </w:p>
    <w:p w14:paraId="364D3C23">
      <w:pPr>
        <w:rPr>
          <w:color w:val="auto"/>
        </w:rPr>
      </w:pPr>
      <w:r>
        <w:rPr>
          <w:rFonts w:hint="eastAsia"/>
          <w:color w:val="auto"/>
        </w:rPr>
        <w:t>　　上述合同累计完成金额均指价格调整前未扣质量保证金的金额。</w:t>
      </w:r>
    </w:p>
    <w:p w14:paraId="012B8789">
      <w:pPr>
        <w:rPr>
          <w:color w:val="auto"/>
        </w:rPr>
      </w:pPr>
      <w:r>
        <w:rPr>
          <w:rFonts w:hint="eastAsia"/>
          <w:color w:val="auto"/>
        </w:rPr>
        <w:t>　　(2)工程材料预付款的扣回与还清约定为：　　　　。</w:t>
      </w:r>
    </w:p>
    <w:p w14:paraId="0B7EB4D6">
      <w:pPr>
        <w:outlineLvl w:val="3"/>
        <w:rPr>
          <w:color w:val="auto"/>
        </w:rPr>
      </w:pPr>
      <w:r>
        <w:rPr>
          <w:rFonts w:hint="eastAsia"/>
          <w:color w:val="auto"/>
        </w:rPr>
        <w:t>　17.4　质量保证金</w:t>
      </w:r>
    </w:p>
    <w:p w14:paraId="7C629A88">
      <w:pPr>
        <w:rPr>
          <w:color w:val="auto"/>
        </w:rPr>
      </w:pPr>
      <w:r>
        <w:rPr>
          <w:rFonts w:hint="eastAsia"/>
          <w:color w:val="auto"/>
        </w:rPr>
        <w:t>　　17.4.1　每个付款周期扣留的质量保证金为工程进度付款的　　　　%，扣留的质量保证金总额为签约合同价的　　　　%。</w:t>
      </w:r>
    </w:p>
    <w:p w14:paraId="7F27FF61">
      <w:pPr>
        <w:outlineLvl w:val="3"/>
        <w:rPr>
          <w:color w:val="auto"/>
        </w:rPr>
      </w:pPr>
      <w:r>
        <w:rPr>
          <w:rFonts w:hint="eastAsia"/>
          <w:color w:val="auto"/>
        </w:rPr>
        <w:t>　17.5　竣工(完工)结算</w:t>
      </w:r>
    </w:p>
    <w:p w14:paraId="420E512A">
      <w:pPr>
        <w:outlineLvl w:val="4"/>
        <w:rPr>
          <w:color w:val="auto"/>
        </w:rPr>
      </w:pPr>
      <w:r>
        <w:rPr>
          <w:rFonts w:hint="eastAsia"/>
          <w:color w:val="auto"/>
        </w:rPr>
        <w:t>　　17.5.1　竣工(完工)付款申请单</w:t>
      </w:r>
    </w:p>
    <w:p w14:paraId="062F9901">
      <w:pPr>
        <w:rPr>
          <w:color w:val="auto"/>
        </w:rPr>
      </w:pPr>
      <w:r>
        <w:rPr>
          <w:rFonts w:hint="eastAsia"/>
          <w:color w:val="auto"/>
        </w:rPr>
        <w:t>　　(1)承包人应提交完工付款申请单一式　　　　份。</w:t>
      </w:r>
    </w:p>
    <w:p w14:paraId="44646A5A">
      <w:pPr>
        <w:outlineLvl w:val="3"/>
        <w:rPr>
          <w:color w:val="auto"/>
        </w:rPr>
      </w:pPr>
      <w:r>
        <w:rPr>
          <w:rFonts w:hint="eastAsia"/>
          <w:color w:val="auto"/>
        </w:rPr>
        <w:t>　17.6　最终结清</w:t>
      </w:r>
    </w:p>
    <w:p w14:paraId="29A75C22">
      <w:pPr>
        <w:outlineLvl w:val="4"/>
        <w:rPr>
          <w:color w:val="auto"/>
        </w:rPr>
      </w:pPr>
      <w:r>
        <w:rPr>
          <w:rFonts w:hint="eastAsia"/>
          <w:color w:val="auto"/>
        </w:rPr>
        <w:t>　　17.6.1　最终结清申请单</w:t>
      </w:r>
    </w:p>
    <w:p w14:paraId="4B643478">
      <w:pPr>
        <w:rPr>
          <w:color w:val="auto"/>
        </w:rPr>
      </w:pPr>
      <w:r>
        <w:rPr>
          <w:rFonts w:hint="eastAsia"/>
          <w:color w:val="auto"/>
        </w:rPr>
        <w:t>　　(1)承包人应提交最终结清申请单一式　　　份。</w:t>
      </w:r>
    </w:p>
    <w:p w14:paraId="56E79E47">
      <w:pPr>
        <w:outlineLvl w:val="3"/>
        <w:rPr>
          <w:color w:val="auto"/>
        </w:rPr>
      </w:pPr>
      <w:r>
        <w:rPr>
          <w:rFonts w:hint="eastAsia"/>
          <w:color w:val="auto"/>
        </w:rPr>
        <w:t>　17.7　竣工财务决算</w:t>
      </w:r>
    </w:p>
    <w:p w14:paraId="79BFAE48">
      <w:pPr>
        <w:rPr>
          <w:color w:val="auto"/>
        </w:rPr>
      </w:pPr>
      <w:r>
        <w:rPr>
          <w:rFonts w:hint="eastAsia"/>
          <w:color w:val="auto"/>
        </w:rPr>
        <w:t>　　承包人应为竣工财务决算编制提供的资料：　　　　　。</w:t>
      </w:r>
    </w:p>
    <w:p w14:paraId="3DD3B1C3">
      <w:pPr>
        <w:outlineLvl w:val="2"/>
        <w:rPr>
          <w:b/>
          <w:color w:val="auto"/>
        </w:rPr>
      </w:pPr>
      <w:bookmarkStart w:id="1087" w:name="第04章合同条款及格式0218"/>
      <w:bookmarkEnd w:id="1087"/>
      <w:r>
        <w:rPr>
          <w:rFonts w:hint="eastAsia"/>
          <w:b/>
          <w:color w:val="auto"/>
        </w:rPr>
        <w:t>18　竣工验收(验收)</w:t>
      </w:r>
    </w:p>
    <w:p w14:paraId="157CE991">
      <w:pPr>
        <w:outlineLvl w:val="3"/>
        <w:rPr>
          <w:color w:val="auto"/>
        </w:rPr>
      </w:pPr>
      <w:r>
        <w:rPr>
          <w:rFonts w:hint="eastAsia"/>
          <w:color w:val="auto"/>
        </w:rPr>
        <w:t>　18.1　验收工作分类</w:t>
      </w:r>
    </w:p>
    <w:p w14:paraId="07A14F42">
      <w:pPr>
        <w:rPr>
          <w:color w:val="auto"/>
        </w:rPr>
      </w:pPr>
      <w:r>
        <w:rPr>
          <w:rFonts w:hint="eastAsia"/>
          <w:color w:val="auto"/>
        </w:rPr>
        <w:t>　　本工程法人验收包括：　　　　；政府验收包括：　　　　。验收条件为：　　　　　，验收程序为：　　　　。</w:t>
      </w:r>
    </w:p>
    <w:p w14:paraId="64C4DB82">
      <w:pPr>
        <w:outlineLvl w:val="3"/>
        <w:rPr>
          <w:color w:val="auto"/>
        </w:rPr>
      </w:pPr>
      <w:r>
        <w:rPr>
          <w:rFonts w:hint="eastAsia"/>
          <w:color w:val="auto"/>
        </w:rPr>
        <w:t>　18.2　分部工程验收</w:t>
      </w:r>
    </w:p>
    <w:p w14:paraId="729BEC9A">
      <w:pPr>
        <w:rPr>
          <w:color w:val="auto"/>
        </w:rPr>
      </w:pPr>
      <w:r>
        <w:rPr>
          <w:rFonts w:hint="eastAsia"/>
          <w:color w:val="auto"/>
        </w:rPr>
        <w:t>　　18.2.2　本工程由发包人主持的分部工程验收为　　　　，其余由监理人主持。</w:t>
      </w:r>
    </w:p>
    <w:p w14:paraId="4CB411C9">
      <w:pPr>
        <w:outlineLvl w:val="3"/>
        <w:rPr>
          <w:color w:val="auto"/>
        </w:rPr>
      </w:pPr>
      <w:r>
        <w:rPr>
          <w:rFonts w:hint="eastAsia"/>
          <w:color w:val="auto"/>
        </w:rPr>
        <w:t>　18.3　单位工程验收</w:t>
      </w:r>
    </w:p>
    <w:p w14:paraId="0AEAC6CF">
      <w:pPr>
        <w:rPr>
          <w:color w:val="auto"/>
        </w:rPr>
      </w:pPr>
      <w:r>
        <w:rPr>
          <w:rFonts w:hint="eastAsia"/>
          <w:color w:val="auto"/>
        </w:rPr>
        <w:t>　　18.3.4　提前投入使用的单位工程包括：　　、　　、　　。</w:t>
      </w:r>
    </w:p>
    <w:p w14:paraId="4E59E92E">
      <w:pPr>
        <w:outlineLvl w:val="3"/>
        <w:rPr>
          <w:color w:val="auto"/>
        </w:rPr>
      </w:pPr>
      <w:r>
        <w:rPr>
          <w:rFonts w:hint="eastAsia"/>
          <w:color w:val="auto"/>
        </w:rPr>
        <w:t>　18.5　阶段验收</w:t>
      </w:r>
    </w:p>
    <w:p w14:paraId="6549B566">
      <w:pPr>
        <w:rPr>
          <w:color w:val="auto"/>
        </w:rPr>
      </w:pPr>
      <w:r>
        <w:rPr>
          <w:rFonts w:hint="eastAsia"/>
          <w:color w:val="auto"/>
        </w:rPr>
        <w:t>　　18.5.1　本合同工程阶段验收类别包括：　　、　　、　　。</w:t>
      </w:r>
    </w:p>
    <w:p w14:paraId="437B3CDC">
      <w:pPr>
        <w:outlineLvl w:val="3"/>
        <w:rPr>
          <w:color w:val="auto"/>
        </w:rPr>
      </w:pPr>
      <w:r>
        <w:rPr>
          <w:rFonts w:hint="eastAsia"/>
          <w:color w:val="auto"/>
        </w:rPr>
        <w:t>　18.6　专项验收</w:t>
      </w:r>
    </w:p>
    <w:p w14:paraId="60E0EE9C">
      <w:pPr>
        <w:rPr>
          <w:color w:val="auto"/>
        </w:rPr>
      </w:pPr>
      <w:r>
        <w:rPr>
          <w:rFonts w:hint="eastAsia"/>
          <w:color w:val="auto"/>
        </w:rPr>
        <w:t>　　18.6.2　本合同工程专项验收类别包括：　　、　　、　　。</w:t>
      </w:r>
    </w:p>
    <w:p w14:paraId="1FB91515">
      <w:pPr>
        <w:outlineLvl w:val="3"/>
        <w:rPr>
          <w:color w:val="auto"/>
        </w:rPr>
      </w:pPr>
      <w:r>
        <w:rPr>
          <w:rFonts w:hint="eastAsia"/>
          <w:color w:val="auto"/>
        </w:rPr>
        <w:t>　18.7　竣工验收</w:t>
      </w:r>
    </w:p>
    <w:p w14:paraId="3F4110E7">
      <w:pPr>
        <w:rPr>
          <w:color w:val="auto"/>
        </w:rPr>
      </w:pPr>
      <w:r>
        <w:rPr>
          <w:rFonts w:hint="eastAsia"/>
          <w:color w:val="auto"/>
        </w:rPr>
        <w:t>　　18.7.3　本工程　　　　(需要／不需要)竣工验收技术鉴定(蓄水安全鉴定)。</w:t>
      </w:r>
    </w:p>
    <w:p w14:paraId="049738B2">
      <w:pPr>
        <w:outlineLvl w:val="3"/>
        <w:rPr>
          <w:color w:val="auto"/>
        </w:rPr>
      </w:pPr>
      <w:r>
        <w:rPr>
          <w:rFonts w:hint="eastAsia"/>
          <w:color w:val="auto"/>
        </w:rPr>
        <w:t>　18.8　施工期运行</w:t>
      </w:r>
    </w:p>
    <w:p w14:paraId="4CA7DFC6">
      <w:pPr>
        <w:rPr>
          <w:color w:val="auto"/>
        </w:rPr>
      </w:pPr>
      <w:r>
        <w:rPr>
          <w:rFonts w:hint="eastAsia"/>
          <w:color w:val="auto"/>
        </w:rPr>
        <w:t>　　18.8.1　需要在施工期运行的单位工程或工程设备为：　　、　　、　　。</w:t>
      </w:r>
    </w:p>
    <w:p w14:paraId="0A64396E">
      <w:pPr>
        <w:outlineLvl w:val="3"/>
        <w:rPr>
          <w:color w:val="auto"/>
        </w:rPr>
      </w:pPr>
      <w:r>
        <w:rPr>
          <w:rFonts w:hint="eastAsia"/>
          <w:color w:val="auto"/>
        </w:rPr>
        <w:t>　18.9　试运行</w:t>
      </w:r>
    </w:p>
    <w:p w14:paraId="7A7A6614">
      <w:pPr>
        <w:outlineLvl w:val="4"/>
        <w:rPr>
          <w:color w:val="auto"/>
        </w:rPr>
      </w:pPr>
      <w:r>
        <w:rPr>
          <w:rFonts w:hint="eastAsia"/>
          <w:color w:val="auto"/>
        </w:rPr>
        <w:t>　　18.9.1　试运行的组织：　　；费用承担：　　。</w:t>
      </w:r>
    </w:p>
    <w:p w14:paraId="66B3F283">
      <w:pPr>
        <w:outlineLvl w:val="2"/>
        <w:rPr>
          <w:b/>
          <w:color w:val="auto"/>
        </w:rPr>
      </w:pPr>
      <w:bookmarkStart w:id="1088" w:name="第04章合同条款及格式0219"/>
      <w:bookmarkEnd w:id="1088"/>
      <w:r>
        <w:rPr>
          <w:rFonts w:hint="eastAsia"/>
          <w:b/>
          <w:color w:val="auto"/>
        </w:rPr>
        <w:t>19　缺陷责任与保修责任</w:t>
      </w:r>
    </w:p>
    <w:p w14:paraId="1B50654B">
      <w:pPr>
        <w:outlineLvl w:val="3"/>
        <w:rPr>
          <w:color w:val="auto"/>
        </w:rPr>
      </w:pPr>
      <w:r>
        <w:rPr>
          <w:rFonts w:hint="eastAsia"/>
          <w:color w:val="auto"/>
        </w:rPr>
        <w:t>　19.1　缺陷责任期(工程质量保修期)的起算时间</w:t>
      </w:r>
    </w:p>
    <w:p w14:paraId="134F8C5B">
      <w:pPr>
        <w:rPr>
          <w:color w:val="auto"/>
        </w:rPr>
      </w:pPr>
      <w:r>
        <w:rPr>
          <w:rFonts w:hint="eastAsia"/>
          <w:color w:val="auto"/>
        </w:rPr>
        <w:t>　　本工程缺陷责任期(工程质量保修期)计算如下：　　　　。</w:t>
      </w:r>
    </w:p>
    <w:p w14:paraId="56F36C6A">
      <w:pPr>
        <w:outlineLvl w:val="2"/>
        <w:rPr>
          <w:b/>
          <w:color w:val="auto"/>
        </w:rPr>
      </w:pPr>
      <w:bookmarkStart w:id="1089" w:name="第04章合同条款及格式0220"/>
      <w:bookmarkEnd w:id="1089"/>
      <w:r>
        <w:rPr>
          <w:rFonts w:hint="eastAsia"/>
          <w:b/>
          <w:color w:val="auto"/>
        </w:rPr>
        <w:t>20　保险</w:t>
      </w:r>
    </w:p>
    <w:p w14:paraId="6DC43E7A">
      <w:pPr>
        <w:outlineLvl w:val="3"/>
        <w:rPr>
          <w:color w:val="auto"/>
        </w:rPr>
      </w:pPr>
      <w:r>
        <w:rPr>
          <w:rFonts w:hint="eastAsia"/>
          <w:color w:val="auto"/>
        </w:rPr>
        <w:t>　20.1　工程保险</w:t>
      </w:r>
    </w:p>
    <w:p w14:paraId="398780CC">
      <w:pPr>
        <w:rPr>
          <w:color w:val="auto"/>
        </w:rPr>
      </w:pPr>
      <w:r>
        <w:rPr>
          <w:rFonts w:hint="eastAsia"/>
          <w:color w:val="auto"/>
        </w:rPr>
        <w:t>　　建筑工程一切险和(或)安装工程一切险投保人：　　；</w:t>
      </w:r>
    </w:p>
    <w:p w14:paraId="5BB5A4D3">
      <w:pPr>
        <w:rPr>
          <w:color w:val="auto"/>
        </w:rPr>
      </w:pPr>
      <w:r>
        <w:rPr>
          <w:rFonts w:hint="eastAsia"/>
          <w:color w:val="auto"/>
        </w:rPr>
        <w:t>　　投保内容：　　；</w:t>
      </w:r>
    </w:p>
    <w:p w14:paraId="722FD26A">
      <w:pPr>
        <w:rPr>
          <w:color w:val="auto"/>
        </w:rPr>
      </w:pPr>
      <w:r>
        <w:rPr>
          <w:rFonts w:hint="eastAsia"/>
          <w:color w:val="auto"/>
        </w:rPr>
        <w:t>　　保险金额、保险费率和保险期限：　　　　　　。</w:t>
      </w:r>
    </w:p>
    <w:p w14:paraId="57643383">
      <w:pPr>
        <w:outlineLvl w:val="3"/>
        <w:rPr>
          <w:color w:val="auto"/>
        </w:rPr>
      </w:pPr>
      <w:r>
        <w:rPr>
          <w:rFonts w:hint="eastAsia"/>
          <w:color w:val="auto"/>
        </w:rPr>
        <w:t>　20.4　第三者责任险</w:t>
      </w:r>
    </w:p>
    <w:p w14:paraId="3B05F34F">
      <w:pPr>
        <w:outlineLvl w:val="4"/>
        <w:rPr>
          <w:color w:val="auto"/>
        </w:rPr>
      </w:pPr>
      <w:r>
        <w:rPr>
          <w:rFonts w:hint="eastAsia"/>
          <w:color w:val="auto"/>
        </w:rPr>
        <w:t>　　20.4.2　第三者责任险保险费率：　　　　；</w:t>
      </w:r>
    </w:p>
    <w:p w14:paraId="7AAE6F62">
      <w:pPr>
        <w:rPr>
          <w:color w:val="auto"/>
        </w:rPr>
      </w:pPr>
      <w:r>
        <w:rPr>
          <w:rFonts w:hint="eastAsia"/>
          <w:color w:val="auto"/>
        </w:rPr>
        <w:t>　　第三者责任险保险金额：　　　。</w:t>
      </w:r>
    </w:p>
    <w:p w14:paraId="4ED9F573">
      <w:pPr>
        <w:outlineLvl w:val="3"/>
        <w:rPr>
          <w:color w:val="auto"/>
        </w:rPr>
      </w:pPr>
      <w:r>
        <w:rPr>
          <w:rFonts w:hint="eastAsia"/>
          <w:color w:val="auto"/>
        </w:rPr>
        <w:t>　20.5　其它保险</w:t>
      </w:r>
    </w:p>
    <w:p w14:paraId="1F46B1EA">
      <w:pPr>
        <w:rPr>
          <w:color w:val="auto"/>
        </w:rPr>
      </w:pPr>
      <w:r>
        <w:rPr>
          <w:rFonts w:hint="eastAsia"/>
          <w:color w:val="auto"/>
        </w:rPr>
        <w:t>　　需要投保的其它内容：　　　　；</w:t>
      </w:r>
    </w:p>
    <w:p w14:paraId="194C3AE8">
      <w:pPr>
        <w:rPr>
          <w:color w:val="auto"/>
        </w:rPr>
      </w:pPr>
      <w:r>
        <w:rPr>
          <w:rFonts w:hint="eastAsia"/>
          <w:color w:val="auto"/>
        </w:rPr>
        <w:t>　　保险金额、保险费率和保险期限：　　　　。</w:t>
      </w:r>
    </w:p>
    <w:p w14:paraId="2D037F96">
      <w:pPr>
        <w:outlineLvl w:val="3"/>
        <w:rPr>
          <w:color w:val="auto"/>
        </w:rPr>
      </w:pPr>
      <w:r>
        <w:rPr>
          <w:rFonts w:hint="eastAsia"/>
          <w:color w:val="auto"/>
        </w:rPr>
        <w:t>　20.6　对各项保险的一般要求</w:t>
      </w:r>
    </w:p>
    <w:p w14:paraId="1263B88C">
      <w:pPr>
        <w:outlineLvl w:val="4"/>
        <w:rPr>
          <w:color w:val="auto"/>
        </w:rPr>
      </w:pPr>
      <w:r>
        <w:rPr>
          <w:rFonts w:hint="eastAsia"/>
          <w:color w:val="auto"/>
        </w:rPr>
        <w:t>　　20.6.1　保险凭证</w:t>
      </w:r>
    </w:p>
    <w:p w14:paraId="0CDB9AE0">
      <w:pPr>
        <w:rPr>
          <w:color w:val="auto"/>
        </w:rPr>
      </w:pPr>
      <w:r>
        <w:rPr>
          <w:rFonts w:hint="eastAsia"/>
          <w:color w:val="auto"/>
        </w:rPr>
        <w:t>　　承包人提交保险凭证的期限：　　　　。</w:t>
      </w:r>
    </w:p>
    <w:p w14:paraId="5EAA5C31">
      <w:pPr>
        <w:rPr>
          <w:color w:val="auto"/>
        </w:rPr>
      </w:pPr>
      <w:r>
        <w:rPr>
          <w:rFonts w:hint="eastAsia"/>
          <w:color w:val="auto"/>
        </w:rPr>
        <w:t>　　保险条件：　　　　；</w:t>
      </w:r>
    </w:p>
    <w:p w14:paraId="4C4E1633">
      <w:pPr>
        <w:outlineLvl w:val="4"/>
        <w:rPr>
          <w:color w:val="auto"/>
        </w:rPr>
      </w:pPr>
      <w:r>
        <w:rPr>
          <w:rFonts w:hint="eastAsia"/>
          <w:color w:val="auto"/>
        </w:rPr>
        <w:t>　　20.6.4　保险金不足的补偿</w:t>
      </w:r>
    </w:p>
    <w:p w14:paraId="238C72FB">
      <w:pPr>
        <w:rPr>
          <w:color w:val="auto"/>
        </w:rPr>
      </w:pPr>
      <w:r>
        <w:rPr>
          <w:rFonts w:hint="eastAsia"/>
          <w:color w:val="auto"/>
        </w:rPr>
        <w:t>　　承包人负责补偿的范围与金额：　　　　；</w:t>
      </w:r>
    </w:p>
    <w:p w14:paraId="671E6705">
      <w:pPr>
        <w:rPr>
          <w:color w:val="auto"/>
        </w:rPr>
      </w:pPr>
      <w:r>
        <w:rPr>
          <w:rFonts w:hint="eastAsia"/>
          <w:color w:val="auto"/>
        </w:rPr>
        <w:t>　　发包人负责补偿的范围与金额：　　　　。</w:t>
      </w:r>
    </w:p>
    <w:p w14:paraId="7944AD1A">
      <w:pPr>
        <w:outlineLvl w:val="2"/>
        <w:rPr>
          <w:b/>
          <w:color w:val="auto"/>
        </w:rPr>
      </w:pPr>
      <w:bookmarkStart w:id="1090" w:name="第04章合同条款及格式0224"/>
      <w:bookmarkEnd w:id="1090"/>
      <w:r>
        <w:rPr>
          <w:rFonts w:hint="eastAsia"/>
          <w:b/>
          <w:color w:val="auto"/>
        </w:rPr>
        <w:t>24　争议的解决</w:t>
      </w:r>
    </w:p>
    <w:p w14:paraId="73D6D3B8">
      <w:pPr>
        <w:outlineLvl w:val="3"/>
        <w:rPr>
          <w:color w:val="auto"/>
        </w:rPr>
      </w:pPr>
      <w:r>
        <w:rPr>
          <w:rFonts w:hint="eastAsia"/>
          <w:color w:val="auto"/>
        </w:rPr>
        <w:t>　24.1　争议的解决方式</w:t>
      </w:r>
    </w:p>
    <w:p w14:paraId="69B03EB8">
      <w:pPr>
        <w:rPr>
          <w:color w:val="auto"/>
        </w:rPr>
      </w:pPr>
      <w:r>
        <w:rPr>
          <w:rFonts w:hint="eastAsia"/>
          <w:color w:val="auto"/>
        </w:rPr>
        <w:t>　　合同当事人友好协商解决不成、不愿提请争议评审或不接受争议评审组意见的，约定的合同争议解决方式：　　　　。</w:t>
      </w:r>
    </w:p>
    <w:p w14:paraId="58F204D1">
      <w:pPr>
        <w:pStyle w:val="44"/>
        <w:numPr>
          <w:ilvl w:val="-1"/>
          <w:numId w:val="0"/>
        </w:numPr>
        <w:jc w:val="both"/>
        <w:rPr>
          <w:rFonts w:hint="eastAsia"/>
          <w:color w:val="auto"/>
          <w:highlight w:val="none"/>
        </w:rPr>
      </w:pPr>
    </w:p>
    <w:p w14:paraId="11F0023C">
      <w:pPr>
        <w:spacing w:line="400" w:lineRule="exact"/>
        <w:rPr>
          <w:color w:val="auto"/>
          <w:highlight w:val="none"/>
        </w:rPr>
      </w:pPr>
    </w:p>
    <w:p w14:paraId="4A4918A9">
      <w:pPr>
        <w:spacing w:line="400" w:lineRule="exact"/>
        <w:rPr>
          <w:color w:val="auto"/>
          <w:highlight w:val="none"/>
        </w:rPr>
      </w:pPr>
      <w:r>
        <w:rPr>
          <w:color w:val="auto"/>
          <w:highlight w:val="none"/>
        </w:rPr>
        <w:br w:type="page"/>
      </w:r>
    </w:p>
    <w:p w14:paraId="339B0A02">
      <w:pPr>
        <w:pStyle w:val="44"/>
        <w:ind w:firstLine="2800" w:firstLineChars="1000"/>
        <w:rPr>
          <w:color w:val="auto"/>
          <w:highlight w:val="none"/>
        </w:rPr>
      </w:pPr>
      <w:bookmarkStart w:id="1091" w:name="_Toc13445"/>
      <w:bookmarkStart w:id="1092" w:name="_Toc144974826"/>
      <w:bookmarkStart w:id="1093" w:name="_Toc22450"/>
      <w:bookmarkStart w:id="1094" w:name="_Toc152042546"/>
      <w:bookmarkStart w:id="1095" w:name="_Toc179632785"/>
      <w:bookmarkStart w:id="1096" w:name="_Toc23289"/>
      <w:bookmarkStart w:id="1097" w:name="_Toc152045767"/>
      <w:r>
        <w:rPr>
          <w:rFonts w:hint="eastAsia"/>
          <w:color w:val="auto"/>
          <w:highlight w:val="none"/>
        </w:rPr>
        <w:t>第</w:t>
      </w:r>
      <w:r>
        <w:rPr>
          <w:rFonts w:hint="eastAsia"/>
          <w:color w:val="auto"/>
          <w:highlight w:val="none"/>
          <w:lang w:val="en-US" w:eastAsia="zh-CN"/>
        </w:rPr>
        <w:t>四部分</w:t>
      </w:r>
      <w:r>
        <w:rPr>
          <w:rFonts w:hint="eastAsia"/>
          <w:color w:val="auto"/>
          <w:highlight w:val="none"/>
        </w:rPr>
        <w:t xml:space="preserve">  合同附件格式</w:t>
      </w:r>
      <w:bookmarkEnd w:id="1091"/>
      <w:bookmarkEnd w:id="1092"/>
      <w:bookmarkEnd w:id="1093"/>
      <w:bookmarkEnd w:id="1094"/>
      <w:bookmarkEnd w:id="1095"/>
      <w:bookmarkEnd w:id="1096"/>
      <w:bookmarkEnd w:id="1097"/>
    </w:p>
    <w:p w14:paraId="366F1001">
      <w:pPr>
        <w:pStyle w:val="45"/>
        <w:rPr>
          <w:color w:val="auto"/>
          <w:highlight w:val="none"/>
        </w:rPr>
      </w:pPr>
      <w:r>
        <w:rPr>
          <w:color w:val="auto"/>
          <w:highlight w:val="none"/>
        </w:rPr>
        <w:br w:type="page"/>
      </w:r>
      <w:bookmarkStart w:id="1098" w:name="_Toc144974831"/>
      <w:bookmarkStart w:id="1099" w:name="_Toc152042551"/>
      <w:bookmarkStart w:id="1100" w:name="_Toc179632787"/>
      <w:bookmarkStart w:id="1101" w:name="_Toc152045769"/>
      <w:bookmarkStart w:id="1102" w:name="_Toc14087"/>
      <w:r>
        <w:rPr>
          <w:rFonts w:hint="eastAsia"/>
          <w:color w:val="auto"/>
          <w:highlight w:val="none"/>
        </w:rPr>
        <w:t>附件</w:t>
      </w:r>
      <w:r>
        <w:rPr>
          <w:rFonts w:hint="eastAsia"/>
          <w:color w:val="auto"/>
          <w:highlight w:val="none"/>
          <w:lang w:val="en-US" w:eastAsia="zh-CN"/>
        </w:rPr>
        <w:t>一</w:t>
      </w:r>
      <w:r>
        <w:rPr>
          <w:rFonts w:hint="eastAsia"/>
          <w:color w:val="auto"/>
          <w:highlight w:val="none"/>
        </w:rPr>
        <w:t>：履约担保格式</w:t>
      </w:r>
      <w:bookmarkEnd w:id="1098"/>
      <w:bookmarkEnd w:id="1099"/>
      <w:bookmarkEnd w:id="1100"/>
      <w:bookmarkEnd w:id="1101"/>
      <w:bookmarkEnd w:id="1102"/>
    </w:p>
    <w:p w14:paraId="2313DD04">
      <w:pPr>
        <w:spacing w:line="400" w:lineRule="exact"/>
        <w:rPr>
          <w:color w:val="auto"/>
          <w:highlight w:val="none"/>
        </w:rPr>
      </w:pPr>
    </w:p>
    <w:p w14:paraId="46570CE9">
      <w:pPr>
        <w:spacing w:line="440" w:lineRule="exact"/>
        <w:jc w:val="center"/>
        <w:rPr>
          <w:rFonts w:eastAsia="黑体"/>
          <w:color w:val="auto"/>
          <w:sz w:val="28"/>
          <w:szCs w:val="28"/>
          <w:highlight w:val="none"/>
        </w:rPr>
      </w:pPr>
      <w:r>
        <w:rPr>
          <w:rFonts w:eastAsia="黑体"/>
          <w:color w:val="auto"/>
          <w:sz w:val="28"/>
          <w:szCs w:val="28"/>
          <w:highlight w:val="none"/>
        </w:rPr>
        <w:t>履约担保</w:t>
      </w:r>
    </w:p>
    <w:p w14:paraId="001BCA79">
      <w:pPr>
        <w:spacing w:line="440" w:lineRule="exact"/>
        <w:rPr>
          <w:rFonts w:eastAsia="黑体"/>
          <w:color w:val="auto"/>
          <w:sz w:val="20"/>
          <w:szCs w:val="20"/>
          <w:highlight w:val="none"/>
        </w:rPr>
      </w:pPr>
    </w:p>
    <w:p w14:paraId="59DBCB3B">
      <w:pPr>
        <w:spacing w:line="440" w:lineRule="exact"/>
        <w:rPr>
          <w:color w:val="auto"/>
          <w:szCs w:val="21"/>
          <w:highlight w:val="none"/>
        </w:rPr>
      </w:pPr>
      <w:r>
        <w:rPr>
          <w:color w:val="auto"/>
          <w:szCs w:val="21"/>
          <w:highlight w:val="none"/>
          <w:u w:val="single"/>
        </w:rPr>
        <w:t xml:space="preserve">             </w:t>
      </w:r>
      <w:r>
        <w:rPr>
          <w:color w:val="auto"/>
          <w:szCs w:val="21"/>
          <w:highlight w:val="none"/>
          <w:u w:val="single"/>
        </w:rPr>
        <w:tab/>
      </w:r>
      <w:r>
        <w:rPr>
          <w:color w:val="auto"/>
          <w:szCs w:val="21"/>
          <w:highlight w:val="none"/>
          <w:u w:val="single"/>
        </w:rPr>
        <w:tab/>
      </w:r>
      <w:r>
        <w:rPr>
          <w:color w:val="auto"/>
          <w:szCs w:val="21"/>
          <w:highlight w:val="none"/>
          <w:u w:val="single"/>
        </w:rPr>
        <w:t xml:space="preserve"> </w:t>
      </w:r>
      <w:r>
        <w:rPr>
          <w:color w:val="auto"/>
          <w:szCs w:val="21"/>
          <w:highlight w:val="none"/>
        </w:rPr>
        <w:t xml:space="preserve"> （发包人名称）：</w:t>
      </w:r>
    </w:p>
    <w:p w14:paraId="4F4137F9">
      <w:pPr>
        <w:spacing w:line="440" w:lineRule="exact"/>
        <w:rPr>
          <w:color w:val="auto"/>
          <w:szCs w:val="21"/>
          <w:highlight w:val="none"/>
        </w:rPr>
      </w:pPr>
    </w:p>
    <w:p w14:paraId="09C96698">
      <w:pPr>
        <w:spacing w:line="440" w:lineRule="exact"/>
        <w:ind w:firstLine="420" w:firstLineChars="200"/>
        <w:rPr>
          <w:color w:val="auto"/>
          <w:szCs w:val="21"/>
          <w:highlight w:val="none"/>
        </w:rPr>
      </w:pPr>
      <w:r>
        <w:rPr>
          <w:color w:val="auto"/>
          <w:szCs w:val="21"/>
          <w:highlight w:val="none"/>
        </w:rPr>
        <w:t>鉴于</w:t>
      </w:r>
      <w:r>
        <w:rPr>
          <w:color w:val="auto"/>
          <w:szCs w:val="21"/>
          <w:highlight w:val="none"/>
          <w:u w:val="single"/>
        </w:rPr>
        <w:t xml:space="preserve">                </w:t>
      </w:r>
      <w:r>
        <w:rPr>
          <w:color w:val="auto"/>
          <w:szCs w:val="21"/>
          <w:highlight w:val="none"/>
        </w:rPr>
        <w:t xml:space="preserve">（发包人名称，以下简称“发包人”）接受 </w:t>
      </w:r>
      <w:r>
        <w:rPr>
          <w:color w:val="auto"/>
          <w:szCs w:val="21"/>
          <w:highlight w:val="none"/>
          <w:u w:val="single"/>
        </w:rPr>
        <w:t xml:space="preserve">      </w:t>
      </w:r>
      <w:r>
        <w:rPr>
          <w:color w:val="auto"/>
          <w:szCs w:val="21"/>
          <w:highlight w:val="none"/>
        </w:rPr>
        <w:t>（承包人名称）（以下称“承包人”）于</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日参加</w:t>
      </w:r>
      <w:r>
        <w:rPr>
          <w:color w:val="auto"/>
          <w:szCs w:val="21"/>
          <w:highlight w:val="none"/>
          <w:u w:val="single"/>
        </w:rPr>
        <w:t xml:space="preserve">         </w:t>
      </w:r>
      <w:r>
        <w:rPr>
          <w:color w:val="auto"/>
          <w:szCs w:val="21"/>
          <w:highlight w:val="none"/>
        </w:rPr>
        <w:t>（项目名称）</w:t>
      </w:r>
      <w:r>
        <w:rPr>
          <w:color w:val="auto"/>
          <w:szCs w:val="21"/>
          <w:highlight w:val="none"/>
          <w:u w:val="single"/>
        </w:rPr>
        <w:t xml:space="preserve">          </w:t>
      </w:r>
      <w:r>
        <w:rPr>
          <w:color w:val="auto"/>
          <w:szCs w:val="21"/>
          <w:highlight w:val="none"/>
        </w:rPr>
        <w:t>标段</w:t>
      </w:r>
      <w:r>
        <w:rPr>
          <w:rFonts w:hint="eastAsia"/>
          <w:color w:val="auto"/>
          <w:szCs w:val="21"/>
          <w:highlight w:val="none"/>
        </w:rPr>
        <w:t>施工</w:t>
      </w:r>
      <w:r>
        <w:rPr>
          <w:color w:val="auto"/>
          <w:szCs w:val="21"/>
          <w:highlight w:val="none"/>
        </w:rPr>
        <w:t xml:space="preserve">的投标。我方愿意无条件地、不可撤销地就承包人履行与你方订立的合同，向你方提供担保。 </w:t>
      </w:r>
    </w:p>
    <w:p w14:paraId="696DF309">
      <w:pPr>
        <w:spacing w:line="440" w:lineRule="exact"/>
        <w:ind w:firstLine="420" w:firstLineChars="200"/>
        <w:rPr>
          <w:color w:val="auto"/>
          <w:szCs w:val="21"/>
          <w:highlight w:val="none"/>
        </w:rPr>
      </w:pPr>
      <w:r>
        <w:rPr>
          <w:color w:val="auto"/>
          <w:szCs w:val="21"/>
          <w:highlight w:val="none"/>
        </w:rPr>
        <w:t>1. 担保金额人民币（大写）</w:t>
      </w:r>
      <w:r>
        <w:rPr>
          <w:color w:val="auto"/>
          <w:szCs w:val="21"/>
          <w:highlight w:val="none"/>
          <w:u w:val="single"/>
        </w:rPr>
        <w:t xml:space="preserve">                 </w:t>
      </w:r>
      <w:r>
        <w:rPr>
          <w:color w:val="auto"/>
          <w:szCs w:val="21"/>
          <w:highlight w:val="none"/>
        </w:rPr>
        <w:t>元（¥</w:t>
      </w:r>
      <w:r>
        <w:rPr>
          <w:color w:val="auto"/>
          <w:szCs w:val="21"/>
          <w:highlight w:val="none"/>
          <w:u w:val="single"/>
        </w:rPr>
        <w:t xml:space="preserve">             </w:t>
      </w:r>
      <w:r>
        <w:rPr>
          <w:color w:val="auto"/>
          <w:szCs w:val="21"/>
          <w:highlight w:val="none"/>
        </w:rPr>
        <w:t>）。</w:t>
      </w:r>
    </w:p>
    <w:p w14:paraId="1D875F4E">
      <w:pPr>
        <w:spacing w:line="440" w:lineRule="exact"/>
        <w:ind w:firstLine="420" w:firstLineChars="200"/>
        <w:rPr>
          <w:color w:val="auto"/>
          <w:szCs w:val="21"/>
          <w:highlight w:val="none"/>
        </w:rPr>
      </w:pPr>
      <w:r>
        <w:rPr>
          <w:color w:val="auto"/>
          <w:szCs w:val="21"/>
          <w:highlight w:val="none"/>
        </w:rPr>
        <w:t>2. 担保有效期自发包人与承包人签订的合同生效之日起至发包人签发工程接收证书</w:t>
      </w:r>
      <w:r>
        <w:rPr>
          <w:rFonts w:hint="eastAsia"/>
          <w:color w:val="auto"/>
          <w:szCs w:val="21"/>
          <w:highlight w:val="none"/>
        </w:rPr>
        <w:t>之日</w:t>
      </w:r>
      <w:r>
        <w:rPr>
          <w:color w:val="auto"/>
          <w:szCs w:val="21"/>
          <w:highlight w:val="none"/>
        </w:rPr>
        <w:t>止。</w:t>
      </w:r>
    </w:p>
    <w:p w14:paraId="4ED3B03F">
      <w:pPr>
        <w:spacing w:line="440" w:lineRule="exact"/>
        <w:ind w:firstLine="420" w:firstLineChars="200"/>
        <w:rPr>
          <w:color w:val="auto"/>
          <w:szCs w:val="21"/>
          <w:highlight w:val="none"/>
        </w:rPr>
      </w:pPr>
      <w:r>
        <w:rPr>
          <w:color w:val="auto"/>
          <w:szCs w:val="21"/>
          <w:highlight w:val="none"/>
        </w:rPr>
        <w:t>3. 在本担保有效期内，因承包人违反合同约定的义务给你方造成经济损失时，我方在收到你方以书面形式提出的在担保金额内的赔偿要求后，在7天内无条件支付。</w:t>
      </w:r>
    </w:p>
    <w:p w14:paraId="07D50949">
      <w:pPr>
        <w:spacing w:line="440" w:lineRule="exact"/>
        <w:ind w:firstLine="420" w:firstLineChars="200"/>
        <w:rPr>
          <w:color w:val="auto"/>
          <w:szCs w:val="21"/>
          <w:highlight w:val="none"/>
        </w:rPr>
      </w:pPr>
      <w:r>
        <w:rPr>
          <w:color w:val="auto"/>
          <w:szCs w:val="21"/>
          <w:highlight w:val="none"/>
        </w:rPr>
        <w:t>4. 发包人和承包人按《通用合同条款》第15条变更合同时，我</w:t>
      </w:r>
      <w:r>
        <w:rPr>
          <w:rFonts w:hint="eastAsia"/>
          <w:color w:val="auto"/>
          <w:szCs w:val="21"/>
          <w:highlight w:val="none"/>
        </w:rPr>
        <w:t>方</w:t>
      </w:r>
      <w:r>
        <w:rPr>
          <w:color w:val="auto"/>
          <w:szCs w:val="21"/>
          <w:highlight w:val="none"/>
        </w:rPr>
        <w:t>承担本</w:t>
      </w:r>
      <w:r>
        <w:rPr>
          <w:rFonts w:hint="eastAsia"/>
          <w:color w:val="auto"/>
          <w:szCs w:val="21"/>
          <w:highlight w:val="none"/>
        </w:rPr>
        <w:t>担保</w:t>
      </w:r>
      <w:r>
        <w:rPr>
          <w:color w:val="auto"/>
          <w:szCs w:val="21"/>
          <w:highlight w:val="none"/>
        </w:rPr>
        <w:t>规定的义务不变。</w:t>
      </w:r>
    </w:p>
    <w:p w14:paraId="1144C5E4">
      <w:pPr>
        <w:spacing w:line="440" w:lineRule="exact"/>
        <w:rPr>
          <w:color w:val="auto"/>
          <w:szCs w:val="21"/>
          <w:highlight w:val="none"/>
        </w:rPr>
      </w:pPr>
    </w:p>
    <w:p w14:paraId="031E486E">
      <w:pPr>
        <w:spacing w:line="600" w:lineRule="exact"/>
        <w:ind w:firstLine="3418" w:firstLineChars="1628"/>
        <w:rPr>
          <w:color w:val="auto"/>
          <w:szCs w:val="21"/>
          <w:highlight w:val="none"/>
        </w:rPr>
      </w:pPr>
      <w:r>
        <w:rPr>
          <w:rFonts w:hint="eastAsia"/>
          <w:color w:val="auto"/>
          <w:szCs w:val="21"/>
          <w:highlight w:val="none"/>
        </w:rPr>
        <w:t>担 保</w:t>
      </w:r>
      <w:r>
        <w:rPr>
          <w:color w:val="auto"/>
          <w:szCs w:val="21"/>
          <w:highlight w:val="none"/>
        </w:rPr>
        <w:t xml:space="preserve"> 人：</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（盖单位章）</w:t>
      </w:r>
    </w:p>
    <w:p w14:paraId="75A39899">
      <w:pPr>
        <w:spacing w:line="600" w:lineRule="exact"/>
        <w:ind w:firstLine="3418" w:firstLineChars="1628"/>
        <w:rPr>
          <w:color w:val="auto"/>
          <w:szCs w:val="21"/>
          <w:highlight w:val="none"/>
        </w:rPr>
      </w:pPr>
      <w:r>
        <w:rPr>
          <w:color w:val="auto"/>
          <w:szCs w:val="21"/>
          <w:highlight w:val="none"/>
        </w:rPr>
        <w:t>法定代表人或其委托代理人：</w:t>
      </w:r>
      <w:r>
        <w:rPr>
          <w:color w:val="auto"/>
          <w:szCs w:val="21"/>
          <w:highlight w:val="none"/>
          <w:u w:val="single"/>
        </w:rPr>
        <w:t xml:space="preserve">            </w:t>
      </w:r>
      <w:r>
        <w:rPr>
          <w:color w:val="auto"/>
          <w:szCs w:val="21"/>
          <w:highlight w:val="none"/>
        </w:rPr>
        <w:t>（签字）</w:t>
      </w:r>
    </w:p>
    <w:p w14:paraId="76B97ABC">
      <w:pPr>
        <w:spacing w:line="600" w:lineRule="exact"/>
        <w:ind w:firstLine="3418" w:firstLineChars="1628"/>
        <w:rPr>
          <w:color w:val="auto"/>
          <w:szCs w:val="21"/>
          <w:highlight w:val="none"/>
        </w:rPr>
      </w:pPr>
      <w:r>
        <w:rPr>
          <w:color w:val="auto"/>
          <w:szCs w:val="21"/>
          <w:highlight w:val="none"/>
        </w:rPr>
        <w:t>地    址：</w:t>
      </w:r>
      <w:r>
        <w:rPr>
          <w:color w:val="auto"/>
          <w:szCs w:val="21"/>
          <w:highlight w:val="none"/>
          <w:u w:val="single"/>
        </w:rPr>
        <w:t xml:space="preserve">                                    </w:t>
      </w:r>
    </w:p>
    <w:p w14:paraId="0F5DDEF0">
      <w:pPr>
        <w:spacing w:line="600" w:lineRule="exact"/>
        <w:ind w:firstLine="3418" w:firstLineChars="1628"/>
        <w:rPr>
          <w:color w:val="auto"/>
          <w:szCs w:val="21"/>
          <w:highlight w:val="none"/>
        </w:rPr>
      </w:pPr>
      <w:r>
        <w:rPr>
          <w:color w:val="auto"/>
          <w:szCs w:val="21"/>
          <w:highlight w:val="none"/>
        </w:rPr>
        <w:t>邮政编码：</w:t>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u w:val="single"/>
        </w:rPr>
        <w:tab/>
      </w:r>
      <w:r>
        <w:rPr>
          <w:color w:val="auto"/>
          <w:szCs w:val="21"/>
          <w:highlight w:val="none"/>
          <w:u w:val="single"/>
        </w:rPr>
        <w:tab/>
      </w:r>
      <w:r>
        <w:rPr>
          <w:rFonts w:hint="eastAsia"/>
          <w:color w:val="auto"/>
          <w:szCs w:val="21"/>
          <w:highlight w:val="none"/>
          <w:u w:val="single"/>
        </w:rPr>
        <w:t xml:space="preserve">  </w:t>
      </w:r>
    </w:p>
    <w:p w14:paraId="7701370D">
      <w:pPr>
        <w:spacing w:line="600" w:lineRule="exact"/>
        <w:ind w:firstLine="3418" w:firstLineChars="1628"/>
        <w:rPr>
          <w:color w:val="auto"/>
          <w:szCs w:val="21"/>
          <w:highlight w:val="none"/>
          <w:u w:val="single"/>
        </w:rPr>
      </w:pPr>
      <w:r>
        <w:rPr>
          <w:color w:val="auto"/>
          <w:szCs w:val="21"/>
          <w:highlight w:val="none"/>
        </w:rPr>
        <w:t>电    话：</w:t>
      </w:r>
      <w:r>
        <w:rPr>
          <w:color w:val="auto"/>
          <w:szCs w:val="21"/>
          <w:highlight w:val="none"/>
          <w:u w:val="single"/>
        </w:rPr>
        <w:t xml:space="preserve">                                  </w:t>
      </w:r>
      <w:r>
        <w:rPr>
          <w:rFonts w:hint="eastAsia"/>
          <w:color w:val="auto"/>
          <w:szCs w:val="21"/>
          <w:highlight w:val="none"/>
          <w:u w:val="single"/>
        </w:rPr>
        <w:t xml:space="preserve"> </w:t>
      </w:r>
    </w:p>
    <w:p w14:paraId="2C727058">
      <w:pPr>
        <w:spacing w:line="600" w:lineRule="exact"/>
        <w:ind w:firstLine="3418" w:firstLineChars="1628"/>
        <w:rPr>
          <w:color w:val="auto"/>
          <w:szCs w:val="21"/>
          <w:highlight w:val="none"/>
        </w:rPr>
      </w:pPr>
      <w:r>
        <w:rPr>
          <w:rFonts w:hint="eastAsia"/>
          <w:color w:val="auto"/>
          <w:szCs w:val="21"/>
          <w:highlight w:val="none"/>
        </w:rPr>
        <w:t>传    真：</w:t>
      </w:r>
      <w:r>
        <w:rPr>
          <w:color w:val="auto"/>
          <w:szCs w:val="21"/>
          <w:highlight w:val="none"/>
          <w:u w:val="single"/>
        </w:rPr>
        <w:t xml:space="preserve">                                  </w:t>
      </w:r>
      <w:r>
        <w:rPr>
          <w:rFonts w:hint="eastAsia"/>
          <w:color w:val="auto"/>
          <w:szCs w:val="21"/>
          <w:highlight w:val="none"/>
          <w:u w:val="single"/>
        </w:rPr>
        <w:t xml:space="preserve"> </w:t>
      </w:r>
    </w:p>
    <w:p w14:paraId="53FABDF8">
      <w:pPr>
        <w:spacing w:line="600" w:lineRule="exact"/>
        <w:ind w:firstLine="4678" w:firstLineChars="2228"/>
        <w:rPr>
          <w:color w:val="auto"/>
          <w:highlight w:val="none"/>
        </w:rPr>
      </w:pPr>
      <w:r>
        <w:rPr>
          <w:color w:val="auto"/>
          <w:szCs w:val="21"/>
          <w:highlight w:val="none"/>
        </w:rPr>
        <w:t xml:space="preserve"> </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r>
        <w:rPr>
          <w:color w:val="auto"/>
          <w:highlight w:val="none"/>
        </w:rPr>
        <w:br w:type="page"/>
      </w:r>
    </w:p>
    <w:p w14:paraId="3B8FCDE1">
      <w:pPr>
        <w:pStyle w:val="45"/>
        <w:rPr>
          <w:color w:val="auto"/>
          <w:highlight w:val="none"/>
        </w:rPr>
      </w:pPr>
      <w:bookmarkStart w:id="1103" w:name="_Toc152042553"/>
      <w:bookmarkStart w:id="1104" w:name="_Toc26813"/>
      <w:bookmarkStart w:id="1105" w:name="_Toc144974833"/>
      <w:bookmarkStart w:id="1106" w:name="_Toc179632788"/>
      <w:bookmarkStart w:id="1107" w:name="_Toc152045771"/>
      <w:r>
        <w:rPr>
          <w:rFonts w:hint="eastAsia"/>
          <w:color w:val="auto"/>
          <w:highlight w:val="none"/>
        </w:rPr>
        <w:t>附件</w:t>
      </w:r>
      <w:r>
        <w:rPr>
          <w:rFonts w:hint="eastAsia"/>
          <w:color w:val="auto"/>
          <w:highlight w:val="none"/>
          <w:lang w:val="en-US" w:eastAsia="zh-CN"/>
        </w:rPr>
        <w:t>二</w:t>
      </w:r>
      <w:r>
        <w:rPr>
          <w:rFonts w:hint="eastAsia"/>
          <w:color w:val="auto"/>
          <w:highlight w:val="none"/>
        </w:rPr>
        <w:t>：预付款担保格式</w:t>
      </w:r>
      <w:bookmarkEnd w:id="1103"/>
      <w:bookmarkEnd w:id="1104"/>
      <w:bookmarkEnd w:id="1105"/>
      <w:bookmarkEnd w:id="1106"/>
      <w:bookmarkEnd w:id="1107"/>
    </w:p>
    <w:p w14:paraId="6CD833CD">
      <w:pPr>
        <w:spacing w:line="400" w:lineRule="exact"/>
        <w:rPr>
          <w:color w:val="auto"/>
          <w:highlight w:val="none"/>
        </w:rPr>
      </w:pPr>
    </w:p>
    <w:p w14:paraId="05B28BAF">
      <w:pPr>
        <w:spacing w:line="440" w:lineRule="exact"/>
        <w:jc w:val="center"/>
        <w:rPr>
          <w:rFonts w:eastAsia="黑体"/>
          <w:color w:val="auto"/>
          <w:sz w:val="28"/>
          <w:szCs w:val="28"/>
          <w:highlight w:val="none"/>
        </w:rPr>
      </w:pPr>
      <w:r>
        <w:rPr>
          <w:rFonts w:eastAsia="黑体"/>
          <w:color w:val="auto"/>
          <w:sz w:val="28"/>
          <w:szCs w:val="28"/>
          <w:highlight w:val="none"/>
        </w:rPr>
        <w:t>预付款</w:t>
      </w:r>
      <w:r>
        <w:rPr>
          <w:rFonts w:hint="eastAsia" w:eastAsia="黑体"/>
          <w:color w:val="auto"/>
          <w:sz w:val="28"/>
          <w:szCs w:val="28"/>
          <w:highlight w:val="none"/>
        </w:rPr>
        <w:t>担保</w:t>
      </w:r>
    </w:p>
    <w:p w14:paraId="407F829F">
      <w:pPr>
        <w:spacing w:line="440" w:lineRule="exact"/>
        <w:rPr>
          <w:rFonts w:eastAsia="黑体"/>
          <w:color w:val="auto"/>
          <w:sz w:val="20"/>
          <w:szCs w:val="20"/>
          <w:highlight w:val="none"/>
        </w:rPr>
      </w:pPr>
    </w:p>
    <w:p w14:paraId="7CAB3951">
      <w:pPr>
        <w:spacing w:line="440" w:lineRule="exact"/>
        <w:rPr>
          <w:color w:val="auto"/>
          <w:szCs w:val="21"/>
          <w:highlight w:val="none"/>
        </w:rPr>
      </w:pPr>
      <w:r>
        <w:rPr>
          <w:color w:val="auto"/>
          <w:szCs w:val="21"/>
          <w:highlight w:val="none"/>
          <w:u w:val="single"/>
        </w:rPr>
        <w:t xml:space="preserve">            </w:t>
      </w:r>
      <w:r>
        <w:rPr>
          <w:color w:val="auto"/>
          <w:szCs w:val="21"/>
          <w:highlight w:val="none"/>
          <w:u w:val="single"/>
        </w:rPr>
        <w:tab/>
      </w:r>
      <w:r>
        <w:rPr>
          <w:color w:val="auto"/>
          <w:szCs w:val="21"/>
          <w:highlight w:val="none"/>
          <w:u w:val="single"/>
        </w:rPr>
        <w:tab/>
      </w:r>
      <w:r>
        <w:rPr>
          <w:color w:val="auto"/>
          <w:szCs w:val="21"/>
          <w:highlight w:val="none"/>
          <w:u w:val="single"/>
        </w:rPr>
        <w:t xml:space="preserve"> </w:t>
      </w:r>
      <w:r>
        <w:rPr>
          <w:color w:val="auto"/>
          <w:szCs w:val="21"/>
          <w:highlight w:val="none"/>
        </w:rPr>
        <w:t xml:space="preserve"> （发包人名称）：</w:t>
      </w:r>
    </w:p>
    <w:p w14:paraId="36AD1CAA">
      <w:pPr>
        <w:spacing w:line="440" w:lineRule="exact"/>
        <w:rPr>
          <w:color w:val="auto"/>
          <w:szCs w:val="21"/>
          <w:highlight w:val="none"/>
        </w:rPr>
      </w:pPr>
    </w:p>
    <w:p w14:paraId="40787323">
      <w:pPr>
        <w:spacing w:line="440" w:lineRule="exact"/>
        <w:ind w:firstLine="420" w:firstLineChars="200"/>
        <w:rPr>
          <w:color w:val="auto"/>
          <w:szCs w:val="21"/>
          <w:highlight w:val="none"/>
        </w:rPr>
      </w:pPr>
      <w:r>
        <w:rPr>
          <w:color w:val="auto"/>
          <w:szCs w:val="21"/>
          <w:highlight w:val="none"/>
        </w:rPr>
        <w:t>根据</w:t>
      </w:r>
      <w:r>
        <w:rPr>
          <w:color w:val="auto"/>
          <w:szCs w:val="21"/>
          <w:highlight w:val="none"/>
          <w:u w:val="single"/>
        </w:rPr>
        <w:t xml:space="preserve">         </w:t>
      </w:r>
      <w:r>
        <w:rPr>
          <w:color w:val="auto"/>
          <w:szCs w:val="21"/>
          <w:highlight w:val="none"/>
        </w:rPr>
        <w:t>（承包人名称）（以下称“承包人”）与</w:t>
      </w:r>
      <w:r>
        <w:rPr>
          <w:color w:val="auto"/>
          <w:szCs w:val="21"/>
          <w:highlight w:val="none"/>
          <w:u w:val="single"/>
        </w:rPr>
        <w:t xml:space="preserve">                </w:t>
      </w:r>
      <w:r>
        <w:rPr>
          <w:color w:val="auto"/>
          <w:szCs w:val="21"/>
          <w:highlight w:val="none"/>
        </w:rPr>
        <w:t>（发包人名称）（以下简称“发包人”）于</w:t>
      </w:r>
      <w:r>
        <w:rPr>
          <w:color w:val="auto"/>
          <w:szCs w:val="21"/>
          <w:highlight w:val="none"/>
          <w:u w:val="single"/>
        </w:rPr>
        <w:t xml:space="preserve">     </w:t>
      </w:r>
      <w:r>
        <w:rPr>
          <w:color w:val="auto"/>
          <w:szCs w:val="21"/>
          <w:highlight w:val="none"/>
        </w:rPr>
        <w:t xml:space="preserve"> 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日签订的</w:t>
      </w:r>
      <w:r>
        <w:rPr>
          <w:color w:val="auto"/>
          <w:szCs w:val="21"/>
          <w:highlight w:val="none"/>
          <w:u w:val="single"/>
        </w:rPr>
        <w:t xml:space="preserve">         </w:t>
      </w:r>
      <w:r>
        <w:rPr>
          <w:color w:val="auto"/>
          <w:szCs w:val="21"/>
          <w:highlight w:val="none"/>
        </w:rPr>
        <w:t>（项目名称）</w:t>
      </w:r>
      <w:r>
        <w:rPr>
          <w:color w:val="auto"/>
          <w:szCs w:val="21"/>
          <w:highlight w:val="none"/>
          <w:u w:val="single"/>
        </w:rPr>
        <w:t xml:space="preserve">         </w:t>
      </w:r>
      <w:r>
        <w:rPr>
          <w:color w:val="auto"/>
          <w:szCs w:val="21"/>
          <w:highlight w:val="none"/>
        </w:rPr>
        <w:t xml:space="preserve"> 标段</w:t>
      </w:r>
      <w:r>
        <w:rPr>
          <w:rFonts w:hint="eastAsia"/>
          <w:color w:val="auto"/>
          <w:szCs w:val="21"/>
          <w:highlight w:val="none"/>
        </w:rPr>
        <w:t>施工承包</w:t>
      </w:r>
      <w:r>
        <w:rPr>
          <w:color w:val="auto"/>
          <w:szCs w:val="21"/>
          <w:highlight w:val="none"/>
        </w:rPr>
        <w:t>合同，承包人按约定的金额向发包人提交一份预付款担保，即有权得到发包人支付相等金额的预付款。我</w:t>
      </w:r>
      <w:r>
        <w:rPr>
          <w:rFonts w:hint="eastAsia"/>
          <w:color w:val="auto"/>
          <w:szCs w:val="21"/>
          <w:highlight w:val="none"/>
        </w:rPr>
        <w:t>方</w:t>
      </w:r>
      <w:r>
        <w:rPr>
          <w:color w:val="auto"/>
          <w:szCs w:val="21"/>
          <w:highlight w:val="none"/>
        </w:rPr>
        <w:t>愿意就</w:t>
      </w:r>
      <w:r>
        <w:rPr>
          <w:rFonts w:hint="eastAsia"/>
          <w:color w:val="auto"/>
          <w:szCs w:val="21"/>
          <w:highlight w:val="none"/>
        </w:rPr>
        <w:t>你方提供给承包人的预付款提供担保。</w:t>
      </w:r>
    </w:p>
    <w:p w14:paraId="4E422DA5">
      <w:pPr>
        <w:spacing w:line="440" w:lineRule="exact"/>
        <w:ind w:firstLine="420" w:firstLineChars="200"/>
        <w:rPr>
          <w:color w:val="auto"/>
          <w:szCs w:val="21"/>
          <w:highlight w:val="none"/>
        </w:rPr>
      </w:pPr>
      <w:r>
        <w:rPr>
          <w:color w:val="auto"/>
          <w:szCs w:val="21"/>
          <w:highlight w:val="none"/>
        </w:rPr>
        <w:t>1. 担保金额人民币（大写）</w:t>
      </w:r>
      <w:r>
        <w:rPr>
          <w:color w:val="auto"/>
          <w:szCs w:val="21"/>
          <w:highlight w:val="none"/>
          <w:u w:val="single"/>
        </w:rPr>
        <w:t xml:space="preserve">                </w:t>
      </w:r>
      <w:r>
        <w:rPr>
          <w:color w:val="auto"/>
          <w:szCs w:val="21"/>
          <w:highlight w:val="none"/>
        </w:rPr>
        <w:t xml:space="preserve"> 元（¥</w:t>
      </w:r>
      <w:r>
        <w:rPr>
          <w:color w:val="auto"/>
          <w:szCs w:val="21"/>
          <w:highlight w:val="none"/>
          <w:u w:val="single"/>
        </w:rPr>
        <w:t xml:space="preserve">             </w:t>
      </w:r>
      <w:r>
        <w:rPr>
          <w:color w:val="auto"/>
          <w:szCs w:val="21"/>
          <w:highlight w:val="none"/>
        </w:rPr>
        <w:t>）。</w:t>
      </w:r>
    </w:p>
    <w:p w14:paraId="7D44141F">
      <w:pPr>
        <w:spacing w:line="440" w:lineRule="exact"/>
        <w:ind w:firstLine="420" w:firstLineChars="200"/>
        <w:rPr>
          <w:color w:val="auto"/>
          <w:szCs w:val="21"/>
          <w:highlight w:val="none"/>
        </w:rPr>
      </w:pPr>
      <w:r>
        <w:rPr>
          <w:color w:val="auto"/>
          <w:szCs w:val="21"/>
          <w:highlight w:val="none"/>
        </w:rPr>
        <w:t>2. 担保有效期自预付款支付给承包人起生效，至发包人签发的</w:t>
      </w:r>
      <w:r>
        <w:rPr>
          <w:rFonts w:hint="eastAsia"/>
          <w:color w:val="auto"/>
          <w:szCs w:val="21"/>
          <w:highlight w:val="none"/>
        </w:rPr>
        <w:t>进度付款证书说明已完全扣清止。</w:t>
      </w:r>
    </w:p>
    <w:p w14:paraId="3C0BCFAA">
      <w:pPr>
        <w:spacing w:line="440" w:lineRule="exact"/>
        <w:ind w:firstLine="420" w:firstLineChars="200"/>
        <w:rPr>
          <w:color w:val="auto"/>
          <w:szCs w:val="21"/>
          <w:highlight w:val="none"/>
        </w:rPr>
      </w:pPr>
      <w:r>
        <w:rPr>
          <w:color w:val="auto"/>
          <w:szCs w:val="21"/>
          <w:highlight w:val="none"/>
        </w:rPr>
        <w:t>3. 在本保函有效期内，因承包人违反合同约定的义务而要求收回预付款时，我</w:t>
      </w:r>
      <w:r>
        <w:rPr>
          <w:rFonts w:hint="eastAsia"/>
          <w:color w:val="auto"/>
          <w:szCs w:val="21"/>
          <w:highlight w:val="none"/>
        </w:rPr>
        <w:t>方</w:t>
      </w:r>
      <w:r>
        <w:rPr>
          <w:color w:val="auto"/>
          <w:szCs w:val="21"/>
          <w:highlight w:val="none"/>
        </w:rPr>
        <w:t>在收到你方的书面通知后，在７天内</w:t>
      </w:r>
      <w:r>
        <w:rPr>
          <w:rFonts w:hint="eastAsia"/>
          <w:color w:val="auto"/>
          <w:szCs w:val="21"/>
          <w:highlight w:val="none"/>
        </w:rPr>
        <w:t>无条件</w:t>
      </w:r>
      <w:r>
        <w:rPr>
          <w:color w:val="auto"/>
          <w:szCs w:val="21"/>
          <w:highlight w:val="none"/>
        </w:rPr>
        <w:t>支付。但本保函的担保金额，在任何时候不应超过预付款金额减去发包人按合同约定在向承包人签发的进度付款证书中扣除的金额。</w:t>
      </w:r>
    </w:p>
    <w:p w14:paraId="186EAD33">
      <w:pPr>
        <w:spacing w:line="440" w:lineRule="exact"/>
        <w:ind w:firstLine="420" w:firstLineChars="200"/>
        <w:rPr>
          <w:color w:val="auto"/>
          <w:szCs w:val="21"/>
          <w:highlight w:val="none"/>
        </w:rPr>
      </w:pPr>
      <w:r>
        <w:rPr>
          <w:color w:val="auto"/>
          <w:szCs w:val="21"/>
          <w:highlight w:val="none"/>
        </w:rPr>
        <w:t>4. 发包人和承包人按《通用合同条款》第15条变更合同时，我</w:t>
      </w:r>
      <w:r>
        <w:rPr>
          <w:rFonts w:hint="eastAsia"/>
          <w:color w:val="auto"/>
          <w:szCs w:val="21"/>
          <w:highlight w:val="none"/>
        </w:rPr>
        <w:t>方</w:t>
      </w:r>
      <w:r>
        <w:rPr>
          <w:color w:val="auto"/>
          <w:szCs w:val="21"/>
          <w:highlight w:val="none"/>
        </w:rPr>
        <w:t>承担本保函规定的义务不变。</w:t>
      </w:r>
    </w:p>
    <w:p w14:paraId="5AA4804C">
      <w:pPr>
        <w:spacing w:line="440" w:lineRule="exact"/>
        <w:rPr>
          <w:color w:val="auto"/>
          <w:szCs w:val="21"/>
          <w:highlight w:val="none"/>
        </w:rPr>
      </w:pPr>
    </w:p>
    <w:p w14:paraId="082BED76">
      <w:pPr>
        <w:spacing w:line="600" w:lineRule="exact"/>
        <w:ind w:firstLine="3599" w:firstLineChars="1714"/>
        <w:rPr>
          <w:color w:val="auto"/>
          <w:szCs w:val="21"/>
          <w:highlight w:val="none"/>
        </w:rPr>
      </w:pPr>
      <w:r>
        <w:rPr>
          <w:rFonts w:hint="eastAsia"/>
          <w:color w:val="auto"/>
          <w:szCs w:val="21"/>
          <w:highlight w:val="none"/>
        </w:rPr>
        <w:t>担保人</w:t>
      </w:r>
      <w:r>
        <w:rPr>
          <w:color w:val="auto"/>
          <w:szCs w:val="21"/>
          <w:highlight w:val="none"/>
        </w:rPr>
        <w:t>：</w:t>
      </w:r>
      <w:r>
        <w:rPr>
          <w:color w:val="auto"/>
          <w:szCs w:val="21"/>
          <w:highlight w:val="none"/>
          <w:u w:val="single"/>
        </w:rPr>
        <w:t xml:space="preserve">                </w:t>
      </w:r>
      <w:r>
        <w:rPr>
          <w:color w:val="auto"/>
          <w:szCs w:val="21"/>
          <w:highlight w:val="none"/>
        </w:rPr>
        <w:t>（盖单位章）</w:t>
      </w:r>
    </w:p>
    <w:p w14:paraId="487F291F">
      <w:pPr>
        <w:spacing w:line="600" w:lineRule="exact"/>
        <w:ind w:firstLine="3599" w:firstLineChars="1714"/>
        <w:rPr>
          <w:color w:val="auto"/>
          <w:szCs w:val="21"/>
          <w:highlight w:val="none"/>
        </w:rPr>
      </w:pPr>
      <w:r>
        <w:rPr>
          <w:color w:val="auto"/>
          <w:szCs w:val="21"/>
          <w:highlight w:val="none"/>
        </w:rPr>
        <w:t>法定代表人或</w:t>
      </w:r>
      <w:r>
        <w:rPr>
          <w:rFonts w:hint="eastAsia"/>
          <w:color w:val="auto"/>
          <w:szCs w:val="21"/>
          <w:highlight w:val="none"/>
        </w:rPr>
        <w:t>其委托代理</w:t>
      </w:r>
      <w:r>
        <w:rPr>
          <w:color w:val="auto"/>
          <w:szCs w:val="21"/>
          <w:highlight w:val="none"/>
        </w:rPr>
        <w:t>人：</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（签字）</w:t>
      </w:r>
    </w:p>
    <w:p w14:paraId="72CDBA1E">
      <w:pPr>
        <w:spacing w:line="600" w:lineRule="exact"/>
        <w:ind w:firstLine="3599" w:firstLineChars="1714"/>
        <w:rPr>
          <w:color w:val="auto"/>
          <w:szCs w:val="21"/>
          <w:highlight w:val="none"/>
        </w:rPr>
      </w:pPr>
      <w:r>
        <w:rPr>
          <w:color w:val="auto"/>
          <w:szCs w:val="21"/>
          <w:highlight w:val="none"/>
        </w:rPr>
        <w:t>地    址：</w:t>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 xml:space="preserve">    </w:t>
      </w:r>
      <w:r>
        <w:rPr>
          <w:color w:val="auto"/>
          <w:szCs w:val="21"/>
          <w:highlight w:val="none"/>
          <w:u w:val="single"/>
        </w:rPr>
        <w:tab/>
      </w:r>
      <w:r>
        <w:rPr>
          <w:color w:val="auto"/>
          <w:szCs w:val="21"/>
          <w:highlight w:val="none"/>
          <w:u w:val="single"/>
        </w:rPr>
        <w:t xml:space="preserve">        </w:t>
      </w:r>
    </w:p>
    <w:p w14:paraId="2E7837DF">
      <w:pPr>
        <w:spacing w:line="600" w:lineRule="exact"/>
        <w:ind w:firstLine="3599" w:firstLineChars="1714"/>
        <w:rPr>
          <w:color w:val="auto"/>
          <w:szCs w:val="21"/>
          <w:highlight w:val="none"/>
          <w:u w:val="single"/>
        </w:rPr>
      </w:pPr>
      <w:r>
        <w:rPr>
          <w:color w:val="auto"/>
          <w:szCs w:val="21"/>
          <w:highlight w:val="none"/>
        </w:rPr>
        <w:t>邮政编码：</w:t>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p>
    <w:p w14:paraId="559A47F6">
      <w:pPr>
        <w:spacing w:line="600" w:lineRule="exact"/>
        <w:ind w:firstLine="3599" w:firstLineChars="1714"/>
        <w:rPr>
          <w:color w:val="auto"/>
          <w:szCs w:val="21"/>
          <w:highlight w:val="none"/>
          <w:u w:val="single"/>
        </w:rPr>
      </w:pPr>
      <w:r>
        <w:rPr>
          <w:color w:val="auto"/>
          <w:szCs w:val="21"/>
          <w:highlight w:val="none"/>
        </w:rPr>
        <w:t>电    话：</w:t>
      </w:r>
      <w:r>
        <w:rPr>
          <w:color w:val="auto"/>
          <w:szCs w:val="21"/>
          <w:highlight w:val="none"/>
          <w:u w:val="single"/>
        </w:rPr>
        <w:t xml:space="preserve">                          </w:t>
      </w:r>
      <w:r>
        <w:rPr>
          <w:rFonts w:hint="eastAsia"/>
          <w:color w:val="auto"/>
          <w:szCs w:val="21"/>
          <w:highlight w:val="none"/>
          <w:u w:val="single"/>
        </w:rPr>
        <w:t xml:space="preserve">  </w:t>
      </w:r>
    </w:p>
    <w:p w14:paraId="0946C98A">
      <w:pPr>
        <w:spacing w:line="600" w:lineRule="exact"/>
        <w:ind w:firstLine="3599" w:firstLineChars="1714"/>
        <w:rPr>
          <w:color w:val="auto"/>
          <w:szCs w:val="21"/>
          <w:highlight w:val="none"/>
          <w:u w:val="single"/>
        </w:rPr>
      </w:pPr>
      <w:r>
        <w:rPr>
          <w:rFonts w:hint="eastAsia"/>
          <w:color w:val="auto"/>
          <w:szCs w:val="21"/>
          <w:highlight w:val="none"/>
        </w:rPr>
        <w:t>传    真</w:t>
      </w:r>
      <w:r>
        <w:rPr>
          <w:color w:val="auto"/>
          <w:szCs w:val="21"/>
          <w:highlight w:val="none"/>
        </w:rPr>
        <w:t>：</w:t>
      </w:r>
      <w:r>
        <w:rPr>
          <w:color w:val="auto"/>
          <w:szCs w:val="21"/>
          <w:highlight w:val="none"/>
          <w:u w:val="single"/>
        </w:rPr>
        <w:t xml:space="preserve">                          </w:t>
      </w:r>
      <w:r>
        <w:rPr>
          <w:rFonts w:hint="eastAsia"/>
          <w:color w:val="auto"/>
          <w:szCs w:val="21"/>
          <w:highlight w:val="none"/>
          <w:u w:val="single"/>
        </w:rPr>
        <w:t xml:space="preserve">  </w:t>
      </w:r>
    </w:p>
    <w:p w14:paraId="5ADA757B">
      <w:pPr>
        <w:spacing w:line="600" w:lineRule="exact"/>
        <w:ind w:firstLine="4326" w:firstLineChars="2060"/>
        <w:rPr>
          <w:rFonts w:ascii="Times New Roman" w:hAnsi="黑体" w:eastAsia="黑体" w:cs="Times New Roman"/>
          <w:b/>
          <w:color w:val="auto"/>
          <w:sz w:val="32"/>
          <w:szCs w:val="32"/>
          <w:highlight w:val="none"/>
        </w:rPr>
      </w:pP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7BA574F1">
      <w:pPr>
        <w:rPr>
          <w:rFonts w:hint="eastAsia" w:ascii="Times New Roman" w:hAnsi="黑体" w:eastAsia="黑体" w:cs="Times New Roman"/>
          <w:b/>
          <w:color w:val="auto"/>
          <w:sz w:val="32"/>
          <w:szCs w:val="32"/>
          <w:highlight w:val="none"/>
        </w:rPr>
      </w:pPr>
      <w:r>
        <w:rPr>
          <w:rFonts w:hint="eastAsia" w:ascii="Times New Roman" w:hAnsi="黑体" w:eastAsia="黑体" w:cs="Times New Roman"/>
          <w:b/>
          <w:color w:val="auto"/>
          <w:sz w:val="32"/>
          <w:szCs w:val="32"/>
          <w:highlight w:val="none"/>
        </w:rPr>
        <w:br w:type="page"/>
      </w:r>
    </w:p>
    <w:p w14:paraId="1AC5F6FD">
      <w:pPr>
        <w:jc w:val="center"/>
        <w:outlineLvl w:val="0"/>
        <w:rPr>
          <w:rFonts w:ascii="Times New Roman" w:hAnsi="黑体" w:eastAsia="黑体" w:cs="Times New Roman"/>
          <w:b/>
          <w:color w:val="auto"/>
          <w:sz w:val="32"/>
          <w:szCs w:val="32"/>
          <w:highlight w:val="none"/>
        </w:rPr>
      </w:pPr>
      <w:bookmarkStart w:id="1108" w:name="_Toc10794"/>
      <w:r>
        <w:rPr>
          <w:rFonts w:hint="eastAsia" w:ascii="Times New Roman" w:hAnsi="黑体" w:eastAsia="黑体" w:cs="Times New Roman"/>
          <w:b/>
          <w:color w:val="auto"/>
          <w:sz w:val="32"/>
          <w:szCs w:val="32"/>
          <w:highlight w:val="none"/>
        </w:rPr>
        <w:t>第5章　工程量清单</w:t>
      </w:r>
      <w:bookmarkEnd w:id="1108"/>
    </w:p>
    <w:p w14:paraId="18B85DD1">
      <w:pPr>
        <w:rPr>
          <w:b/>
          <w:color w:val="auto"/>
          <w:highlight w:val="none"/>
        </w:rPr>
      </w:pPr>
    </w:p>
    <w:p w14:paraId="1E9FE251">
      <w:pPr>
        <w:rPr>
          <w:rFonts w:hint="eastAsia"/>
          <w:color w:val="auto"/>
          <w:highlight w:val="none"/>
          <w:lang w:val="en-US" w:eastAsia="zh-CN"/>
        </w:rPr>
      </w:pPr>
      <w:bookmarkStart w:id="1109" w:name="第05章工程量清单投标01"/>
      <w:bookmarkEnd w:id="1109"/>
    </w:p>
    <w:p w14:paraId="1BC12767">
      <w:pPr>
        <w:rPr>
          <w:rFonts w:hint="eastAsia"/>
          <w:color w:val="auto"/>
          <w:highlight w:val="none"/>
          <w:lang w:val="en-US" w:eastAsia="zh-CN"/>
        </w:rPr>
      </w:pPr>
    </w:p>
    <w:p w14:paraId="0AEC5895">
      <w:pPr>
        <w:rPr>
          <w:rFonts w:hint="eastAsia"/>
          <w:color w:val="auto"/>
          <w:highlight w:val="none"/>
          <w:lang w:val="en-US" w:eastAsia="zh-CN"/>
        </w:rPr>
      </w:pPr>
    </w:p>
    <w:p w14:paraId="5D2B797A">
      <w:pPr>
        <w:rPr>
          <w:rFonts w:hint="eastAsia"/>
          <w:color w:val="auto"/>
          <w:highlight w:val="none"/>
          <w:lang w:val="en-US" w:eastAsia="zh-CN"/>
        </w:rPr>
      </w:pPr>
    </w:p>
    <w:p w14:paraId="43546DEA">
      <w:pPr>
        <w:rPr>
          <w:rFonts w:hint="eastAsia"/>
          <w:color w:val="auto"/>
          <w:highlight w:val="none"/>
          <w:lang w:val="en-US" w:eastAsia="zh-CN"/>
        </w:rPr>
      </w:pPr>
    </w:p>
    <w:p w14:paraId="0C01CB4D">
      <w:pPr>
        <w:rPr>
          <w:rFonts w:hint="eastAsia"/>
          <w:color w:val="auto"/>
          <w:highlight w:val="none"/>
          <w:lang w:val="en-US" w:eastAsia="zh-CN"/>
        </w:rPr>
      </w:pPr>
    </w:p>
    <w:p w14:paraId="02DE28A0">
      <w:pPr>
        <w:rPr>
          <w:rFonts w:hint="eastAsia"/>
          <w:color w:val="auto"/>
          <w:highlight w:val="none"/>
          <w:lang w:val="en-US" w:eastAsia="zh-CN"/>
        </w:rPr>
      </w:pPr>
    </w:p>
    <w:p w14:paraId="687FE7C0">
      <w:pPr>
        <w:rPr>
          <w:rFonts w:hint="eastAsia"/>
          <w:color w:val="auto"/>
          <w:highlight w:val="none"/>
          <w:lang w:val="en-US" w:eastAsia="zh-CN"/>
        </w:rPr>
      </w:pPr>
    </w:p>
    <w:p w14:paraId="399A1526">
      <w:pPr>
        <w:rPr>
          <w:rFonts w:hint="eastAsia"/>
          <w:color w:val="auto"/>
          <w:highlight w:val="none"/>
          <w:lang w:val="en-US" w:eastAsia="zh-CN"/>
        </w:rPr>
      </w:pPr>
    </w:p>
    <w:p w14:paraId="33261A64">
      <w:pPr>
        <w:rPr>
          <w:rFonts w:hint="eastAsia"/>
          <w:color w:val="auto"/>
          <w:highlight w:val="none"/>
          <w:lang w:val="en-US" w:eastAsia="zh-CN"/>
        </w:rPr>
      </w:pPr>
    </w:p>
    <w:p w14:paraId="4C3B3F68">
      <w:pPr>
        <w:rPr>
          <w:rFonts w:hint="eastAsia"/>
          <w:color w:val="auto"/>
          <w:highlight w:val="none"/>
          <w:lang w:val="en-US" w:eastAsia="zh-CN"/>
        </w:rPr>
      </w:pPr>
    </w:p>
    <w:p w14:paraId="4C4269E7">
      <w:pPr>
        <w:rPr>
          <w:rFonts w:hint="eastAsia"/>
          <w:color w:val="auto"/>
          <w:highlight w:val="none"/>
          <w:lang w:val="en-US" w:eastAsia="zh-CN"/>
        </w:rPr>
      </w:pPr>
    </w:p>
    <w:p w14:paraId="259E52E4">
      <w:pPr>
        <w:rPr>
          <w:rFonts w:hint="eastAsia"/>
          <w:color w:val="auto"/>
          <w:highlight w:val="none"/>
          <w:lang w:val="en-US" w:eastAsia="zh-CN"/>
        </w:rPr>
      </w:pPr>
    </w:p>
    <w:p w14:paraId="215D8460">
      <w:pPr>
        <w:rPr>
          <w:rFonts w:hint="eastAsia"/>
          <w:color w:val="auto"/>
          <w:highlight w:val="none"/>
          <w:lang w:val="en-US" w:eastAsia="zh-CN"/>
        </w:rPr>
      </w:pPr>
    </w:p>
    <w:p w14:paraId="69548C19">
      <w:pPr>
        <w:rPr>
          <w:rFonts w:hint="eastAsia"/>
          <w:color w:val="auto"/>
          <w:highlight w:val="none"/>
          <w:lang w:val="en-US" w:eastAsia="zh-CN"/>
        </w:rPr>
      </w:pPr>
    </w:p>
    <w:p w14:paraId="3CC27D76">
      <w:pPr>
        <w:rPr>
          <w:rFonts w:hint="eastAsia"/>
          <w:color w:val="auto"/>
          <w:highlight w:val="none"/>
          <w:lang w:val="en-US" w:eastAsia="zh-CN"/>
        </w:rPr>
      </w:pPr>
    </w:p>
    <w:p w14:paraId="3E25E315">
      <w:pPr>
        <w:rPr>
          <w:rFonts w:hint="eastAsia"/>
          <w:color w:val="auto"/>
          <w:highlight w:val="none"/>
          <w:lang w:val="en-US" w:eastAsia="zh-CN"/>
        </w:rPr>
      </w:pPr>
    </w:p>
    <w:p w14:paraId="2EB236B1">
      <w:pPr>
        <w:rPr>
          <w:rFonts w:hint="eastAsia"/>
          <w:color w:val="auto"/>
          <w:highlight w:val="none"/>
          <w:lang w:val="en-US" w:eastAsia="zh-CN"/>
        </w:rPr>
      </w:pPr>
    </w:p>
    <w:p w14:paraId="57561C9F">
      <w:pPr>
        <w:rPr>
          <w:rFonts w:hint="eastAsia"/>
          <w:color w:val="auto"/>
          <w:highlight w:val="none"/>
          <w:lang w:val="en-US" w:eastAsia="zh-CN"/>
        </w:rPr>
      </w:pPr>
    </w:p>
    <w:p w14:paraId="1FC2B4A6">
      <w:pPr>
        <w:rPr>
          <w:rFonts w:hint="eastAsia"/>
          <w:color w:val="auto"/>
          <w:highlight w:val="none"/>
          <w:lang w:val="en-US" w:eastAsia="zh-CN"/>
        </w:rPr>
      </w:pPr>
    </w:p>
    <w:p w14:paraId="42A31108">
      <w:pPr>
        <w:rPr>
          <w:rFonts w:hint="eastAsia"/>
          <w:color w:val="auto"/>
          <w:highlight w:val="none"/>
          <w:lang w:val="en-US" w:eastAsia="zh-CN"/>
        </w:rPr>
      </w:pPr>
    </w:p>
    <w:p w14:paraId="0AB837C3">
      <w:pPr>
        <w:rPr>
          <w:rFonts w:hint="eastAsia"/>
          <w:color w:val="auto"/>
          <w:highlight w:val="none"/>
          <w:lang w:val="en-US" w:eastAsia="zh-CN"/>
        </w:rPr>
      </w:pPr>
    </w:p>
    <w:p w14:paraId="47296B8E">
      <w:pPr>
        <w:rPr>
          <w:rFonts w:hint="eastAsia"/>
          <w:color w:val="auto"/>
          <w:highlight w:val="none"/>
          <w:lang w:val="en-US" w:eastAsia="zh-CN"/>
        </w:rPr>
      </w:pPr>
    </w:p>
    <w:p w14:paraId="106ACFEC">
      <w:pPr>
        <w:rPr>
          <w:rFonts w:hint="eastAsia"/>
          <w:color w:val="auto"/>
          <w:highlight w:val="none"/>
          <w:lang w:val="en-US" w:eastAsia="zh-CN"/>
        </w:rPr>
      </w:pPr>
    </w:p>
    <w:p w14:paraId="33C44A33">
      <w:pPr>
        <w:rPr>
          <w:rFonts w:hint="eastAsia"/>
          <w:color w:val="auto"/>
          <w:highlight w:val="none"/>
          <w:lang w:val="en-US" w:eastAsia="zh-CN"/>
        </w:rPr>
      </w:pPr>
    </w:p>
    <w:p w14:paraId="074C3280">
      <w:pPr>
        <w:rPr>
          <w:rFonts w:hint="eastAsia"/>
          <w:color w:val="auto"/>
          <w:highlight w:val="none"/>
          <w:lang w:val="en-US" w:eastAsia="zh-CN"/>
        </w:rPr>
      </w:pPr>
    </w:p>
    <w:p w14:paraId="2CA314A6">
      <w:pPr>
        <w:rPr>
          <w:rFonts w:hint="eastAsia"/>
          <w:color w:val="auto"/>
          <w:highlight w:val="none"/>
          <w:lang w:val="en-US" w:eastAsia="zh-CN"/>
        </w:rPr>
      </w:pPr>
    </w:p>
    <w:p w14:paraId="7952D01D">
      <w:pPr>
        <w:rPr>
          <w:rFonts w:hint="eastAsia"/>
          <w:color w:val="auto"/>
          <w:highlight w:val="none"/>
          <w:lang w:val="en-US" w:eastAsia="zh-CN"/>
        </w:rPr>
      </w:pPr>
    </w:p>
    <w:p w14:paraId="3D033CEF">
      <w:pPr>
        <w:rPr>
          <w:rFonts w:hint="eastAsia"/>
          <w:color w:val="auto"/>
          <w:highlight w:val="none"/>
          <w:lang w:val="en-US" w:eastAsia="zh-CN"/>
        </w:rPr>
      </w:pPr>
    </w:p>
    <w:p w14:paraId="223D52F5">
      <w:pPr>
        <w:rPr>
          <w:rFonts w:hint="eastAsia"/>
          <w:color w:val="auto"/>
          <w:highlight w:val="none"/>
          <w:lang w:val="en-US" w:eastAsia="zh-CN"/>
        </w:rPr>
      </w:pPr>
    </w:p>
    <w:p w14:paraId="50C2ADCD">
      <w:pPr>
        <w:rPr>
          <w:rFonts w:hint="eastAsia"/>
          <w:color w:val="auto"/>
          <w:highlight w:val="none"/>
          <w:lang w:val="en-US" w:eastAsia="zh-CN"/>
        </w:rPr>
      </w:pPr>
    </w:p>
    <w:p w14:paraId="3D704709">
      <w:pPr>
        <w:rPr>
          <w:rFonts w:hint="eastAsia"/>
          <w:color w:val="auto"/>
          <w:highlight w:val="none"/>
          <w:lang w:val="en-US" w:eastAsia="zh-CN"/>
        </w:rPr>
      </w:pPr>
    </w:p>
    <w:p w14:paraId="59FF6B62">
      <w:pPr>
        <w:rPr>
          <w:rFonts w:hint="eastAsia"/>
          <w:color w:val="auto"/>
          <w:highlight w:val="none"/>
          <w:lang w:val="en-US" w:eastAsia="zh-CN"/>
        </w:rPr>
      </w:pPr>
    </w:p>
    <w:p w14:paraId="42B5464D">
      <w:pPr>
        <w:rPr>
          <w:rFonts w:hint="eastAsia"/>
          <w:color w:val="auto"/>
          <w:highlight w:val="none"/>
          <w:lang w:val="en-US" w:eastAsia="zh-CN"/>
        </w:rPr>
      </w:pPr>
    </w:p>
    <w:p w14:paraId="1C7E8EA0">
      <w:pPr>
        <w:rPr>
          <w:rFonts w:hint="eastAsia"/>
          <w:color w:val="auto"/>
          <w:highlight w:val="none"/>
          <w:lang w:val="en-US" w:eastAsia="zh-CN"/>
        </w:rPr>
      </w:pPr>
    </w:p>
    <w:p w14:paraId="54BB2EF4">
      <w:pPr>
        <w:rPr>
          <w:rFonts w:hint="eastAsia"/>
          <w:color w:val="auto"/>
          <w:highlight w:val="none"/>
          <w:lang w:val="en-US" w:eastAsia="zh-CN"/>
        </w:rPr>
      </w:pPr>
    </w:p>
    <w:p w14:paraId="184C5CEE">
      <w:pPr>
        <w:rPr>
          <w:rFonts w:hint="eastAsia"/>
          <w:color w:val="auto"/>
          <w:highlight w:val="none"/>
          <w:lang w:val="en-US" w:eastAsia="zh-CN"/>
        </w:rPr>
      </w:pPr>
    </w:p>
    <w:p w14:paraId="0B72EFB5">
      <w:pPr>
        <w:rPr>
          <w:rFonts w:hint="eastAsia"/>
          <w:color w:val="auto"/>
          <w:highlight w:val="none"/>
          <w:lang w:val="en-US" w:eastAsia="zh-CN"/>
        </w:rPr>
      </w:pPr>
    </w:p>
    <w:p w14:paraId="54857196">
      <w:pPr>
        <w:rPr>
          <w:rFonts w:hint="eastAsia"/>
          <w:color w:val="auto"/>
          <w:highlight w:val="none"/>
          <w:lang w:val="en-US" w:eastAsia="zh-CN"/>
        </w:rPr>
      </w:pPr>
    </w:p>
    <w:p w14:paraId="34ECC784">
      <w:pPr>
        <w:rPr>
          <w:rFonts w:hint="eastAsia"/>
          <w:color w:val="auto"/>
          <w:highlight w:val="none"/>
          <w:lang w:val="en-US" w:eastAsia="zh-CN"/>
        </w:rPr>
      </w:pPr>
    </w:p>
    <w:p w14:paraId="5BF73E5F">
      <w:pPr>
        <w:rPr>
          <w:rFonts w:hint="eastAsia"/>
          <w:color w:val="auto"/>
          <w:highlight w:val="none"/>
          <w:lang w:val="en-US" w:eastAsia="zh-CN"/>
        </w:rPr>
      </w:pPr>
    </w:p>
    <w:p w14:paraId="210C3F12">
      <w:pPr>
        <w:rPr>
          <w:color w:val="auto"/>
          <w:highlight w:val="none"/>
        </w:rPr>
      </w:pPr>
    </w:p>
    <w:p w14:paraId="768A1CA8">
      <w:pPr>
        <w:rPr>
          <w:color w:val="auto"/>
          <w:highlight w:val="none"/>
        </w:rPr>
      </w:pPr>
    </w:p>
    <w:p w14:paraId="0072CDA6">
      <w:pPr>
        <w:rPr>
          <w:color w:val="auto"/>
          <w:highlight w:val="none"/>
        </w:rPr>
      </w:pPr>
    </w:p>
    <w:p w14:paraId="6DB4CC7C">
      <w:pPr>
        <w:jc w:val="center"/>
        <w:outlineLvl w:val="0"/>
        <w:rPr>
          <w:rFonts w:hint="eastAsia" w:ascii="黑体" w:hAnsi="黑体" w:eastAsia="黑体" w:cs="Times New Roman"/>
          <w:b/>
          <w:color w:val="auto"/>
          <w:sz w:val="52"/>
          <w:szCs w:val="52"/>
          <w:highlight w:val="none"/>
        </w:rPr>
      </w:pPr>
      <w:bookmarkStart w:id="1110" w:name="第02卷"/>
      <w:bookmarkEnd w:id="1110"/>
      <w:bookmarkStart w:id="1111" w:name="_Toc20774"/>
      <w:r>
        <w:rPr>
          <w:rFonts w:hint="eastAsia" w:ascii="黑体" w:hAnsi="黑体" w:eastAsia="黑体" w:cs="Times New Roman"/>
          <w:b/>
          <w:color w:val="auto"/>
          <w:sz w:val="52"/>
          <w:szCs w:val="52"/>
          <w:highlight w:val="none"/>
        </w:rPr>
        <w:t>第二卷</w:t>
      </w:r>
      <w:bookmarkEnd w:id="1111"/>
    </w:p>
    <w:p w14:paraId="28CD7000">
      <w:pPr>
        <w:rPr>
          <w:color w:val="auto"/>
          <w:highlight w:val="none"/>
        </w:rPr>
      </w:pPr>
    </w:p>
    <w:p w14:paraId="55B75ED2">
      <w:pPr>
        <w:rPr>
          <w:color w:val="auto"/>
          <w:highlight w:val="none"/>
        </w:rPr>
      </w:pPr>
    </w:p>
    <w:p w14:paraId="6AD638F1">
      <w:pPr>
        <w:rPr>
          <w:color w:val="auto"/>
          <w:highlight w:val="none"/>
        </w:rPr>
      </w:pPr>
      <w:r>
        <w:rPr>
          <w:color w:val="auto"/>
          <w:highlight w:val="none"/>
        </w:rPr>
        <w:br w:type="page"/>
      </w:r>
    </w:p>
    <w:p w14:paraId="46807526">
      <w:pPr>
        <w:jc w:val="center"/>
        <w:outlineLvl w:val="0"/>
        <w:rPr>
          <w:rFonts w:hint="eastAsia" w:eastAsia="黑体"/>
          <w:b/>
          <w:color w:val="auto"/>
          <w:sz w:val="32"/>
          <w:szCs w:val="32"/>
          <w:highlight w:val="none"/>
          <w:lang w:eastAsia="zh-CN"/>
        </w:rPr>
      </w:pPr>
      <w:bookmarkStart w:id="1112" w:name="第06章图纸招标"/>
      <w:bookmarkEnd w:id="1112"/>
      <w:bookmarkStart w:id="1113" w:name="_Toc3481"/>
      <w:r>
        <w:rPr>
          <w:rFonts w:hAnsi="黑体" w:eastAsia="黑体"/>
          <w:b/>
          <w:color w:val="auto"/>
          <w:sz w:val="32"/>
          <w:szCs w:val="32"/>
          <w:highlight w:val="none"/>
        </w:rPr>
        <w:t>第</w:t>
      </w:r>
      <w:r>
        <w:rPr>
          <w:rFonts w:eastAsia="黑体"/>
          <w:b/>
          <w:color w:val="auto"/>
          <w:sz w:val="32"/>
          <w:szCs w:val="32"/>
          <w:highlight w:val="none"/>
        </w:rPr>
        <w:t>6</w:t>
      </w:r>
      <w:r>
        <w:rPr>
          <w:rFonts w:hAnsi="黑体" w:eastAsia="黑体"/>
          <w:b/>
          <w:color w:val="auto"/>
          <w:sz w:val="32"/>
          <w:szCs w:val="32"/>
          <w:highlight w:val="none"/>
        </w:rPr>
        <w:t>章　图纸</w:t>
      </w:r>
      <w:r>
        <w:rPr>
          <w:rFonts w:hint="eastAsia" w:eastAsia="黑体"/>
          <w:b/>
          <w:color w:val="auto"/>
          <w:sz w:val="32"/>
          <w:szCs w:val="32"/>
          <w:highlight w:val="none"/>
          <w:lang w:eastAsia="zh-CN"/>
        </w:rPr>
        <w:t>（</w:t>
      </w:r>
      <w:r>
        <w:rPr>
          <w:rFonts w:hAnsi="黑体" w:eastAsia="黑体"/>
          <w:b/>
          <w:color w:val="auto"/>
          <w:sz w:val="32"/>
          <w:szCs w:val="32"/>
          <w:highlight w:val="none"/>
        </w:rPr>
        <w:t>招标图纸</w:t>
      </w:r>
      <w:r>
        <w:rPr>
          <w:rFonts w:hint="eastAsia" w:eastAsia="黑体"/>
          <w:b/>
          <w:color w:val="auto"/>
          <w:sz w:val="32"/>
          <w:szCs w:val="32"/>
          <w:highlight w:val="none"/>
          <w:lang w:eastAsia="zh-CN"/>
        </w:rPr>
        <w:t>）</w:t>
      </w:r>
      <w:bookmarkEnd w:id="1113"/>
    </w:p>
    <w:p w14:paraId="7C5D4491">
      <w:pPr>
        <w:rPr>
          <w:color w:val="auto"/>
          <w:highlight w:val="none"/>
        </w:rPr>
      </w:pPr>
    </w:p>
    <w:p w14:paraId="780960C1">
      <w:pPr>
        <w:ind w:firstLine="420" w:firstLineChars="200"/>
        <w:rPr>
          <w:color w:val="auto"/>
          <w:highlight w:val="none"/>
        </w:rPr>
      </w:pPr>
      <w:bookmarkStart w:id="1114" w:name="第06章图纸招标01"/>
      <w:bookmarkEnd w:id="1114"/>
    </w:p>
    <w:p w14:paraId="1E277DF0">
      <w:pPr>
        <w:rPr>
          <w:color w:val="auto"/>
          <w:highlight w:val="none"/>
        </w:rPr>
      </w:pPr>
    </w:p>
    <w:p w14:paraId="280A42AA">
      <w:pPr>
        <w:ind w:firstLine="420" w:firstLineChars="200"/>
        <w:jc w:val="both"/>
        <w:rPr>
          <w:rFonts w:hint="default"/>
          <w:color w:val="auto"/>
          <w:highlight w:val="none"/>
          <w:lang w:val="en-US" w:eastAsia="zh-CN"/>
        </w:rPr>
      </w:pPr>
      <w:bookmarkStart w:id="1115" w:name="第03卷"/>
      <w:bookmarkEnd w:id="1115"/>
      <w:r>
        <w:rPr>
          <w:rFonts w:hint="eastAsia"/>
          <w:color w:val="auto"/>
          <w:highlight w:val="none"/>
          <w:lang w:val="en-US" w:eastAsia="zh-CN"/>
        </w:rPr>
        <w:t>招标人按项目实际情况以附件形式提供。</w:t>
      </w:r>
    </w:p>
    <w:p w14:paraId="229D4401">
      <w:pPr>
        <w:jc w:val="center"/>
        <w:rPr>
          <w:rFonts w:hint="eastAsia" w:ascii="黑体" w:hAnsi="黑体" w:eastAsia="黑体"/>
          <w:color w:val="auto"/>
          <w:sz w:val="52"/>
          <w:szCs w:val="52"/>
          <w:highlight w:val="none"/>
        </w:rPr>
        <w:sectPr>
          <w:headerReference r:id="rId4" w:type="default"/>
          <w:footerReference r:id="rId5" w:type="default"/>
          <w:pgSz w:w="11906" w:h="16838"/>
          <w:pgMar w:top="1418" w:right="1361" w:bottom="1418" w:left="1418" w:header="851" w:footer="992" w:gutter="0"/>
          <w:pgNumType w:fmt="decimal"/>
          <w:cols w:space="720" w:num="1"/>
          <w:docGrid w:type="linesAndChars" w:linePitch="312" w:charSpace="0"/>
        </w:sectPr>
      </w:pPr>
    </w:p>
    <w:p w14:paraId="72E894BD">
      <w:pPr>
        <w:jc w:val="center"/>
        <w:outlineLvl w:val="0"/>
        <w:rPr>
          <w:rFonts w:hint="eastAsia" w:ascii="黑体" w:hAnsi="黑体" w:eastAsia="黑体" w:cs="Times New Roman"/>
          <w:b/>
          <w:color w:val="auto"/>
          <w:sz w:val="52"/>
          <w:szCs w:val="52"/>
          <w:highlight w:val="none"/>
        </w:rPr>
      </w:pPr>
      <w:bookmarkStart w:id="1116" w:name="_Toc10876"/>
      <w:r>
        <w:rPr>
          <w:rFonts w:hint="eastAsia" w:ascii="黑体" w:hAnsi="黑体" w:eastAsia="黑体" w:cs="Times New Roman"/>
          <w:b/>
          <w:color w:val="auto"/>
          <w:sz w:val="52"/>
          <w:szCs w:val="52"/>
          <w:highlight w:val="none"/>
        </w:rPr>
        <w:t>第三卷</w:t>
      </w:r>
      <w:bookmarkEnd w:id="1116"/>
    </w:p>
    <w:p w14:paraId="37BA376A">
      <w:pPr>
        <w:rPr>
          <w:color w:val="auto"/>
          <w:highlight w:val="none"/>
        </w:rPr>
      </w:pPr>
      <w:r>
        <w:rPr>
          <w:color w:val="auto"/>
          <w:highlight w:val="none"/>
        </w:rPr>
        <w:br w:type="page"/>
      </w:r>
    </w:p>
    <w:p w14:paraId="0E907DA3">
      <w:pPr>
        <w:jc w:val="center"/>
        <w:outlineLvl w:val="0"/>
        <w:rPr>
          <w:rFonts w:eastAsia="黑体"/>
          <w:color w:val="auto"/>
          <w:sz w:val="32"/>
          <w:szCs w:val="32"/>
          <w:highlight w:val="none"/>
        </w:rPr>
      </w:pPr>
      <w:bookmarkStart w:id="1117" w:name="第07章技术标准和要求"/>
      <w:bookmarkEnd w:id="1117"/>
      <w:bookmarkStart w:id="1118" w:name="_Toc27087"/>
      <w:r>
        <w:rPr>
          <w:rFonts w:hAnsi="黑体" w:eastAsia="黑体"/>
          <w:color w:val="auto"/>
          <w:sz w:val="32"/>
          <w:szCs w:val="32"/>
          <w:highlight w:val="none"/>
        </w:rPr>
        <w:t>第</w:t>
      </w:r>
      <w:r>
        <w:rPr>
          <w:rFonts w:eastAsia="黑体"/>
          <w:color w:val="auto"/>
          <w:sz w:val="32"/>
          <w:szCs w:val="32"/>
          <w:highlight w:val="none"/>
        </w:rPr>
        <w:t>7</w:t>
      </w:r>
      <w:r>
        <w:rPr>
          <w:rFonts w:hAnsi="黑体" w:eastAsia="黑体"/>
          <w:color w:val="auto"/>
          <w:sz w:val="32"/>
          <w:szCs w:val="32"/>
          <w:highlight w:val="none"/>
        </w:rPr>
        <w:t>章　技术标准和要求</w:t>
      </w:r>
      <w:bookmarkEnd w:id="1118"/>
    </w:p>
    <w:p w14:paraId="6BAA48E1">
      <w:pPr>
        <w:rPr>
          <w:color w:val="auto"/>
          <w:highlight w:val="none"/>
        </w:rPr>
      </w:pPr>
    </w:p>
    <w:p w14:paraId="6FE8FFC5">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ascii="Times New Roman" w:hAnsi="Times New Roman"/>
          <w:color w:val="auto"/>
          <w:szCs w:val="24"/>
          <w:highlight w:val="none"/>
        </w:rPr>
      </w:pPr>
      <w:r>
        <w:rPr>
          <w:rFonts w:hint="default" w:ascii="Times New Roman" w:hAnsi="Times New Roman"/>
          <w:color w:val="auto"/>
          <w:szCs w:val="24"/>
          <w:highlight w:val="none"/>
        </w:rPr>
        <w:t>除合同另有约定外，本工程适用现行国家、行业和地方规范、标准和规程。</w:t>
      </w:r>
    </w:p>
    <w:p w14:paraId="7A5E3DB4">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ascii="Times New Roman" w:hAnsi="Times New Roman"/>
          <w:color w:val="auto"/>
          <w:szCs w:val="24"/>
          <w:highlight w:val="none"/>
        </w:rPr>
      </w:pPr>
      <w:r>
        <w:rPr>
          <w:rFonts w:hint="default" w:ascii="Times New Roman" w:hAnsi="Times New Roman"/>
          <w:color w:val="auto"/>
          <w:szCs w:val="24"/>
          <w:highlight w:val="none"/>
        </w:rPr>
        <w:t>构成合同文件的任何内容与适用的规范、标准和规程之间出现矛盾，承包人应书面要求监理人予以澄清，除监理人有特别指示外，承包人应按照其中要求最严格的标准执行。</w:t>
      </w:r>
    </w:p>
    <w:p w14:paraId="693D3288">
      <w:pPr>
        <w:ind w:firstLine="210" w:firstLineChars="100"/>
        <w:rPr>
          <w:color w:val="auto"/>
          <w:highlight w:val="none"/>
        </w:rPr>
      </w:pPr>
      <w:r>
        <w:rPr>
          <w:color w:val="auto"/>
          <w:highlight w:val="none"/>
        </w:rPr>
        <w:br w:type="page"/>
      </w:r>
    </w:p>
    <w:p w14:paraId="36704AFA">
      <w:pPr>
        <w:rPr>
          <w:color w:val="auto"/>
          <w:highlight w:val="none"/>
        </w:rPr>
      </w:pPr>
    </w:p>
    <w:p w14:paraId="21E79C62">
      <w:pPr>
        <w:rPr>
          <w:color w:val="auto"/>
          <w:highlight w:val="none"/>
        </w:rPr>
      </w:pPr>
    </w:p>
    <w:p w14:paraId="250D349E">
      <w:pPr>
        <w:rPr>
          <w:color w:val="auto"/>
          <w:highlight w:val="none"/>
        </w:rPr>
      </w:pPr>
    </w:p>
    <w:p w14:paraId="17C718A1">
      <w:pPr>
        <w:rPr>
          <w:color w:val="auto"/>
          <w:highlight w:val="none"/>
        </w:rPr>
      </w:pPr>
    </w:p>
    <w:p w14:paraId="72ABA6CF">
      <w:pPr>
        <w:rPr>
          <w:color w:val="auto"/>
          <w:highlight w:val="none"/>
        </w:rPr>
      </w:pPr>
    </w:p>
    <w:p w14:paraId="090EDE32">
      <w:pPr>
        <w:jc w:val="center"/>
        <w:outlineLvl w:val="0"/>
        <w:rPr>
          <w:rFonts w:hint="eastAsia" w:ascii="黑体" w:hAnsi="黑体" w:eastAsia="黑体" w:cs="Times New Roman"/>
          <w:b/>
          <w:color w:val="auto"/>
          <w:sz w:val="52"/>
          <w:szCs w:val="52"/>
          <w:highlight w:val="none"/>
        </w:rPr>
      </w:pPr>
      <w:bookmarkStart w:id="1119" w:name="第04卷"/>
      <w:bookmarkEnd w:id="1119"/>
      <w:bookmarkStart w:id="1120" w:name="_Toc973"/>
      <w:r>
        <w:rPr>
          <w:rFonts w:hint="eastAsia" w:ascii="黑体" w:hAnsi="黑体" w:eastAsia="黑体" w:cs="Times New Roman"/>
          <w:b/>
          <w:color w:val="auto"/>
          <w:sz w:val="52"/>
          <w:szCs w:val="52"/>
          <w:highlight w:val="none"/>
        </w:rPr>
        <w:t>第四卷</w:t>
      </w:r>
      <w:bookmarkEnd w:id="1120"/>
    </w:p>
    <w:p w14:paraId="2E579FC0">
      <w:pPr>
        <w:rPr>
          <w:color w:val="auto"/>
          <w:highlight w:val="none"/>
        </w:rPr>
      </w:pPr>
    </w:p>
    <w:p w14:paraId="642D3E98">
      <w:pPr>
        <w:rPr>
          <w:color w:val="auto"/>
          <w:highlight w:val="none"/>
        </w:rPr>
      </w:pPr>
      <w:r>
        <w:rPr>
          <w:color w:val="auto"/>
          <w:highlight w:val="none"/>
        </w:rPr>
        <w:br w:type="page"/>
      </w:r>
    </w:p>
    <w:p w14:paraId="7164EA34">
      <w:pPr>
        <w:jc w:val="center"/>
        <w:outlineLvl w:val="0"/>
        <w:rPr>
          <w:rFonts w:eastAsia="黑体"/>
          <w:b/>
          <w:color w:val="auto"/>
          <w:sz w:val="32"/>
          <w:szCs w:val="32"/>
          <w:highlight w:val="none"/>
        </w:rPr>
      </w:pPr>
      <w:bookmarkStart w:id="1121" w:name="第08章投标文件格式"/>
      <w:bookmarkEnd w:id="1121"/>
      <w:bookmarkStart w:id="1122" w:name="_Toc8224"/>
      <w:r>
        <w:rPr>
          <w:rFonts w:hAnsi="黑体" w:eastAsia="黑体"/>
          <w:b/>
          <w:color w:val="auto"/>
          <w:sz w:val="32"/>
          <w:szCs w:val="32"/>
          <w:highlight w:val="none"/>
        </w:rPr>
        <w:t>第</w:t>
      </w:r>
      <w:r>
        <w:rPr>
          <w:rFonts w:eastAsia="黑体"/>
          <w:b/>
          <w:color w:val="auto"/>
          <w:sz w:val="32"/>
          <w:szCs w:val="32"/>
          <w:highlight w:val="none"/>
        </w:rPr>
        <w:t>8</w:t>
      </w:r>
      <w:r>
        <w:rPr>
          <w:rFonts w:hAnsi="黑体" w:eastAsia="黑体"/>
          <w:b/>
          <w:color w:val="auto"/>
          <w:sz w:val="32"/>
          <w:szCs w:val="32"/>
          <w:highlight w:val="none"/>
        </w:rPr>
        <w:t>章　投标文件格式</w:t>
      </w:r>
      <w:bookmarkEnd w:id="1122"/>
    </w:p>
    <w:p w14:paraId="1AE01464">
      <w:pPr>
        <w:rPr>
          <w:color w:val="auto"/>
          <w:highlight w:val="none"/>
        </w:rPr>
      </w:pPr>
    </w:p>
    <w:p w14:paraId="68D74257">
      <w:pPr>
        <w:rPr>
          <w:color w:val="auto"/>
          <w:highlight w:val="none"/>
        </w:rPr>
      </w:pPr>
    </w:p>
    <w:p w14:paraId="21DD682F">
      <w:pPr>
        <w:rPr>
          <w:color w:val="auto"/>
          <w:highlight w:val="none"/>
        </w:rPr>
      </w:pPr>
      <w:r>
        <w:rPr>
          <w:color w:val="auto"/>
          <w:highlight w:val="none"/>
        </w:rPr>
        <w:br w:type="page"/>
      </w:r>
    </w:p>
    <w:p w14:paraId="58723161">
      <w:pPr>
        <w:rPr>
          <w:color w:val="auto"/>
          <w:highlight w:val="none"/>
        </w:rPr>
      </w:pPr>
    </w:p>
    <w:p w14:paraId="7D60FEC0">
      <w:pPr>
        <w:rPr>
          <w:color w:val="auto"/>
          <w:highlight w:val="none"/>
        </w:rPr>
      </w:pPr>
    </w:p>
    <w:p w14:paraId="605D5582">
      <w:pPr>
        <w:rPr>
          <w:color w:val="auto"/>
          <w:highlight w:val="none"/>
        </w:rPr>
      </w:pPr>
    </w:p>
    <w:p w14:paraId="30E03C19">
      <w:pPr>
        <w:jc w:val="center"/>
        <w:rPr>
          <w:rFonts w:hint="eastAsia" w:eastAsia="宋体"/>
          <w:color w:val="auto"/>
          <w:sz w:val="32"/>
          <w:szCs w:val="32"/>
          <w:highlight w:val="none"/>
          <w:lang w:eastAsia="zh-CN"/>
        </w:rPr>
      </w:pPr>
      <w:r>
        <w:rPr>
          <w:rFonts w:hint="eastAsia"/>
          <w:color w:val="auto"/>
          <w:sz w:val="32"/>
          <w:szCs w:val="32"/>
          <w:highlight w:val="none"/>
        </w:rPr>
        <w:t>　　　　　</w:t>
      </w:r>
      <w:r>
        <w:rPr>
          <w:rFonts w:hint="eastAsia"/>
          <w:color w:val="auto"/>
          <w:sz w:val="32"/>
          <w:szCs w:val="32"/>
          <w:highlight w:val="none"/>
          <w:lang w:eastAsia="zh-CN"/>
        </w:rPr>
        <w:t>（</w:t>
      </w:r>
      <w:r>
        <w:rPr>
          <w:rFonts w:hint="eastAsia"/>
          <w:color w:val="auto"/>
          <w:sz w:val="32"/>
          <w:szCs w:val="32"/>
          <w:highlight w:val="none"/>
        </w:rPr>
        <w:t>项目名称</w:t>
      </w:r>
      <w:r>
        <w:rPr>
          <w:rFonts w:hint="eastAsia"/>
          <w:color w:val="auto"/>
          <w:sz w:val="32"/>
          <w:szCs w:val="32"/>
          <w:highlight w:val="none"/>
          <w:lang w:eastAsia="zh-CN"/>
        </w:rPr>
        <w:t>）</w:t>
      </w:r>
      <w:r>
        <w:rPr>
          <w:rFonts w:hint="eastAsia"/>
          <w:color w:val="auto"/>
          <w:sz w:val="32"/>
          <w:szCs w:val="32"/>
          <w:highlight w:val="none"/>
        </w:rPr>
        <w:t>　　　　</w:t>
      </w:r>
      <w:r>
        <w:rPr>
          <w:rFonts w:hint="eastAsia"/>
          <w:color w:val="auto"/>
          <w:sz w:val="32"/>
          <w:szCs w:val="32"/>
          <w:highlight w:val="none"/>
          <w:lang w:eastAsia="zh-CN"/>
        </w:rPr>
        <w:t>（</w:t>
      </w:r>
      <w:r>
        <w:rPr>
          <w:rFonts w:hint="eastAsia"/>
          <w:color w:val="auto"/>
          <w:sz w:val="32"/>
          <w:szCs w:val="32"/>
          <w:highlight w:val="none"/>
        </w:rPr>
        <w:t>标段名称</w:t>
      </w:r>
      <w:r>
        <w:rPr>
          <w:rFonts w:hint="eastAsia"/>
          <w:color w:val="auto"/>
          <w:sz w:val="32"/>
          <w:szCs w:val="32"/>
          <w:highlight w:val="none"/>
          <w:lang w:eastAsia="zh-CN"/>
        </w:rPr>
        <w:t>）</w:t>
      </w:r>
    </w:p>
    <w:p w14:paraId="3F494E23">
      <w:pPr>
        <w:rPr>
          <w:color w:val="auto"/>
          <w:highlight w:val="none"/>
        </w:rPr>
      </w:pPr>
    </w:p>
    <w:p w14:paraId="4F5FA352">
      <w:pPr>
        <w:jc w:val="center"/>
        <w:rPr>
          <w:rFonts w:ascii="黑体" w:hAnsi="黑体" w:eastAsia="黑体"/>
          <w:b/>
          <w:color w:val="auto"/>
          <w:sz w:val="52"/>
          <w:szCs w:val="52"/>
          <w:highlight w:val="none"/>
        </w:rPr>
      </w:pPr>
      <w:r>
        <w:rPr>
          <w:rFonts w:hint="eastAsia" w:ascii="黑体" w:hAnsi="黑体" w:eastAsia="黑体"/>
          <w:b/>
          <w:color w:val="auto"/>
          <w:sz w:val="52"/>
          <w:szCs w:val="52"/>
          <w:highlight w:val="none"/>
        </w:rPr>
        <w:t>投标文件</w:t>
      </w:r>
    </w:p>
    <w:p w14:paraId="62462BD1">
      <w:pPr>
        <w:jc w:val="left"/>
        <w:rPr>
          <w:color w:val="auto"/>
          <w:highlight w:val="none"/>
        </w:rPr>
      </w:pPr>
    </w:p>
    <w:p w14:paraId="1FEC6CE7">
      <w:pPr>
        <w:jc w:val="left"/>
        <w:rPr>
          <w:color w:val="auto"/>
          <w:highlight w:val="none"/>
        </w:rPr>
      </w:pPr>
    </w:p>
    <w:p w14:paraId="00F6E0B4">
      <w:pPr>
        <w:jc w:val="left"/>
        <w:rPr>
          <w:color w:val="auto"/>
          <w:highlight w:val="none"/>
        </w:rPr>
      </w:pPr>
    </w:p>
    <w:p w14:paraId="7F024834">
      <w:pPr>
        <w:jc w:val="left"/>
        <w:rPr>
          <w:color w:val="auto"/>
          <w:highlight w:val="none"/>
        </w:rPr>
      </w:pPr>
    </w:p>
    <w:p w14:paraId="2A3E9AB0">
      <w:pPr>
        <w:jc w:val="left"/>
        <w:rPr>
          <w:color w:val="auto"/>
          <w:highlight w:val="none"/>
        </w:rPr>
      </w:pPr>
    </w:p>
    <w:p w14:paraId="04D4142F">
      <w:pPr>
        <w:jc w:val="left"/>
        <w:rPr>
          <w:color w:val="auto"/>
          <w:highlight w:val="none"/>
        </w:rPr>
      </w:pPr>
    </w:p>
    <w:p w14:paraId="22A42944">
      <w:pPr>
        <w:jc w:val="left"/>
        <w:rPr>
          <w:color w:val="auto"/>
          <w:highlight w:val="none"/>
        </w:rPr>
      </w:pPr>
    </w:p>
    <w:p w14:paraId="4E0CDEF5">
      <w:pPr>
        <w:jc w:val="left"/>
        <w:rPr>
          <w:color w:val="auto"/>
          <w:highlight w:val="none"/>
        </w:rPr>
      </w:pPr>
    </w:p>
    <w:p w14:paraId="496B8058">
      <w:pPr>
        <w:jc w:val="left"/>
        <w:rPr>
          <w:color w:val="auto"/>
          <w:highlight w:val="none"/>
        </w:rPr>
      </w:pPr>
    </w:p>
    <w:p w14:paraId="225F4CD2">
      <w:pPr>
        <w:jc w:val="left"/>
        <w:rPr>
          <w:color w:val="auto"/>
          <w:highlight w:val="none"/>
        </w:rPr>
      </w:pPr>
    </w:p>
    <w:p w14:paraId="50B4F5D7">
      <w:pPr>
        <w:jc w:val="left"/>
        <w:rPr>
          <w:color w:val="auto"/>
          <w:highlight w:val="none"/>
        </w:rPr>
      </w:pPr>
    </w:p>
    <w:p w14:paraId="1A008702">
      <w:pPr>
        <w:jc w:val="left"/>
        <w:rPr>
          <w:color w:val="auto"/>
          <w:highlight w:val="none"/>
        </w:rPr>
      </w:pPr>
    </w:p>
    <w:p w14:paraId="25844E68">
      <w:pPr>
        <w:jc w:val="left"/>
        <w:rPr>
          <w:color w:val="auto"/>
          <w:highlight w:val="none"/>
        </w:rPr>
      </w:pPr>
    </w:p>
    <w:p w14:paraId="26365B35">
      <w:pPr>
        <w:jc w:val="left"/>
        <w:rPr>
          <w:color w:val="auto"/>
          <w:highlight w:val="none"/>
        </w:rPr>
      </w:pPr>
    </w:p>
    <w:p w14:paraId="70E0148A">
      <w:pPr>
        <w:jc w:val="left"/>
        <w:rPr>
          <w:color w:val="auto"/>
          <w:highlight w:val="none"/>
        </w:rPr>
      </w:pPr>
    </w:p>
    <w:p w14:paraId="54BAD46A">
      <w:pPr>
        <w:jc w:val="left"/>
        <w:rPr>
          <w:color w:val="auto"/>
          <w:highlight w:val="none"/>
        </w:rPr>
      </w:pPr>
    </w:p>
    <w:p w14:paraId="10216285">
      <w:pPr>
        <w:jc w:val="left"/>
        <w:rPr>
          <w:color w:val="auto"/>
          <w:highlight w:val="none"/>
        </w:rPr>
      </w:pPr>
    </w:p>
    <w:p w14:paraId="175AACCF">
      <w:pPr>
        <w:jc w:val="left"/>
        <w:rPr>
          <w:color w:val="auto"/>
          <w:highlight w:val="none"/>
        </w:rPr>
      </w:pPr>
    </w:p>
    <w:p w14:paraId="4AABA8D7">
      <w:pPr>
        <w:jc w:val="left"/>
        <w:rPr>
          <w:color w:val="auto"/>
          <w:highlight w:val="none"/>
        </w:rPr>
      </w:pPr>
      <w:bookmarkStart w:id="1123" w:name="_Hlt269103121"/>
      <w:bookmarkEnd w:id="1123"/>
    </w:p>
    <w:p w14:paraId="4A015F1D">
      <w:pPr>
        <w:jc w:val="left"/>
        <w:rPr>
          <w:color w:val="auto"/>
          <w:highlight w:val="none"/>
        </w:rPr>
      </w:pPr>
    </w:p>
    <w:p w14:paraId="01D5BBA8">
      <w:pPr>
        <w:jc w:val="left"/>
        <w:rPr>
          <w:color w:val="auto"/>
          <w:highlight w:val="none"/>
        </w:rPr>
      </w:pPr>
    </w:p>
    <w:p w14:paraId="0E0C6143">
      <w:pPr>
        <w:jc w:val="left"/>
        <w:rPr>
          <w:color w:val="auto"/>
          <w:highlight w:val="none"/>
        </w:rPr>
      </w:pPr>
    </w:p>
    <w:p w14:paraId="23B650B6">
      <w:pPr>
        <w:jc w:val="center"/>
        <w:rPr>
          <w:color w:val="auto"/>
          <w:sz w:val="32"/>
          <w:szCs w:val="32"/>
          <w:highlight w:val="none"/>
        </w:rPr>
      </w:pPr>
      <w:r>
        <w:rPr>
          <w:rFonts w:hint="eastAsia"/>
          <w:color w:val="auto"/>
          <w:sz w:val="32"/>
          <w:szCs w:val="32"/>
          <w:highlight w:val="none"/>
        </w:rPr>
        <w:t>投标人：××××××</w:t>
      </w:r>
    </w:p>
    <w:p w14:paraId="490257F9">
      <w:pPr>
        <w:jc w:val="center"/>
        <w:rPr>
          <w:color w:val="auto"/>
          <w:sz w:val="32"/>
          <w:szCs w:val="32"/>
          <w:highlight w:val="none"/>
        </w:rPr>
      </w:pPr>
      <w:r>
        <w:rPr>
          <w:rFonts w:hint="eastAsia"/>
          <w:color w:val="auto"/>
          <w:sz w:val="32"/>
          <w:szCs w:val="32"/>
          <w:highlight w:val="none"/>
        </w:rPr>
        <w:t>　　　　年　　月　　日</w:t>
      </w:r>
    </w:p>
    <w:p w14:paraId="3F693D6E">
      <w:pPr>
        <w:rPr>
          <w:color w:val="auto"/>
          <w:highlight w:val="none"/>
        </w:rPr>
      </w:pPr>
    </w:p>
    <w:p w14:paraId="705C7331">
      <w:pPr>
        <w:rPr>
          <w:color w:val="auto"/>
          <w:highlight w:val="none"/>
        </w:rPr>
      </w:pPr>
      <w:r>
        <w:rPr>
          <w:color w:val="auto"/>
          <w:highlight w:val="none"/>
        </w:rPr>
        <w:br w:type="page"/>
      </w:r>
    </w:p>
    <w:p w14:paraId="6E4D0BDD">
      <w:pPr>
        <w:rPr>
          <w:color w:val="auto"/>
          <w:highlight w:val="none"/>
        </w:rPr>
      </w:pPr>
      <w:bookmarkStart w:id="1124" w:name="第08章投标文件格式00"/>
      <w:bookmarkEnd w:id="1124"/>
    </w:p>
    <w:p w14:paraId="0870FC1F">
      <w:pPr>
        <w:jc w:val="center"/>
        <w:rPr>
          <w:rFonts w:ascii="黑体" w:hAnsi="黑体" w:eastAsia="黑体"/>
          <w:color w:val="auto"/>
          <w:sz w:val="32"/>
          <w:szCs w:val="32"/>
          <w:highlight w:val="none"/>
        </w:rPr>
      </w:pPr>
      <w:bookmarkStart w:id="1125" w:name="_Hlt269103156"/>
      <w:bookmarkEnd w:id="1125"/>
      <w:r>
        <w:rPr>
          <w:rFonts w:hint="eastAsia" w:ascii="黑体" w:hAnsi="黑体" w:eastAsia="黑体"/>
          <w:color w:val="auto"/>
          <w:sz w:val="32"/>
          <w:szCs w:val="32"/>
          <w:highlight w:val="none"/>
        </w:rPr>
        <w:t>目录</w:t>
      </w:r>
    </w:p>
    <w:p w14:paraId="2BB8C1EB">
      <w:pPr>
        <w:rPr>
          <w:color w:val="auto"/>
          <w:highlight w:val="none"/>
        </w:rPr>
      </w:pPr>
    </w:p>
    <w:p w14:paraId="14AC193B">
      <w:pPr>
        <w:rPr>
          <w:color w:val="auto"/>
          <w:highlight w:val="none"/>
        </w:rPr>
      </w:pPr>
      <w:r>
        <w:rPr>
          <w:rFonts w:hint="eastAsia"/>
          <w:color w:val="auto"/>
          <w:highlight w:val="none"/>
        </w:rPr>
        <w:t>　　一、投标函及投标函附录</w:t>
      </w:r>
    </w:p>
    <w:p w14:paraId="1DD5C974">
      <w:pPr>
        <w:rPr>
          <w:color w:val="auto"/>
          <w:highlight w:val="none"/>
        </w:rPr>
      </w:pPr>
      <w:r>
        <w:rPr>
          <w:rFonts w:hint="eastAsia"/>
          <w:color w:val="auto"/>
          <w:highlight w:val="none"/>
        </w:rPr>
        <w:t>　　二、法定代表人身份证明</w:t>
      </w:r>
    </w:p>
    <w:p w14:paraId="6A7D91F1">
      <w:pPr>
        <w:rPr>
          <w:color w:val="auto"/>
          <w:highlight w:val="none"/>
        </w:rPr>
      </w:pPr>
      <w:r>
        <w:rPr>
          <w:rFonts w:hint="eastAsia"/>
          <w:color w:val="auto"/>
          <w:highlight w:val="none"/>
        </w:rPr>
        <w:t>　　</w:t>
      </w:r>
      <w:r>
        <w:rPr>
          <w:rFonts w:hint="eastAsia"/>
          <w:color w:val="auto"/>
          <w:highlight w:val="none"/>
          <w:lang w:val="en-US" w:eastAsia="zh-CN"/>
        </w:rPr>
        <w:t>三</w:t>
      </w:r>
      <w:r>
        <w:rPr>
          <w:rFonts w:hint="eastAsia"/>
          <w:color w:val="auto"/>
          <w:highlight w:val="none"/>
        </w:rPr>
        <w:t>、授权委托书</w:t>
      </w:r>
    </w:p>
    <w:p w14:paraId="45440A02">
      <w:pPr>
        <w:rPr>
          <w:color w:val="auto"/>
          <w:highlight w:val="none"/>
        </w:rPr>
      </w:pPr>
      <w:r>
        <w:rPr>
          <w:rFonts w:hint="eastAsia"/>
          <w:color w:val="auto"/>
          <w:highlight w:val="none"/>
        </w:rPr>
        <w:t>　　</w:t>
      </w:r>
      <w:r>
        <w:rPr>
          <w:rFonts w:hint="eastAsia"/>
          <w:color w:val="auto"/>
          <w:highlight w:val="none"/>
          <w:lang w:val="en-US" w:eastAsia="zh-CN"/>
        </w:rPr>
        <w:t>四</w:t>
      </w:r>
      <w:r>
        <w:rPr>
          <w:rFonts w:hint="eastAsia"/>
          <w:color w:val="auto"/>
          <w:highlight w:val="none"/>
        </w:rPr>
        <w:t>、联合体协议书</w:t>
      </w:r>
    </w:p>
    <w:p w14:paraId="7D11F23F">
      <w:pPr>
        <w:rPr>
          <w:color w:val="auto"/>
          <w:highlight w:val="none"/>
        </w:rPr>
      </w:pPr>
      <w:r>
        <w:rPr>
          <w:rFonts w:hint="eastAsia"/>
          <w:color w:val="auto"/>
          <w:highlight w:val="none"/>
        </w:rPr>
        <w:t>　　</w:t>
      </w:r>
      <w:r>
        <w:rPr>
          <w:rFonts w:hint="eastAsia"/>
          <w:color w:val="auto"/>
          <w:highlight w:val="none"/>
          <w:lang w:val="en-US" w:eastAsia="zh-CN"/>
        </w:rPr>
        <w:t>五</w:t>
      </w:r>
      <w:r>
        <w:rPr>
          <w:rFonts w:hint="eastAsia"/>
          <w:color w:val="auto"/>
          <w:highlight w:val="none"/>
        </w:rPr>
        <w:t>、投标保证金</w:t>
      </w:r>
    </w:p>
    <w:p w14:paraId="01F5B8FF">
      <w:pPr>
        <w:rPr>
          <w:color w:val="auto"/>
          <w:highlight w:val="none"/>
        </w:rPr>
      </w:pPr>
      <w:r>
        <w:rPr>
          <w:rFonts w:hint="eastAsia"/>
          <w:color w:val="auto"/>
          <w:highlight w:val="none"/>
        </w:rPr>
        <w:t>　　</w:t>
      </w:r>
      <w:r>
        <w:rPr>
          <w:rFonts w:hint="eastAsia"/>
          <w:color w:val="auto"/>
          <w:highlight w:val="none"/>
          <w:lang w:val="en-US" w:eastAsia="zh-CN"/>
        </w:rPr>
        <w:t>六</w:t>
      </w:r>
      <w:r>
        <w:rPr>
          <w:rFonts w:hint="eastAsia"/>
          <w:color w:val="auto"/>
          <w:highlight w:val="none"/>
        </w:rPr>
        <w:t>、已标价工程量清单</w:t>
      </w:r>
    </w:p>
    <w:p w14:paraId="3E567460">
      <w:pPr>
        <w:rPr>
          <w:color w:val="auto"/>
          <w:highlight w:val="none"/>
        </w:rPr>
      </w:pPr>
      <w:r>
        <w:rPr>
          <w:rFonts w:hint="eastAsia"/>
          <w:color w:val="auto"/>
          <w:highlight w:val="none"/>
        </w:rPr>
        <w:t>　　</w:t>
      </w:r>
      <w:r>
        <w:rPr>
          <w:rFonts w:hint="eastAsia"/>
          <w:color w:val="auto"/>
          <w:highlight w:val="none"/>
          <w:lang w:val="en-US" w:eastAsia="zh-CN"/>
        </w:rPr>
        <w:t>七</w:t>
      </w:r>
      <w:r>
        <w:rPr>
          <w:rFonts w:hint="eastAsia"/>
          <w:color w:val="auto"/>
          <w:highlight w:val="none"/>
        </w:rPr>
        <w:t>、施工组织设计</w:t>
      </w:r>
    </w:p>
    <w:p w14:paraId="74616069">
      <w:pPr>
        <w:rPr>
          <w:color w:val="auto"/>
          <w:highlight w:val="none"/>
        </w:rPr>
      </w:pPr>
      <w:r>
        <w:rPr>
          <w:rFonts w:hint="eastAsia"/>
          <w:color w:val="auto"/>
          <w:highlight w:val="none"/>
        </w:rPr>
        <w:t>　　</w:t>
      </w:r>
      <w:r>
        <w:rPr>
          <w:rFonts w:hint="eastAsia"/>
          <w:color w:val="auto"/>
          <w:highlight w:val="none"/>
          <w:lang w:val="en-US" w:eastAsia="zh-CN"/>
        </w:rPr>
        <w:t>八</w:t>
      </w:r>
      <w:r>
        <w:rPr>
          <w:rFonts w:hint="eastAsia"/>
          <w:color w:val="auto"/>
          <w:highlight w:val="none"/>
        </w:rPr>
        <w:t>、项目管理机构表</w:t>
      </w:r>
    </w:p>
    <w:p w14:paraId="66FD0F84">
      <w:pPr>
        <w:rPr>
          <w:color w:val="auto"/>
          <w:highlight w:val="none"/>
        </w:rPr>
      </w:pPr>
      <w:r>
        <w:rPr>
          <w:rFonts w:hint="eastAsia"/>
          <w:color w:val="auto"/>
          <w:highlight w:val="none"/>
        </w:rPr>
        <w:t>　</w:t>
      </w:r>
      <w:r>
        <w:rPr>
          <w:rFonts w:hint="eastAsia"/>
          <w:color w:val="auto"/>
          <w:highlight w:val="none"/>
          <w:lang w:val="en-US" w:eastAsia="zh-CN"/>
        </w:rPr>
        <w:t xml:space="preserve">  九</w:t>
      </w:r>
      <w:r>
        <w:rPr>
          <w:rFonts w:hint="eastAsia"/>
          <w:color w:val="auto"/>
          <w:highlight w:val="none"/>
        </w:rPr>
        <w:t>、拟分包项目情况表</w:t>
      </w:r>
    </w:p>
    <w:p w14:paraId="7A053004">
      <w:pPr>
        <w:rPr>
          <w:color w:val="auto"/>
          <w:highlight w:val="none"/>
        </w:rPr>
      </w:pPr>
      <w:r>
        <w:rPr>
          <w:rFonts w:hint="eastAsia"/>
          <w:color w:val="auto"/>
          <w:highlight w:val="none"/>
        </w:rPr>
        <w:t>　　</w:t>
      </w:r>
      <w:r>
        <w:rPr>
          <w:rFonts w:hint="eastAsia"/>
          <w:color w:val="auto"/>
          <w:highlight w:val="none"/>
          <w:lang w:val="en-US" w:eastAsia="zh-CN"/>
        </w:rPr>
        <w:t>十</w:t>
      </w:r>
      <w:r>
        <w:rPr>
          <w:rFonts w:hint="eastAsia"/>
          <w:color w:val="auto"/>
          <w:highlight w:val="none"/>
        </w:rPr>
        <w:t>、资格审查资料</w:t>
      </w:r>
    </w:p>
    <w:p w14:paraId="3D234E08">
      <w:pPr>
        <w:ind w:firstLine="420"/>
        <w:rPr>
          <w:rFonts w:hint="default" w:eastAsia="宋体"/>
          <w:color w:val="auto"/>
          <w:highlight w:val="none"/>
          <w:lang w:val="en-US" w:eastAsia="zh-CN"/>
        </w:rPr>
      </w:pPr>
      <w:r>
        <w:rPr>
          <w:rFonts w:hint="eastAsia"/>
          <w:color w:val="auto"/>
          <w:highlight w:val="none"/>
        </w:rPr>
        <w:t>十</w:t>
      </w:r>
      <w:r>
        <w:rPr>
          <w:rFonts w:hint="eastAsia"/>
          <w:color w:val="auto"/>
          <w:highlight w:val="none"/>
          <w:lang w:val="en-US" w:eastAsia="zh-CN"/>
        </w:rPr>
        <w:t>一</w:t>
      </w:r>
      <w:r>
        <w:rPr>
          <w:rFonts w:hint="eastAsia"/>
          <w:color w:val="auto"/>
          <w:highlight w:val="none"/>
        </w:rPr>
        <w:t>、</w:t>
      </w:r>
      <w:r>
        <w:rPr>
          <w:rFonts w:hint="eastAsia"/>
          <w:color w:val="auto"/>
          <w:highlight w:val="none"/>
          <w:lang w:val="en-US" w:eastAsia="zh-CN"/>
        </w:rPr>
        <w:t>智能评审数据</w:t>
      </w:r>
    </w:p>
    <w:p w14:paraId="5B5031AA">
      <w:pPr>
        <w:rPr>
          <w:rFonts w:hint="eastAsia" w:eastAsia="宋体"/>
          <w:color w:val="auto"/>
          <w:highlight w:val="none"/>
          <w:lang w:eastAsia="zh-CN"/>
        </w:rPr>
      </w:pPr>
      <w:r>
        <w:rPr>
          <w:rFonts w:hint="eastAsia"/>
          <w:color w:val="auto"/>
          <w:highlight w:val="none"/>
        </w:rPr>
        <w:t>　　十</w:t>
      </w:r>
      <w:r>
        <w:rPr>
          <w:rFonts w:hint="eastAsia"/>
          <w:color w:val="auto"/>
          <w:highlight w:val="none"/>
          <w:lang w:val="en-US" w:eastAsia="zh-CN"/>
        </w:rPr>
        <w:t>二</w:t>
      </w:r>
      <w:r>
        <w:rPr>
          <w:rFonts w:hint="eastAsia"/>
          <w:color w:val="auto"/>
          <w:highlight w:val="none"/>
        </w:rPr>
        <w:t>、其它材料</w:t>
      </w:r>
    </w:p>
    <w:p w14:paraId="043EC1C3">
      <w:pPr>
        <w:rPr>
          <w:color w:val="auto"/>
          <w:highlight w:val="none"/>
        </w:rPr>
      </w:pPr>
    </w:p>
    <w:p w14:paraId="1210A400">
      <w:pPr>
        <w:rPr>
          <w:color w:val="auto"/>
          <w:highlight w:val="none"/>
        </w:rPr>
      </w:pPr>
    </w:p>
    <w:p w14:paraId="3FB977FF">
      <w:pPr>
        <w:rPr>
          <w:color w:val="auto"/>
          <w:highlight w:val="none"/>
        </w:rPr>
      </w:pPr>
      <w:r>
        <w:rPr>
          <w:color w:val="auto"/>
          <w:highlight w:val="none"/>
        </w:rPr>
        <w:br w:type="page"/>
      </w:r>
    </w:p>
    <w:p w14:paraId="6FD3C9A8">
      <w:pPr>
        <w:jc w:val="center"/>
        <w:outlineLvl w:val="2"/>
        <w:rPr>
          <w:rFonts w:hint="eastAsia" w:ascii="黑体" w:hAnsi="黑体" w:eastAsia="黑体"/>
          <w:b/>
          <w:color w:val="auto"/>
          <w:sz w:val="32"/>
          <w:szCs w:val="32"/>
          <w:highlight w:val="none"/>
        </w:rPr>
      </w:pPr>
      <w:bookmarkStart w:id="1126" w:name="第08章投标文件格式01"/>
      <w:bookmarkEnd w:id="1126"/>
      <w:bookmarkStart w:id="1127" w:name="_Toc30132"/>
      <w:r>
        <w:rPr>
          <w:rFonts w:hint="eastAsia" w:ascii="黑体" w:hAnsi="黑体" w:eastAsia="黑体"/>
          <w:b/>
          <w:color w:val="auto"/>
          <w:sz w:val="32"/>
          <w:szCs w:val="32"/>
          <w:highlight w:val="none"/>
        </w:rPr>
        <w:t>一、投标函及投标函附录</w:t>
      </w:r>
      <w:bookmarkEnd w:id="1127"/>
    </w:p>
    <w:p w14:paraId="34EDCC64">
      <w:pPr>
        <w:rPr>
          <w:color w:val="auto"/>
          <w:highlight w:val="none"/>
        </w:rPr>
      </w:pPr>
    </w:p>
    <w:p w14:paraId="025AAF4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highlight w:val="none"/>
        </w:rPr>
      </w:pPr>
      <w:r>
        <w:rPr>
          <w:rFonts w:hint="eastAsia"/>
          <w:color w:val="auto"/>
          <w:highlight w:val="none"/>
        </w:rPr>
        <w:t>　　</w:t>
      </w:r>
      <w:r>
        <w:rPr>
          <w:rFonts w:hint="eastAsia"/>
          <w:color w:val="auto"/>
          <w:highlight w:val="none"/>
          <w:lang w:eastAsia="zh-CN"/>
        </w:rPr>
        <w:t>（</w:t>
      </w:r>
      <w:r>
        <w:rPr>
          <w:rFonts w:hint="eastAsia"/>
          <w:color w:val="auto"/>
          <w:highlight w:val="none"/>
        </w:rPr>
        <w:t>一</w:t>
      </w:r>
      <w:r>
        <w:rPr>
          <w:rFonts w:hint="eastAsia"/>
          <w:color w:val="auto"/>
          <w:highlight w:val="none"/>
          <w:lang w:eastAsia="zh-CN"/>
        </w:rPr>
        <w:t>）</w:t>
      </w:r>
      <w:r>
        <w:rPr>
          <w:rFonts w:hint="eastAsia"/>
          <w:color w:val="auto"/>
          <w:highlight w:val="none"/>
        </w:rPr>
        <w:t>投标函</w:t>
      </w:r>
    </w:p>
    <w:p w14:paraId="1B673ABB">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u w:val="single"/>
        </w:rPr>
        <w:t>　　　　　　　　　　　　</w:t>
      </w:r>
      <w:r>
        <w:rPr>
          <w:rFonts w:hint="eastAsia"/>
          <w:color w:val="auto"/>
          <w:highlight w:val="none"/>
          <w:lang w:eastAsia="zh-CN"/>
        </w:rPr>
        <w:t>（</w:t>
      </w:r>
      <w:r>
        <w:rPr>
          <w:rFonts w:hint="eastAsia"/>
          <w:color w:val="auto"/>
          <w:highlight w:val="none"/>
        </w:rPr>
        <w:t>招标人名称</w:t>
      </w:r>
      <w:r>
        <w:rPr>
          <w:rFonts w:hint="eastAsia"/>
          <w:color w:val="auto"/>
          <w:highlight w:val="none"/>
          <w:lang w:eastAsia="zh-CN"/>
        </w:rPr>
        <w:t>）</w:t>
      </w:r>
      <w:r>
        <w:rPr>
          <w:rFonts w:hint="eastAsia"/>
          <w:color w:val="auto"/>
          <w:highlight w:val="none"/>
        </w:rPr>
        <w:t>：</w:t>
      </w:r>
    </w:p>
    <w:p w14:paraId="017ED836">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1.我方已仔细研究了　　　　</w:t>
      </w:r>
      <w:r>
        <w:rPr>
          <w:rFonts w:hint="eastAsia"/>
          <w:color w:val="auto"/>
          <w:highlight w:val="none"/>
          <w:lang w:eastAsia="zh-CN"/>
        </w:rPr>
        <w:t>（</w:t>
      </w:r>
      <w:r>
        <w:rPr>
          <w:rFonts w:hint="eastAsia"/>
          <w:color w:val="auto"/>
          <w:highlight w:val="none"/>
        </w:rPr>
        <w:t>项目名称</w:t>
      </w:r>
      <w:r>
        <w:rPr>
          <w:rFonts w:hint="eastAsia"/>
          <w:color w:val="auto"/>
          <w:highlight w:val="none"/>
          <w:lang w:eastAsia="zh-CN"/>
        </w:rPr>
        <w:t>）</w:t>
      </w:r>
      <w:r>
        <w:rPr>
          <w:rFonts w:hint="eastAsia"/>
          <w:color w:val="auto"/>
          <w:highlight w:val="none"/>
        </w:rPr>
        <w:t>　　</w:t>
      </w:r>
      <w:r>
        <w:rPr>
          <w:rFonts w:hint="eastAsia"/>
          <w:color w:val="auto"/>
          <w:highlight w:val="none"/>
          <w:lang w:eastAsia="zh-CN"/>
        </w:rPr>
        <w:t>（</w:t>
      </w:r>
      <w:r>
        <w:rPr>
          <w:rFonts w:hint="eastAsia"/>
          <w:color w:val="auto"/>
          <w:highlight w:val="none"/>
        </w:rPr>
        <w:t>标段名称</w:t>
      </w:r>
      <w:r>
        <w:rPr>
          <w:rFonts w:hint="eastAsia"/>
          <w:color w:val="auto"/>
          <w:highlight w:val="none"/>
          <w:lang w:eastAsia="zh-CN"/>
        </w:rPr>
        <w:t>）</w:t>
      </w:r>
      <w:r>
        <w:rPr>
          <w:rFonts w:hint="eastAsia"/>
          <w:color w:val="auto"/>
          <w:highlight w:val="none"/>
        </w:rPr>
        <w:t>招标文件的全部内容，愿意以人民币</w:t>
      </w:r>
      <w:r>
        <w:rPr>
          <w:rFonts w:hint="eastAsia"/>
          <w:color w:val="auto"/>
          <w:highlight w:val="none"/>
          <w:lang w:eastAsia="zh-CN"/>
        </w:rPr>
        <w:t>（</w:t>
      </w:r>
      <w:r>
        <w:rPr>
          <w:rFonts w:hint="eastAsia"/>
          <w:color w:val="auto"/>
          <w:highlight w:val="none"/>
        </w:rPr>
        <w:t>大写</w:t>
      </w:r>
      <w:r>
        <w:rPr>
          <w:rFonts w:hint="eastAsia"/>
          <w:color w:val="auto"/>
          <w:highlight w:val="none"/>
          <w:lang w:eastAsia="zh-CN"/>
        </w:rPr>
        <w:t>）</w:t>
      </w:r>
      <w:r>
        <w:rPr>
          <w:rFonts w:hint="eastAsia"/>
          <w:color w:val="auto"/>
          <w:highlight w:val="none"/>
        </w:rPr>
        <w:t>　　　　　元</w:t>
      </w:r>
      <w:r>
        <w:rPr>
          <w:rFonts w:hint="eastAsia"/>
          <w:color w:val="auto"/>
          <w:highlight w:val="none"/>
          <w:lang w:eastAsia="zh-CN"/>
        </w:rPr>
        <w:t>（</w:t>
      </w:r>
      <w:r>
        <w:rPr>
          <w:rFonts w:hint="eastAsia"/>
          <w:color w:val="auto"/>
          <w:highlight w:val="none"/>
        </w:rPr>
        <w:t>￥　　　　元</w:t>
      </w:r>
      <w:r>
        <w:rPr>
          <w:rFonts w:hint="eastAsia"/>
          <w:color w:val="auto"/>
          <w:highlight w:val="none"/>
          <w:lang w:eastAsia="zh-CN"/>
        </w:rPr>
        <w:t>）</w:t>
      </w:r>
      <w:r>
        <w:rPr>
          <w:rFonts w:hint="eastAsia"/>
          <w:color w:val="auto"/>
          <w:highlight w:val="none"/>
        </w:rPr>
        <w:t>的投标总报价，工期　　日历天，按合同约定实施和完成承包工程，修补工程中的任何缺陷，工程质量达到　　　　　。</w:t>
      </w:r>
    </w:p>
    <w:p w14:paraId="0C4E8D1E">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2.我方承诺在投标有效期内不补充、修改、替代或者撤回本投标文件。</w:t>
      </w:r>
    </w:p>
    <w:p w14:paraId="25BF2190">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3.随同本投标函递交投标保证金一份，金额为人民币</w:t>
      </w:r>
      <w:r>
        <w:rPr>
          <w:rFonts w:hint="eastAsia"/>
          <w:color w:val="auto"/>
          <w:highlight w:val="none"/>
          <w:lang w:eastAsia="zh-CN"/>
        </w:rPr>
        <w:t>（</w:t>
      </w:r>
      <w:r>
        <w:rPr>
          <w:rFonts w:hint="eastAsia"/>
          <w:color w:val="auto"/>
          <w:highlight w:val="none"/>
        </w:rPr>
        <w:t>大写</w:t>
      </w:r>
      <w:r>
        <w:rPr>
          <w:rFonts w:hint="eastAsia"/>
          <w:color w:val="auto"/>
          <w:highlight w:val="none"/>
          <w:lang w:eastAsia="zh-CN"/>
        </w:rPr>
        <w:t>）</w:t>
      </w:r>
      <w:r>
        <w:rPr>
          <w:rFonts w:hint="eastAsia"/>
          <w:color w:val="auto"/>
          <w:highlight w:val="none"/>
        </w:rPr>
        <w:t>　　　　元</w:t>
      </w:r>
      <w:r>
        <w:rPr>
          <w:rFonts w:hint="eastAsia"/>
          <w:color w:val="auto"/>
          <w:highlight w:val="none"/>
          <w:lang w:eastAsia="zh-CN"/>
        </w:rPr>
        <w:t>（</w:t>
      </w:r>
      <w:r>
        <w:rPr>
          <w:rFonts w:hint="eastAsia"/>
          <w:color w:val="auto"/>
          <w:highlight w:val="none"/>
        </w:rPr>
        <w:t>￥　　　　元</w:t>
      </w:r>
      <w:r>
        <w:rPr>
          <w:rFonts w:hint="eastAsia"/>
          <w:color w:val="auto"/>
          <w:highlight w:val="none"/>
          <w:lang w:eastAsia="zh-CN"/>
        </w:rPr>
        <w:t>）</w:t>
      </w:r>
      <w:r>
        <w:rPr>
          <w:rFonts w:hint="eastAsia"/>
          <w:color w:val="auto"/>
          <w:highlight w:val="none"/>
        </w:rPr>
        <w:t>。</w:t>
      </w:r>
    </w:p>
    <w:p w14:paraId="72A6A71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highlight w:val="none"/>
        </w:rPr>
      </w:pPr>
      <w:r>
        <w:rPr>
          <w:rFonts w:hint="eastAsia"/>
          <w:color w:val="auto"/>
          <w:highlight w:val="none"/>
        </w:rPr>
        <w:t>　　</w:t>
      </w:r>
      <w:bookmarkStart w:id="1128" w:name="_Toc30931"/>
      <w:bookmarkStart w:id="1129" w:name="_Toc28368"/>
      <w:r>
        <w:rPr>
          <w:rFonts w:hint="eastAsia"/>
          <w:color w:val="auto"/>
          <w:highlight w:val="none"/>
        </w:rPr>
        <w:t>4.如我方中标：</w:t>
      </w:r>
      <w:bookmarkEnd w:id="1128"/>
      <w:bookmarkEnd w:id="1129"/>
    </w:p>
    <w:p w14:paraId="532DE5A9">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w:t>
      </w:r>
      <w:r>
        <w:rPr>
          <w:rFonts w:hint="eastAsia"/>
          <w:color w:val="auto"/>
          <w:highlight w:val="none"/>
          <w:lang w:eastAsia="zh-CN"/>
        </w:rPr>
        <w:t>（</w:t>
      </w:r>
      <w:r>
        <w:rPr>
          <w:rFonts w:hint="eastAsia"/>
          <w:color w:val="auto"/>
          <w:highlight w:val="none"/>
        </w:rPr>
        <w:t>1</w:t>
      </w:r>
      <w:r>
        <w:rPr>
          <w:rFonts w:hint="eastAsia"/>
          <w:color w:val="auto"/>
          <w:highlight w:val="none"/>
          <w:lang w:eastAsia="zh-CN"/>
        </w:rPr>
        <w:t>）</w:t>
      </w:r>
      <w:r>
        <w:rPr>
          <w:rFonts w:hint="eastAsia"/>
          <w:color w:val="auto"/>
          <w:highlight w:val="none"/>
        </w:rPr>
        <w:t>我方承诺在收到中标通知书后，在中标通知书规定的期限内与你方签订合同；</w:t>
      </w:r>
    </w:p>
    <w:p w14:paraId="6E33D1B6">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w:t>
      </w:r>
      <w:r>
        <w:rPr>
          <w:rFonts w:hint="eastAsia"/>
          <w:color w:val="auto"/>
          <w:highlight w:val="none"/>
          <w:lang w:eastAsia="zh-CN"/>
        </w:rPr>
        <w:t>（</w:t>
      </w:r>
      <w:r>
        <w:rPr>
          <w:rFonts w:hint="eastAsia"/>
          <w:color w:val="auto"/>
          <w:highlight w:val="none"/>
        </w:rPr>
        <w:t>2</w:t>
      </w:r>
      <w:r>
        <w:rPr>
          <w:rFonts w:hint="eastAsia"/>
          <w:color w:val="auto"/>
          <w:highlight w:val="none"/>
          <w:lang w:eastAsia="zh-CN"/>
        </w:rPr>
        <w:t>）</w:t>
      </w:r>
      <w:r>
        <w:rPr>
          <w:rFonts w:hint="eastAsia"/>
          <w:color w:val="auto"/>
          <w:highlight w:val="none"/>
        </w:rPr>
        <w:t>随同本投标函递交的投标函附录属于合同文件的组成部分；</w:t>
      </w:r>
    </w:p>
    <w:p w14:paraId="2F581A83">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w:t>
      </w:r>
      <w:r>
        <w:rPr>
          <w:rFonts w:hint="eastAsia"/>
          <w:color w:val="auto"/>
          <w:highlight w:val="none"/>
          <w:lang w:eastAsia="zh-CN"/>
        </w:rPr>
        <w:t>（</w:t>
      </w:r>
      <w:r>
        <w:rPr>
          <w:rFonts w:hint="eastAsia"/>
          <w:color w:val="auto"/>
          <w:highlight w:val="none"/>
        </w:rPr>
        <w:t>3</w:t>
      </w:r>
      <w:r>
        <w:rPr>
          <w:rFonts w:hint="eastAsia"/>
          <w:color w:val="auto"/>
          <w:highlight w:val="none"/>
          <w:lang w:eastAsia="zh-CN"/>
        </w:rPr>
        <w:t>）</w:t>
      </w:r>
      <w:r>
        <w:rPr>
          <w:rFonts w:hint="eastAsia"/>
          <w:color w:val="auto"/>
          <w:highlight w:val="none"/>
        </w:rPr>
        <w:t>我方承诺按照招标文件规定向你方递交履约担保；</w:t>
      </w:r>
    </w:p>
    <w:p w14:paraId="6CA6EEAF">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w:t>
      </w:r>
      <w:r>
        <w:rPr>
          <w:rFonts w:hint="eastAsia"/>
          <w:color w:val="auto"/>
          <w:highlight w:val="none"/>
          <w:lang w:eastAsia="zh-CN"/>
        </w:rPr>
        <w:t>（</w:t>
      </w:r>
      <w:r>
        <w:rPr>
          <w:rFonts w:hint="eastAsia"/>
          <w:color w:val="auto"/>
          <w:highlight w:val="none"/>
        </w:rPr>
        <w:t>4</w:t>
      </w:r>
      <w:r>
        <w:rPr>
          <w:rFonts w:hint="eastAsia"/>
          <w:color w:val="auto"/>
          <w:highlight w:val="none"/>
          <w:lang w:eastAsia="zh-CN"/>
        </w:rPr>
        <w:t>）</w:t>
      </w:r>
      <w:r>
        <w:rPr>
          <w:rFonts w:hint="eastAsia"/>
          <w:color w:val="auto"/>
          <w:highlight w:val="none"/>
        </w:rPr>
        <w:t>我方承诺在合同约定的期限内完成并移交全部合同工程。</w:t>
      </w:r>
    </w:p>
    <w:p w14:paraId="473DE4A8">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5.我方在此声明，所递交的投标文件及有关资料内容完整、真实和准确。</w:t>
      </w:r>
    </w:p>
    <w:p w14:paraId="0A34D25C">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6.</w:t>
      </w:r>
      <w:r>
        <w:rPr>
          <w:rFonts w:hint="eastAsia"/>
          <w:color w:val="auto"/>
          <w:highlight w:val="none"/>
          <w:u w:val="single"/>
        </w:rPr>
        <w:t>　　　　　　　　　　　</w:t>
      </w:r>
      <w:r>
        <w:rPr>
          <w:rFonts w:hint="eastAsia"/>
          <w:color w:val="auto"/>
          <w:highlight w:val="none"/>
          <w:lang w:eastAsia="zh-CN"/>
        </w:rPr>
        <w:t>（</w:t>
      </w:r>
      <w:r>
        <w:rPr>
          <w:rFonts w:hint="eastAsia"/>
          <w:color w:val="auto"/>
          <w:highlight w:val="none"/>
        </w:rPr>
        <w:t>其它补充说明</w:t>
      </w:r>
      <w:r>
        <w:rPr>
          <w:rFonts w:hint="eastAsia"/>
          <w:color w:val="auto"/>
          <w:highlight w:val="none"/>
          <w:lang w:eastAsia="zh-CN"/>
        </w:rPr>
        <w:t>）</w:t>
      </w:r>
      <w:r>
        <w:rPr>
          <w:rFonts w:hint="eastAsia"/>
          <w:color w:val="auto"/>
          <w:highlight w:val="none"/>
        </w:rPr>
        <w:t>。</w:t>
      </w:r>
    </w:p>
    <w:p w14:paraId="58FBFD96">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p>
    <w:p w14:paraId="35B14164">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p>
    <w:p w14:paraId="41A43B8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color w:val="auto"/>
          <w:highlight w:val="none"/>
          <w:lang w:eastAsia="zh-CN"/>
        </w:rPr>
      </w:pPr>
      <w:r>
        <w:rPr>
          <w:rFonts w:hint="eastAsia"/>
          <w:color w:val="auto"/>
          <w:highlight w:val="none"/>
        </w:rPr>
        <w:t>　　　　　　　　　　　　　　　　投标人：　　　　　　　　　　　　</w:t>
      </w:r>
      <w:r>
        <w:rPr>
          <w:rFonts w:hint="eastAsia"/>
          <w:color w:val="auto"/>
          <w:highlight w:val="none"/>
          <w:lang w:eastAsia="zh-CN"/>
        </w:rPr>
        <w:t>（</w:t>
      </w:r>
      <w:r>
        <w:rPr>
          <w:rFonts w:hint="eastAsia"/>
          <w:color w:val="auto"/>
          <w:highlight w:val="none"/>
        </w:rPr>
        <w:t>盖单位电子章</w:t>
      </w:r>
      <w:r>
        <w:rPr>
          <w:rFonts w:hint="eastAsia"/>
          <w:color w:val="auto"/>
          <w:highlight w:val="none"/>
          <w:lang w:eastAsia="zh-CN"/>
        </w:rPr>
        <w:t>）</w:t>
      </w:r>
    </w:p>
    <w:p w14:paraId="5CCDE00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color w:val="auto"/>
          <w:highlight w:val="none"/>
          <w:lang w:eastAsia="zh-CN"/>
        </w:rPr>
      </w:pPr>
      <w:r>
        <w:rPr>
          <w:rFonts w:hint="eastAsia"/>
          <w:color w:val="auto"/>
          <w:highlight w:val="none"/>
        </w:rPr>
        <w:t>　　　　　　　　　　　　　　　　法定代表人或其委托代理人：　　　</w:t>
      </w:r>
      <w:r>
        <w:rPr>
          <w:rFonts w:hint="eastAsia"/>
          <w:color w:val="auto"/>
          <w:highlight w:val="none"/>
          <w:lang w:eastAsia="zh-CN"/>
        </w:rPr>
        <w:t>（</w:t>
      </w:r>
      <w:r>
        <w:rPr>
          <w:rFonts w:hint="eastAsia"/>
          <w:color w:val="auto"/>
          <w:highlight w:val="none"/>
        </w:rPr>
        <w:t>电子签字或盖章签字</w:t>
      </w:r>
      <w:r>
        <w:rPr>
          <w:rFonts w:hint="eastAsia"/>
          <w:color w:val="auto"/>
          <w:highlight w:val="none"/>
          <w:lang w:eastAsia="zh-CN"/>
        </w:rPr>
        <w:t>）</w:t>
      </w:r>
    </w:p>
    <w:p w14:paraId="1B8F6E80">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地址：</w:t>
      </w:r>
    </w:p>
    <w:p w14:paraId="11A4F35D">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网址：</w:t>
      </w:r>
    </w:p>
    <w:p w14:paraId="471AB13F">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电话：</w:t>
      </w:r>
    </w:p>
    <w:p w14:paraId="11D0F63D">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传真：</w:t>
      </w:r>
    </w:p>
    <w:p w14:paraId="51D402CA">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邮政编码：</w:t>
      </w:r>
    </w:p>
    <w:p w14:paraId="4DEE00DE">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年　　月　　日</w:t>
      </w:r>
    </w:p>
    <w:p w14:paraId="6D87D60C">
      <w:pPr>
        <w:rPr>
          <w:color w:val="auto"/>
          <w:highlight w:val="none"/>
        </w:rPr>
      </w:pPr>
    </w:p>
    <w:p w14:paraId="6C334F49">
      <w:pPr>
        <w:rPr>
          <w:color w:val="auto"/>
          <w:highlight w:val="none"/>
        </w:rPr>
      </w:pPr>
    </w:p>
    <w:p w14:paraId="7A26F488">
      <w:pPr>
        <w:rPr>
          <w:color w:val="auto"/>
          <w:highlight w:val="none"/>
        </w:rPr>
      </w:pPr>
    </w:p>
    <w:p w14:paraId="1B1D7D77">
      <w:pPr>
        <w:rPr>
          <w:color w:val="auto"/>
          <w:highlight w:val="none"/>
        </w:rPr>
      </w:pPr>
    </w:p>
    <w:p w14:paraId="1A8F2F1F">
      <w:pPr>
        <w:rPr>
          <w:color w:val="auto"/>
          <w:highlight w:val="none"/>
        </w:rPr>
      </w:pPr>
    </w:p>
    <w:p w14:paraId="51DA88C0">
      <w:pPr>
        <w:rPr>
          <w:color w:val="auto"/>
          <w:highlight w:val="none"/>
        </w:rPr>
      </w:pPr>
    </w:p>
    <w:p w14:paraId="76327BB1">
      <w:pPr>
        <w:rPr>
          <w:color w:val="auto"/>
          <w:highlight w:val="none"/>
        </w:rPr>
      </w:pPr>
    </w:p>
    <w:p w14:paraId="11C42952">
      <w:pPr>
        <w:rPr>
          <w:color w:val="auto"/>
          <w:highlight w:val="none"/>
        </w:rPr>
      </w:pPr>
    </w:p>
    <w:p w14:paraId="45337258">
      <w:pPr>
        <w:rPr>
          <w:color w:val="auto"/>
          <w:highlight w:val="none"/>
        </w:rPr>
      </w:pPr>
    </w:p>
    <w:p w14:paraId="6C74546C">
      <w:pPr>
        <w:rPr>
          <w:color w:val="auto"/>
          <w:highlight w:val="none"/>
        </w:rPr>
      </w:pPr>
    </w:p>
    <w:p w14:paraId="3CB099CD">
      <w:pPr>
        <w:rPr>
          <w:color w:val="auto"/>
          <w:highlight w:val="none"/>
        </w:rPr>
      </w:pPr>
    </w:p>
    <w:p w14:paraId="055F1FC4">
      <w:pPr>
        <w:rPr>
          <w:color w:val="auto"/>
          <w:highlight w:val="none"/>
        </w:rPr>
      </w:pPr>
    </w:p>
    <w:p w14:paraId="3D811ABC">
      <w:pPr>
        <w:rPr>
          <w:color w:val="auto"/>
          <w:highlight w:val="none"/>
        </w:rPr>
      </w:pPr>
    </w:p>
    <w:p w14:paraId="4ECA669B">
      <w:pPr>
        <w:rPr>
          <w:color w:val="auto"/>
          <w:highlight w:val="none"/>
        </w:rPr>
      </w:pPr>
    </w:p>
    <w:p w14:paraId="2170F298">
      <w:pPr>
        <w:rPr>
          <w:color w:val="auto"/>
          <w:highlight w:val="none"/>
        </w:rPr>
      </w:pPr>
    </w:p>
    <w:p w14:paraId="54C84661">
      <w:pPr>
        <w:rPr>
          <w:rFonts w:hint="eastAsia"/>
          <w:color w:val="auto"/>
          <w:highlight w:val="none"/>
        </w:rPr>
      </w:pPr>
      <w:r>
        <w:rPr>
          <w:rFonts w:hint="eastAsia"/>
          <w:color w:val="auto"/>
          <w:highlight w:val="none"/>
        </w:rPr>
        <w:t>　　</w:t>
      </w:r>
      <w:r>
        <w:rPr>
          <w:rFonts w:hint="eastAsia"/>
          <w:color w:val="auto"/>
          <w:highlight w:val="none"/>
          <w:lang w:eastAsia="zh-CN"/>
        </w:rPr>
        <w:t>（</w:t>
      </w:r>
      <w:r>
        <w:rPr>
          <w:rFonts w:hint="eastAsia"/>
          <w:color w:val="auto"/>
          <w:highlight w:val="none"/>
        </w:rPr>
        <w:t>二</w:t>
      </w:r>
      <w:r>
        <w:rPr>
          <w:rFonts w:hint="eastAsia"/>
          <w:color w:val="auto"/>
          <w:highlight w:val="none"/>
          <w:lang w:eastAsia="zh-CN"/>
        </w:rPr>
        <w:t>）</w:t>
      </w:r>
      <w:r>
        <w:rPr>
          <w:rFonts w:hint="eastAsia"/>
          <w:color w:val="auto"/>
          <w:highlight w:val="none"/>
        </w:rPr>
        <w:t>投标函附录</w:t>
      </w:r>
    </w:p>
    <w:tbl>
      <w:tblPr>
        <w:tblStyle w:val="2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1"/>
        <w:gridCol w:w="2777"/>
        <w:gridCol w:w="1869"/>
        <w:gridCol w:w="1869"/>
        <w:gridCol w:w="1706"/>
      </w:tblGrid>
      <w:tr w14:paraId="7294E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043FFAF8">
            <w:pPr>
              <w:jc w:val="center"/>
              <w:rPr>
                <w:color w:val="auto"/>
                <w:highlight w:val="none"/>
              </w:rPr>
            </w:pPr>
            <w:r>
              <w:rPr>
                <w:rFonts w:hint="eastAsia"/>
                <w:color w:val="auto"/>
                <w:highlight w:val="none"/>
              </w:rPr>
              <w:t>序号</w:t>
            </w:r>
          </w:p>
        </w:tc>
        <w:tc>
          <w:tcPr>
            <w:tcW w:w="2777" w:type="dxa"/>
            <w:vAlign w:val="center"/>
          </w:tcPr>
          <w:p w14:paraId="6750A15E">
            <w:pPr>
              <w:jc w:val="center"/>
              <w:rPr>
                <w:color w:val="auto"/>
                <w:highlight w:val="none"/>
              </w:rPr>
            </w:pPr>
            <w:r>
              <w:rPr>
                <w:rFonts w:hint="eastAsia"/>
                <w:color w:val="auto"/>
                <w:highlight w:val="none"/>
              </w:rPr>
              <w:t>条款名称</w:t>
            </w:r>
          </w:p>
        </w:tc>
        <w:tc>
          <w:tcPr>
            <w:tcW w:w="1869" w:type="dxa"/>
            <w:vAlign w:val="center"/>
          </w:tcPr>
          <w:p w14:paraId="69ED5504">
            <w:pPr>
              <w:jc w:val="center"/>
              <w:rPr>
                <w:color w:val="auto"/>
                <w:highlight w:val="none"/>
              </w:rPr>
            </w:pPr>
            <w:r>
              <w:rPr>
                <w:rFonts w:hint="eastAsia"/>
                <w:color w:val="auto"/>
                <w:highlight w:val="none"/>
              </w:rPr>
              <w:t>合同条款号</w:t>
            </w:r>
          </w:p>
        </w:tc>
        <w:tc>
          <w:tcPr>
            <w:tcW w:w="1869" w:type="dxa"/>
            <w:vAlign w:val="center"/>
          </w:tcPr>
          <w:p w14:paraId="43F24C9B">
            <w:pPr>
              <w:jc w:val="center"/>
              <w:rPr>
                <w:color w:val="auto"/>
                <w:highlight w:val="none"/>
              </w:rPr>
            </w:pPr>
            <w:r>
              <w:rPr>
                <w:rFonts w:hint="eastAsia"/>
                <w:color w:val="auto"/>
                <w:highlight w:val="none"/>
              </w:rPr>
              <w:t>约定内容</w:t>
            </w:r>
          </w:p>
        </w:tc>
        <w:tc>
          <w:tcPr>
            <w:tcW w:w="1706" w:type="dxa"/>
            <w:vAlign w:val="center"/>
          </w:tcPr>
          <w:p w14:paraId="2E0922A5">
            <w:pPr>
              <w:jc w:val="center"/>
              <w:rPr>
                <w:color w:val="auto"/>
                <w:highlight w:val="none"/>
              </w:rPr>
            </w:pPr>
            <w:r>
              <w:rPr>
                <w:rFonts w:hint="eastAsia"/>
                <w:color w:val="auto"/>
                <w:highlight w:val="none"/>
              </w:rPr>
              <w:t>备注</w:t>
            </w:r>
          </w:p>
        </w:tc>
      </w:tr>
      <w:tr w14:paraId="6F8A1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vAlign w:val="center"/>
          </w:tcPr>
          <w:p w14:paraId="05526995">
            <w:pPr>
              <w:jc w:val="center"/>
              <w:rPr>
                <w:color w:val="auto"/>
                <w:highlight w:val="none"/>
              </w:rPr>
            </w:pPr>
            <w:r>
              <w:rPr>
                <w:rFonts w:hint="eastAsia"/>
                <w:color w:val="auto"/>
                <w:highlight w:val="none"/>
              </w:rPr>
              <w:t>1</w:t>
            </w:r>
          </w:p>
        </w:tc>
        <w:tc>
          <w:tcPr>
            <w:tcW w:w="2777" w:type="dxa"/>
          </w:tcPr>
          <w:p w14:paraId="1E05A534">
            <w:pPr>
              <w:rPr>
                <w:color w:val="auto"/>
                <w:highlight w:val="none"/>
              </w:rPr>
            </w:pPr>
            <w:r>
              <w:rPr>
                <w:rFonts w:hint="eastAsia"/>
                <w:color w:val="auto"/>
                <w:highlight w:val="none"/>
              </w:rPr>
              <w:t>项目经理</w:t>
            </w:r>
          </w:p>
        </w:tc>
        <w:tc>
          <w:tcPr>
            <w:tcW w:w="1869" w:type="dxa"/>
          </w:tcPr>
          <w:p w14:paraId="721E759B">
            <w:pPr>
              <w:rPr>
                <w:color w:val="auto"/>
                <w:highlight w:val="none"/>
              </w:rPr>
            </w:pPr>
            <w:r>
              <w:rPr>
                <w:rFonts w:hint="eastAsia"/>
                <w:color w:val="auto"/>
                <w:highlight w:val="none"/>
              </w:rPr>
              <w:t>1.1.2.4</w:t>
            </w:r>
          </w:p>
        </w:tc>
        <w:tc>
          <w:tcPr>
            <w:tcW w:w="1869" w:type="dxa"/>
          </w:tcPr>
          <w:p w14:paraId="6FA87A16">
            <w:pPr>
              <w:rPr>
                <w:color w:val="auto"/>
                <w:highlight w:val="none"/>
              </w:rPr>
            </w:pPr>
            <w:r>
              <w:rPr>
                <w:rFonts w:hint="eastAsia"/>
                <w:color w:val="auto"/>
                <w:highlight w:val="none"/>
              </w:rPr>
              <w:t>姓名：　　　</w:t>
            </w:r>
          </w:p>
        </w:tc>
        <w:tc>
          <w:tcPr>
            <w:tcW w:w="1706" w:type="dxa"/>
          </w:tcPr>
          <w:p w14:paraId="5EC305B0">
            <w:pPr>
              <w:rPr>
                <w:color w:val="auto"/>
                <w:highlight w:val="none"/>
              </w:rPr>
            </w:pPr>
          </w:p>
        </w:tc>
      </w:tr>
      <w:tr w14:paraId="70220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0F2D20B7">
            <w:pPr>
              <w:jc w:val="center"/>
              <w:rPr>
                <w:color w:val="auto"/>
                <w:highlight w:val="none"/>
              </w:rPr>
            </w:pPr>
            <w:r>
              <w:rPr>
                <w:rFonts w:hint="eastAsia"/>
                <w:color w:val="auto"/>
                <w:highlight w:val="none"/>
              </w:rPr>
              <w:t>2</w:t>
            </w:r>
          </w:p>
        </w:tc>
        <w:tc>
          <w:tcPr>
            <w:tcW w:w="2777" w:type="dxa"/>
          </w:tcPr>
          <w:p w14:paraId="58B86B94">
            <w:pPr>
              <w:rPr>
                <w:color w:val="auto"/>
                <w:highlight w:val="none"/>
              </w:rPr>
            </w:pPr>
            <w:r>
              <w:rPr>
                <w:rFonts w:hint="eastAsia"/>
                <w:color w:val="auto"/>
                <w:highlight w:val="none"/>
              </w:rPr>
              <w:t>工期</w:t>
            </w:r>
          </w:p>
        </w:tc>
        <w:tc>
          <w:tcPr>
            <w:tcW w:w="1869" w:type="dxa"/>
          </w:tcPr>
          <w:p w14:paraId="7522EA20">
            <w:pPr>
              <w:rPr>
                <w:color w:val="auto"/>
                <w:highlight w:val="none"/>
              </w:rPr>
            </w:pPr>
            <w:r>
              <w:rPr>
                <w:rFonts w:hint="eastAsia"/>
                <w:color w:val="auto"/>
                <w:highlight w:val="none"/>
              </w:rPr>
              <w:t>1.1.4.3</w:t>
            </w:r>
          </w:p>
        </w:tc>
        <w:tc>
          <w:tcPr>
            <w:tcW w:w="1869" w:type="dxa"/>
          </w:tcPr>
          <w:p w14:paraId="3EF587BF">
            <w:pPr>
              <w:rPr>
                <w:color w:val="auto"/>
                <w:highlight w:val="none"/>
              </w:rPr>
            </w:pPr>
            <w:r>
              <w:rPr>
                <w:rFonts w:hint="eastAsia"/>
                <w:color w:val="auto"/>
                <w:highlight w:val="none"/>
              </w:rPr>
              <w:t>天数：　　日历天</w:t>
            </w:r>
          </w:p>
        </w:tc>
        <w:tc>
          <w:tcPr>
            <w:tcW w:w="1706" w:type="dxa"/>
          </w:tcPr>
          <w:p w14:paraId="788B219E">
            <w:pPr>
              <w:rPr>
                <w:color w:val="auto"/>
                <w:highlight w:val="none"/>
              </w:rPr>
            </w:pPr>
          </w:p>
        </w:tc>
      </w:tr>
      <w:tr w14:paraId="55BB1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0367545A">
            <w:pPr>
              <w:jc w:val="center"/>
              <w:rPr>
                <w:color w:val="auto"/>
                <w:highlight w:val="none"/>
              </w:rPr>
            </w:pPr>
            <w:r>
              <w:rPr>
                <w:rFonts w:hint="eastAsia"/>
                <w:color w:val="auto"/>
                <w:highlight w:val="none"/>
              </w:rPr>
              <w:t>3</w:t>
            </w:r>
          </w:p>
        </w:tc>
        <w:tc>
          <w:tcPr>
            <w:tcW w:w="2777" w:type="dxa"/>
          </w:tcPr>
          <w:p w14:paraId="5B0BE96F">
            <w:pPr>
              <w:rPr>
                <w:rFonts w:hint="eastAsia" w:eastAsia="宋体"/>
                <w:color w:val="auto"/>
                <w:highlight w:val="none"/>
                <w:lang w:eastAsia="zh-CN"/>
              </w:rPr>
            </w:pPr>
            <w:r>
              <w:rPr>
                <w:rFonts w:hint="eastAsia"/>
                <w:color w:val="auto"/>
                <w:highlight w:val="none"/>
              </w:rPr>
              <w:t>缺陷责任期</w:t>
            </w:r>
            <w:r>
              <w:rPr>
                <w:rFonts w:hint="eastAsia"/>
                <w:color w:val="auto"/>
                <w:highlight w:val="none"/>
                <w:lang w:eastAsia="zh-CN"/>
              </w:rPr>
              <w:t>（</w:t>
            </w:r>
            <w:r>
              <w:rPr>
                <w:rFonts w:hint="eastAsia"/>
                <w:color w:val="auto"/>
                <w:highlight w:val="none"/>
              </w:rPr>
              <w:t>工程质量保修期</w:t>
            </w:r>
            <w:r>
              <w:rPr>
                <w:rFonts w:hint="eastAsia"/>
                <w:color w:val="auto"/>
                <w:highlight w:val="none"/>
                <w:lang w:eastAsia="zh-CN"/>
              </w:rPr>
              <w:t>）</w:t>
            </w:r>
          </w:p>
        </w:tc>
        <w:tc>
          <w:tcPr>
            <w:tcW w:w="1869" w:type="dxa"/>
          </w:tcPr>
          <w:p w14:paraId="19B5BE5D">
            <w:pPr>
              <w:rPr>
                <w:color w:val="auto"/>
                <w:highlight w:val="none"/>
              </w:rPr>
            </w:pPr>
            <w:r>
              <w:rPr>
                <w:rFonts w:hint="eastAsia"/>
                <w:color w:val="auto"/>
                <w:highlight w:val="none"/>
              </w:rPr>
              <w:t>1.1.4.5</w:t>
            </w:r>
          </w:p>
        </w:tc>
        <w:tc>
          <w:tcPr>
            <w:tcW w:w="1869" w:type="dxa"/>
          </w:tcPr>
          <w:p w14:paraId="7E04AA5F">
            <w:pPr>
              <w:rPr>
                <w:color w:val="auto"/>
                <w:highlight w:val="none"/>
              </w:rPr>
            </w:pPr>
          </w:p>
        </w:tc>
        <w:tc>
          <w:tcPr>
            <w:tcW w:w="1706" w:type="dxa"/>
          </w:tcPr>
          <w:p w14:paraId="1AE9CCF7">
            <w:pPr>
              <w:rPr>
                <w:color w:val="auto"/>
                <w:highlight w:val="none"/>
              </w:rPr>
            </w:pPr>
          </w:p>
        </w:tc>
      </w:tr>
      <w:tr w14:paraId="46382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vAlign w:val="center"/>
          </w:tcPr>
          <w:p w14:paraId="6EE4E7A8">
            <w:pPr>
              <w:jc w:val="center"/>
              <w:rPr>
                <w:color w:val="auto"/>
                <w:highlight w:val="none"/>
              </w:rPr>
            </w:pPr>
            <w:r>
              <w:rPr>
                <w:rFonts w:hint="eastAsia"/>
                <w:color w:val="auto"/>
                <w:highlight w:val="none"/>
              </w:rPr>
              <w:t>4</w:t>
            </w:r>
          </w:p>
        </w:tc>
        <w:tc>
          <w:tcPr>
            <w:tcW w:w="2777" w:type="dxa"/>
          </w:tcPr>
          <w:p w14:paraId="6BA22697">
            <w:pPr>
              <w:rPr>
                <w:color w:val="auto"/>
                <w:highlight w:val="none"/>
              </w:rPr>
            </w:pPr>
            <w:r>
              <w:rPr>
                <w:rFonts w:hint="eastAsia"/>
                <w:color w:val="auto"/>
                <w:highlight w:val="none"/>
              </w:rPr>
              <w:t>分包</w:t>
            </w:r>
          </w:p>
        </w:tc>
        <w:tc>
          <w:tcPr>
            <w:tcW w:w="1869" w:type="dxa"/>
          </w:tcPr>
          <w:p w14:paraId="4FEB8D00">
            <w:pPr>
              <w:rPr>
                <w:color w:val="auto"/>
                <w:highlight w:val="none"/>
              </w:rPr>
            </w:pPr>
            <w:r>
              <w:rPr>
                <w:rFonts w:hint="eastAsia"/>
                <w:color w:val="auto"/>
                <w:highlight w:val="none"/>
              </w:rPr>
              <w:t>4.3</w:t>
            </w:r>
          </w:p>
        </w:tc>
        <w:tc>
          <w:tcPr>
            <w:tcW w:w="1869" w:type="dxa"/>
          </w:tcPr>
          <w:p w14:paraId="606A1F79">
            <w:pPr>
              <w:rPr>
                <w:color w:val="auto"/>
                <w:highlight w:val="none"/>
              </w:rPr>
            </w:pPr>
          </w:p>
        </w:tc>
        <w:tc>
          <w:tcPr>
            <w:tcW w:w="1706" w:type="dxa"/>
          </w:tcPr>
          <w:p w14:paraId="68D27A24">
            <w:pPr>
              <w:rPr>
                <w:color w:val="auto"/>
                <w:highlight w:val="none"/>
              </w:rPr>
            </w:pPr>
          </w:p>
        </w:tc>
      </w:tr>
      <w:tr w14:paraId="06601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vAlign w:val="center"/>
          </w:tcPr>
          <w:p w14:paraId="3C94ABB0">
            <w:pPr>
              <w:jc w:val="center"/>
              <w:rPr>
                <w:color w:val="auto"/>
                <w:highlight w:val="none"/>
              </w:rPr>
            </w:pPr>
            <w:r>
              <w:rPr>
                <w:rFonts w:hint="eastAsia"/>
                <w:color w:val="auto"/>
                <w:highlight w:val="none"/>
              </w:rPr>
              <w:t>5</w:t>
            </w:r>
          </w:p>
        </w:tc>
        <w:tc>
          <w:tcPr>
            <w:tcW w:w="2777" w:type="dxa"/>
          </w:tcPr>
          <w:p w14:paraId="097144ED">
            <w:pPr>
              <w:rPr>
                <w:color w:val="auto"/>
                <w:highlight w:val="none"/>
              </w:rPr>
            </w:pPr>
            <w:r>
              <w:rPr>
                <w:rFonts w:hint="eastAsia"/>
                <w:color w:val="auto"/>
                <w:highlight w:val="none"/>
              </w:rPr>
              <w:t>价格调整的差额计算</w:t>
            </w:r>
          </w:p>
        </w:tc>
        <w:tc>
          <w:tcPr>
            <w:tcW w:w="1869" w:type="dxa"/>
          </w:tcPr>
          <w:p w14:paraId="06F8A168">
            <w:pPr>
              <w:rPr>
                <w:color w:val="auto"/>
                <w:highlight w:val="none"/>
              </w:rPr>
            </w:pPr>
            <w:r>
              <w:rPr>
                <w:rFonts w:hint="eastAsia"/>
                <w:color w:val="auto"/>
                <w:highlight w:val="none"/>
              </w:rPr>
              <w:t>16.1.1</w:t>
            </w:r>
          </w:p>
        </w:tc>
        <w:tc>
          <w:tcPr>
            <w:tcW w:w="1869" w:type="dxa"/>
          </w:tcPr>
          <w:p w14:paraId="0CACF23B">
            <w:pPr>
              <w:rPr>
                <w:color w:val="auto"/>
                <w:highlight w:val="none"/>
              </w:rPr>
            </w:pPr>
            <w:r>
              <w:rPr>
                <w:rFonts w:hint="eastAsia"/>
                <w:color w:val="auto"/>
                <w:highlight w:val="none"/>
              </w:rPr>
              <w:t>见价格指数权重表</w:t>
            </w:r>
          </w:p>
        </w:tc>
        <w:tc>
          <w:tcPr>
            <w:tcW w:w="1706" w:type="dxa"/>
          </w:tcPr>
          <w:p w14:paraId="519F2F6F">
            <w:pPr>
              <w:rPr>
                <w:color w:val="auto"/>
                <w:highlight w:val="none"/>
              </w:rPr>
            </w:pPr>
          </w:p>
        </w:tc>
      </w:tr>
      <w:tr w14:paraId="2A5D8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23488D0E">
            <w:pPr>
              <w:jc w:val="center"/>
              <w:rPr>
                <w:color w:val="auto"/>
                <w:highlight w:val="none"/>
              </w:rPr>
            </w:pPr>
            <w:r>
              <w:rPr>
                <w:rFonts w:hint="eastAsia"/>
                <w:color w:val="auto"/>
                <w:highlight w:val="none"/>
              </w:rPr>
              <w:t>……</w:t>
            </w:r>
          </w:p>
        </w:tc>
        <w:tc>
          <w:tcPr>
            <w:tcW w:w="2777" w:type="dxa"/>
          </w:tcPr>
          <w:p w14:paraId="2D7D9EBC">
            <w:pPr>
              <w:rPr>
                <w:color w:val="auto"/>
                <w:highlight w:val="none"/>
              </w:rPr>
            </w:pPr>
            <w:r>
              <w:rPr>
                <w:rFonts w:hint="eastAsia"/>
                <w:color w:val="auto"/>
                <w:highlight w:val="none"/>
              </w:rPr>
              <w:t>……</w:t>
            </w:r>
          </w:p>
        </w:tc>
        <w:tc>
          <w:tcPr>
            <w:tcW w:w="1869" w:type="dxa"/>
          </w:tcPr>
          <w:p w14:paraId="075707CB">
            <w:pPr>
              <w:rPr>
                <w:color w:val="auto"/>
                <w:highlight w:val="none"/>
              </w:rPr>
            </w:pPr>
            <w:r>
              <w:rPr>
                <w:rFonts w:hint="eastAsia"/>
                <w:color w:val="auto"/>
                <w:highlight w:val="none"/>
              </w:rPr>
              <w:t>……</w:t>
            </w:r>
          </w:p>
        </w:tc>
        <w:tc>
          <w:tcPr>
            <w:tcW w:w="1869" w:type="dxa"/>
          </w:tcPr>
          <w:p w14:paraId="782FC96E">
            <w:pPr>
              <w:rPr>
                <w:color w:val="auto"/>
                <w:highlight w:val="none"/>
              </w:rPr>
            </w:pPr>
            <w:r>
              <w:rPr>
                <w:rFonts w:hint="eastAsia"/>
                <w:color w:val="auto"/>
                <w:highlight w:val="none"/>
              </w:rPr>
              <w:t>……</w:t>
            </w:r>
          </w:p>
        </w:tc>
        <w:tc>
          <w:tcPr>
            <w:tcW w:w="1706" w:type="dxa"/>
          </w:tcPr>
          <w:p w14:paraId="49980522">
            <w:pPr>
              <w:rPr>
                <w:color w:val="auto"/>
                <w:highlight w:val="none"/>
              </w:rPr>
            </w:pPr>
          </w:p>
        </w:tc>
      </w:tr>
      <w:tr w14:paraId="28DFF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vAlign w:val="center"/>
          </w:tcPr>
          <w:p w14:paraId="045AA413">
            <w:pPr>
              <w:jc w:val="center"/>
              <w:rPr>
                <w:color w:val="auto"/>
                <w:highlight w:val="none"/>
              </w:rPr>
            </w:pPr>
            <w:r>
              <w:rPr>
                <w:rFonts w:hint="eastAsia"/>
                <w:color w:val="auto"/>
                <w:highlight w:val="none"/>
              </w:rPr>
              <w:t>……</w:t>
            </w:r>
          </w:p>
        </w:tc>
        <w:tc>
          <w:tcPr>
            <w:tcW w:w="2777" w:type="dxa"/>
          </w:tcPr>
          <w:p w14:paraId="2AF37D89">
            <w:pPr>
              <w:rPr>
                <w:color w:val="auto"/>
                <w:highlight w:val="none"/>
              </w:rPr>
            </w:pPr>
            <w:r>
              <w:rPr>
                <w:rFonts w:hint="eastAsia"/>
                <w:color w:val="auto"/>
                <w:highlight w:val="none"/>
              </w:rPr>
              <w:t>……</w:t>
            </w:r>
          </w:p>
        </w:tc>
        <w:tc>
          <w:tcPr>
            <w:tcW w:w="1869" w:type="dxa"/>
          </w:tcPr>
          <w:p w14:paraId="4D9AC07F">
            <w:pPr>
              <w:rPr>
                <w:color w:val="auto"/>
                <w:highlight w:val="none"/>
              </w:rPr>
            </w:pPr>
            <w:r>
              <w:rPr>
                <w:rFonts w:hint="eastAsia"/>
                <w:color w:val="auto"/>
                <w:highlight w:val="none"/>
              </w:rPr>
              <w:t>……</w:t>
            </w:r>
          </w:p>
        </w:tc>
        <w:tc>
          <w:tcPr>
            <w:tcW w:w="1869" w:type="dxa"/>
          </w:tcPr>
          <w:p w14:paraId="7F2CA078">
            <w:pPr>
              <w:rPr>
                <w:color w:val="auto"/>
                <w:highlight w:val="none"/>
              </w:rPr>
            </w:pPr>
            <w:r>
              <w:rPr>
                <w:rFonts w:hint="eastAsia"/>
                <w:color w:val="auto"/>
                <w:highlight w:val="none"/>
              </w:rPr>
              <w:t>……</w:t>
            </w:r>
          </w:p>
        </w:tc>
        <w:tc>
          <w:tcPr>
            <w:tcW w:w="1706" w:type="dxa"/>
          </w:tcPr>
          <w:p w14:paraId="290FBAEE">
            <w:pPr>
              <w:rPr>
                <w:color w:val="auto"/>
                <w:highlight w:val="none"/>
              </w:rPr>
            </w:pPr>
          </w:p>
        </w:tc>
      </w:tr>
    </w:tbl>
    <w:p w14:paraId="2CAA5222">
      <w:pPr>
        <w:rPr>
          <w:color w:val="auto"/>
          <w:highlight w:val="none"/>
        </w:rPr>
      </w:pPr>
    </w:p>
    <w:p w14:paraId="431BD5EC">
      <w:pPr>
        <w:rPr>
          <w:color w:val="auto"/>
          <w:highlight w:val="none"/>
        </w:rPr>
      </w:pPr>
    </w:p>
    <w:p w14:paraId="796C6234">
      <w:pPr>
        <w:rPr>
          <w:color w:val="auto"/>
          <w:highlight w:val="none"/>
        </w:rPr>
      </w:pPr>
    </w:p>
    <w:p w14:paraId="03F702F5">
      <w:pPr>
        <w:jc w:val="center"/>
        <w:rPr>
          <w:b/>
          <w:color w:val="auto"/>
          <w:highlight w:val="none"/>
        </w:rPr>
      </w:pPr>
      <w:r>
        <w:rPr>
          <w:rFonts w:hint="eastAsia"/>
          <w:b/>
          <w:color w:val="auto"/>
          <w:highlight w:val="none"/>
        </w:rPr>
        <w:t>价格指数权重表</w:t>
      </w:r>
    </w:p>
    <w:p w14:paraId="13B4F58B">
      <w:pPr>
        <w:rPr>
          <w:color w:val="auto"/>
          <w:highlight w:val="none"/>
        </w:rPr>
      </w:pPr>
      <w:r>
        <w:rPr>
          <w:rFonts w:hint="eastAsia"/>
          <w:color w:val="auto"/>
          <w:highlight w:val="none"/>
        </w:rPr>
        <w:t>基本价格指数的基准日：</w:t>
      </w:r>
    </w:p>
    <w:tbl>
      <w:tblPr>
        <w:tblStyle w:val="2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26"/>
        <w:gridCol w:w="1042"/>
        <w:gridCol w:w="1134"/>
        <w:gridCol w:w="1134"/>
        <w:gridCol w:w="1418"/>
        <w:gridCol w:w="1946"/>
        <w:gridCol w:w="1172"/>
      </w:tblGrid>
      <w:tr w14:paraId="36C3E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Merge w:val="restart"/>
            <w:vAlign w:val="center"/>
          </w:tcPr>
          <w:p w14:paraId="6BDD9604">
            <w:pPr>
              <w:jc w:val="center"/>
              <w:rPr>
                <w:color w:val="auto"/>
                <w:highlight w:val="none"/>
              </w:rPr>
            </w:pPr>
            <w:r>
              <w:rPr>
                <w:rFonts w:hint="eastAsia"/>
                <w:color w:val="auto"/>
                <w:highlight w:val="none"/>
              </w:rPr>
              <w:t>名称</w:t>
            </w:r>
          </w:p>
        </w:tc>
        <w:tc>
          <w:tcPr>
            <w:tcW w:w="2176" w:type="dxa"/>
            <w:gridSpan w:val="2"/>
            <w:vAlign w:val="center"/>
          </w:tcPr>
          <w:p w14:paraId="7745F0E3">
            <w:pPr>
              <w:jc w:val="center"/>
              <w:rPr>
                <w:color w:val="auto"/>
                <w:highlight w:val="none"/>
              </w:rPr>
            </w:pPr>
            <w:r>
              <w:rPr>
                <w:rFonts w:hint="eastAsia"/>
                <w:color w:val="auto"/>
                <w:highlight w:val="none"/>
              </w:rPr>
              <w:t>基本价格指数</w:t>
            </w:r>
          </w:p>
        </w:tc>
        <w:tc>
          <w:tcPr>
            <w:tcW w:w="4498" w:type="dxa"/>
            <w:gridSpan w:val="3"/>
            <w:vAlign w:val="center"/>
          </w:tcPr>
          <w:p w14:paraId="4FE65F90">
            <w:pPr>
              <w:jc w:val="center"/>
              <w:rPr>
                <w:color w:val="auto"/>
                <w:highlight w:val="none"/>
              </w:rPr>
            </w:pPr>
            <w:r>
              <w:rPr>
                <w:rFonts w:hint="eastAsia"/>
                <w:color w:val="auto"/>
                <w:highlight w:val="none"/>
              </w:rPr>
              <w:t>权重</w:t>
            </w:r>
          </w:p>
        </w:tc>
        <w:tc>
          <w:tcPr>
            <w:tcW w:w="1172" w:type="dxa"/>
            <w:vMerge w:val="restart"/>
            <w:vAlign w:val="center"/>
          </w:tcPr>
          <w:p w14:paraId="19978B5E">
            <w:pPr>
              <w:jc w:val="center"/>
              <w:rPr>
                <w:color w:val="auto"/>
                <w:highlight w:val="none"/>
              </w:rPr>
            </w:pPr>
            <w:r>
              <w:rPr>
                <w:rFonts w:hint="eastAsia"/>
                <w:color w:val="auto"/>
                <w:highlight w:val="none"/>
              </w:rPr>
              <w:t>价格指数来源</w:t>
            </w:r>
          </w:p>
        </w:tc>
      </w:tr>
      <w:tr w14:paraId="4D7C6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Merge w:val="continue"/>
            <w:vAlign w:val="center"/>
          </w:tcPr>
          <w:p w14:paraId="44685587">
            <w:pPr>
              <w:jc w:val="center"/>
              <w:rPr>
                <w:color w:val="auto"/>
                <w:highlight w:val="none"/>
              </w:rPr>
            </w:pPr>
          </w:p>
        </w:tc>
        <w:tc>
          <w:tcPr>
            <w:tcW w:w="1042" w:type="dxa"/>
            <w:vAlign w:val="center"/>
          </w:tcPr>
          <w:p w14:paraId="5C1A7983">
            <w:pPr>
              <w:jc w:val="center"/>
              <w:rPr>
                <w:color w:val="auto"/>
                <w:highlight w:val="none"/>
              </w:rPr>
            </w:pPr>
            <w:r>
              <w:rPr>
                <w:rFonts w:hint="eastAsia"/>
                <w:color w:val="auto"/>
                <w:highlight w:val="none"/>
              </w:rPr>
              <w:t>代号</w:t>
            </w:r>
          </w:p>
        </w:tc>
        <w:tc>
          <w:tcPr>
            <w:tcW w:w="1134" w:type="dxa"/>
            <w:vAlign w:val="center"/>
          </w:tcPr>
          <w:p w14:paraId="359C56A6">
            <w:pPr>
              <w:jc w:val="center"/>
              <w:rPr>
                <w:color w:val="auto"/>
                <w:highlight w:val="none"/>
              </w:rPr>
            </w:pPr>
            <w:r>
              <w:rPr>
                <w:rFonts w:hint="eastAsia"/>
                <w:color w:val="auto"/>
                <w:highlight w:val="none"/>
              </w:rPr>
              <w:t>指数值</w:t>
            </w:r>
          </w:p>
        </w:tc>
        <w:tc>
          <w:tcPr>
            <w:tcW w:w="1134" w:type="dxa"/>
            <w:vAlign w:val="center"/>
          </w:tcPr>
          <w:p w14:paraId="06B1BE44">
            <w:pPr>
              <w:jc w:val="center"/>
              <w:rPr>
                <w:color w:val="auto"/>
                <w:highlight w:val="none"/>
              </w:rPr>
            </w:pPr>
            <w:r>
              <w:rPr>
                <w:rFonts w:hint="eastAsia"/>
                <w:color w:val="auto"/>
                <w:highlight w:val="none"/>
              </w:rPr>
              <w:t>代号</w:t>
            </w:r>
          </w:p>
        </w:tc>
        <w:tc>
          <w:tcPr>
            <w:tcW w:w="1418" w:type="dxa"/>
            <w:vAlign w:val="center"/>
          </w:tcPr>
          <w:p w14:paraId="320532C6">
            <w:pPr>
              <w:jc w:val="center"/>
              <w:rPr>
                <w:color w:val="auto"/>
                <w:highlight w:val="none"/>
              </w:rPr>
            </w:pPr>
            <w:r>
              <w:rPr>
                <w:rFonts w:hint="eastAsia"/>
                <w:color w:val="auto"/>
                <w:highlight w:val="none"/>
              </w:rPr>
              <w:t>允许范围</w:t>
            </w:r>
          </w:p>
        </w:tc>
        <w:tc>
          <w:tcPr>
            <w:tcW w:w="1946" w:type="dxa"/>
            <w:vAlign w:val="center"/>
          </w:tcPr>
          <w:p w14:paraId="3EE194C6">
            <w:pPr>
              <w:jc w:val="center"/>
              <w:rPr>
                <w:color w:val="auto"/>
                <w:highlight w:val="none"/>
              </w:rPr>
            </w:pPr>
            <w:r>
              <w:rPr>
                <w:rFonts w:hint="eastAsia"/>
                <w:color w:val="auto"/>
                <w:highlight w:val="none"/>
              </w:rPr>
              <w:t>投标人建议值</w:t>
            </w:r>
          </w:p>
        </w:tc>
        <w:tc>
          <w:tcPr>
            <w:tcW w:w="1172" w:type="dxa"/>
            <w:vMerge w:val="continue"/>
            <w:vAlign w:val="center"/>
          </w:tcPr>
          <w:p w14:paraId="48D828FA">
            <w:pPr>
              <w:jc w:val="center"/>
              <w:rPr>
                <w:color w:val="auto"/>
                <w:highlight w:val="none"/>
              </w:rPr>
            </w:pPr>
          </w:p>
        </w:tc>
      </w:tr>
      <w:tr w14:paraId="588F3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Align w:val="center"/>
          </w:tcPr>
          <w:p w14:paraId="7A330FB0">
            <w:pPr>
              <w:jc w:val="center"/>
              <w:rPr>
                <w:color w:val="auto"/>
                <w:highlight w:val="none"/>
              </w:rPr>
            </w:pPr>
            <w:r>
              <w:rPr>
                <w:rFonts w:hint="eastAsia"/>
                <w:color w:val="auto"/>
                <w:highlight w:val="none"/>
              </w:rPr>
              <w:t>定值部分</w:t>
            </w:r>
          </w:p>
        </w:tc>
        <w:tc>
          <w:tcPr>
            <w:tcW w:w="1042" w:type="dxa"/>
            <w:vAlign w:val="center"/>
          </w:tcPr>
          <w:p w14:paraId="5209E64E">
            <w:pPr>
              <w:jc w:val="center"/>
              <w:rPr>
                <w:color w:val="auto"/>
                <w:highlight w:val="none"/>
              </w:rPr>
            </w:pPr>
          </w:p>
        </w:tc>
        <w:tc>
          <w:tcPr>
            <w:tcW w:w="1134" w:type="dxa"/>
            <w:vAlign w:val="center"/>
          </w:tcPr>
          <w:p w14:paraId="6109428F">
            <w:pPr>
              <w:jc w:val="center"/>
              <w:rPr>
                <w:color w:val="auto"/>
                <w:highlight w:val="none"/>
              </w:rPr>
            </w:pPr>
          </w:p>
        </w:tc>
        <w:tc>
          <w:tcPr>
            <w:tcW w:w="1134" w:type="dxa"/>
            <w:vAlign w:val="center"/>
          </w:tcPr>
          <w:p w14:paraId="231883BE">
            <w:pPr>
              <w:jc w:val="center"/>
              <w:rPr>
                <w:color w:val="auto"/>
                <w:highlight w:val="none"/>
              </w:rPr>
            </w:pPr>
            <w:r>
              <w:rPr>
                <w:rFonts w:hint="eastAsia"/>
                <w:color w:val="auto"/>
                <w:highlight w:val="none"/>
              </w:rPr>
              <w:t>A</w:t>
            </w:r>
          </w:p>
        </w:tc>
        <w:tc>
          <w:tcPr>
            <w:tcW w:w="1418" w:type="dxa"/>
            <w:vAlign w:val="center"/>
          </w:tcPr>
          <w:p w14:paraId="57B22395">
            <w:pPr>
              <w:jc w:val="center"/>
              <w:rPr>
                <w:color w:val="auto"/>
                <w:highlight w:val="none"/>
              </w:rPr>
            </w:pPr>
          </w:p>
        </w:tc>
        <w:tc>
          <w:tcPr>
            <w:tcW w:w="1946" w:type="dxa"/>
            <w:vAlign w:val="center"/>
          </w:tcPr>
          <w:p w14:paraId="12B2B40D">
            <w:pPr>
              <w:jc w:val="center"/>
              <w:rPr>
                <w:color w:val="auto"/>
                <w:highlight w:val="none"/>
              </w:rPr>
            </w:pPr>
          </w:p>
        </w:tc>
        <w:tc>
          <w:tcPr>
            <w:tcW w:w="1172" w:type="dxa"/>
            <w:vAlign w:val="center"/>
          </w:tcPr>
          <w:p w14:paraId="1D7C7064">
            <w:pPr>
              <w:jc w:val="center"/>
              <w:rPr>
                <w:color w:val="auto"/>
                <w:highlight w:val="none"/>
              </w:rPr>
            </w:pPr>
          </w:p>
        </w:tc>
      </w:tr>
      <w:tr w14:paraId="4DB9B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Align w:val="center"/>
          </w:tcPr>
          <w:p w14:paraId="0AB02FC0">
            <w:pPr>
              <w:jc w:val="center"/>
              <w:rPr>
                <w:color w:val="auto"/>
                <w:highlight w:val="none"/>
              </w:rPr>
            </w:pPr>
            <w:r>
              <w:rPr>
                <w:rFonts w:hint="eastAsia"/>
                <w:color w:val="auto"/>
                <w:highlight w:val="none"/>
              </w:rPr>
              <w:t>变值部分</w:t>
            </w:r>
          </w:p>
        </w:tc>
        <w:tc>
          <w:tcPr>
            <w:tcW w:w="1042" w:type="dxa"/>
            <w:vAlign w:val="center"/>
          </w:tcPr>
          <w:p w14:paraId="2F342945">
            <w:pPr>
              <w:jc w:val="center"/>
              <w:rPr>
                <w:color w:val="auto"/>
                <w:highlight w:val="none"/>
              </w:rPr>
            </w:pPr>
            <w:r>
              <w:rPr>
                <w:rFonts w:hint="eastAsia"/>
                <w:color w:val="auto"/>
                <w:highlight w:val="none"/>
              </w:rPr>
              <w:t>人工费</w:t>
            </w:r>
          </w:p>
        </w:tc>
        <w:tc>
          <w:tcPr>
            <w:tcW w:w="1134" w:type="dxa"/>
            <w:vAlign w:val="center"/>
          </w:tcPr>
          <w:p w14:paraId="777FA0BD">
            <w:pPr>
              <w:jc w:val="center"/>
              <w:rPr>
                <w:color w:val="auto"/>
                <w:highlight w:val="none"/>
              </w:rPr>
            </w:pPr>
            <w:r>
              <w:rPr>
                <w:rFonts w:hint="eastAsia"/>
                <w:color w:val="auto"/>
                <w:highlight w:val="none"/>
              </w:rPr>
              <w:t>F</w:t>
            </w:r>
            <w:r>
              <w:rPr>
                <w:rFonts w:hint="eastAsia"/>
                <w:color w:val="auto"/>
                <w:highlight w:val="none"/>
                <w:vertAlign w:val="subscript"/>
              </w:rPr>
              <w:t>01</w:t>
            </w:r>
          </w:p>
        </w:tc>
        <w:tc>
          <w:tcPr>
            <w:tcW w:w="1134" w:type="dxa"/>
            <w:vAlign w:val="center"/>
          </w:tcPr>
          <w:p w14:paraId="70A6C4A9">
            <w:pPr>
              <w:jc w:val="center"/>
              <w:rPr>
                <w:color w:val="auto"/>
                <w:highlight w:val="none"/>
              </w:rPr>
            </w:pPr>
          </w:p>
        </w:tc>
        <w:tc>
          <w:tcPr>
            <w:tcW w:w="1418" w:type="dxa"/>
            <w:vAlign w:val="center"/>
          </w:tcPr>
          <w:p w14:paraId="74E215C2">
            <w:pPr>
              <w:jc w:val="center"/>
              <w:rPr>
                <w:color w:val="auto"/>
                <w:highlight w:val="none"/>
              </w:rPr>
            </w:pPr>
            <w:r>
              <w:rPr>
                <w:rFonts w:hint="eastAsia"/>
                <w:color w:val="auto"/>
                <w:highlight w:val="none"/>
              </w:rPr>
              <w:t>B</w:t>
            </w:r>
            <w:r>
              <w:rPr>
                <w:rFonts w:hint="eastAsia"/>
                <w:color w:val="auto"/>
                <w:highlight w:val="none"/>
                <w:vertAlign w:val="subscript"/>
              </w:rPr>
              <w:t>1</w:t>
            </w:r>
          </w:p>
        </w:tc>
        <w:tc>
          <w:tcPr>
            <w:tcW w:w="1946" w:type="dxa"/>
            <w:vAlign w:val="center"/>
          </w:tcPr>
          <w:p w14:paraId="18BBC592">
            <w:pPr>
              <w:jc w:val="center"/>
              <w:rPr>
                <w:color w:val="auto"/>
                <w:highlight w:val="none"/>
              </w:rPr>
            </w:pPr>
            <w:r>
              <w:rPr>
                <w:rFonts w:hint="eastAsia"/>
                <w:color w:val="auto"/>
                <w:highlight w:val="none"/>
              </w:rPr>
              <w:t>至</w:t>
            </w:r>
          </w:p>
        </w:tc>
        <w:tc>
          <w:tcPr>
            <w:tcW w:w="1172" w:type="dxa"/>
            <w:vAlign w:val="center"/>
          </w:tcPr>
          <w:p w14:paraId="6ECAA8EA">
            <w:pPr>
              <w:jc w:val="center"/>
              <w:rPr>
                <w:color w:val="auto"/>
                <w:highlight w:val="none"/>
              </w:rPr>
            </w:pPr>
          </w:p>
        </w:tc>
      </w:tr>
      <w:tr w14:paraId="50A92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Align w:val="center"/>
          </w:tcPr>
          <w:p w14:paraId="4B4218A3">
            <w:pPr>
              <w:jc w:val="center"/>
              <w:rPr>
                <w:color w:val="auto"/>
                <w:highlight w:val="none"/>
              </w:rPr>
            </w:pPr>
          </w:p>
        </w:tc>
        <w:tc>
          <w:tcPr>
            <w:tcW w:w="1042" w:type="dxa"/>
            <w:vAlign w:val="center"/>
          </w:tcPr>
          <w:p w14:paraId="039A6F4E">
            <w:pPr>
              <w:jc w:val="center"/>
              <w:rPr>
                <w:color w:val="auto"/>
                <w:highlight w:val="none"/>
              </w:rPr>
            </w:pPr>
            <w:r>
              <w:rPr>
                <w:rFonts w:hint="eastAsia"/>
                <w:color w:val="auto"/>
                <w:highlight w:val="none"/>
              </w:rPr>
              <w:t>钢材</w:t>
            </w:r>
          </w:p>
        </w:tc>
        <w:tc>
          <w:tcPr>
            <w:tcW w:w="1134" w:type="dxa"/>
            <w:vAlign w:val="center"/>
          </w:tcPr>
          <w:p w14:paraId="4EE6F522">
            <w:pPr>
              <w:jc w:val="center"/>
              <w:rPr>
                <w:color w:val="auto"/>
                <w:highlight w:val="none"/>
              </w:rPr>
            </w:pPr>
            <w:r>
              <w:rPr>
                <w:rFonts w:hint="eastAsia"/>
                <w:color w:val="auto"/>
                <w:highlight w:val="none"/>
              </w:rPr>
              <w:t>F</w:t>
            </w:r>
            <w:r>
              <w:rPr>
                <w:rFonts w:hint="eastAsia"/>
                <w:color w:val="auto"/>
                <w:highlight w:val="none"/>
                <w:vertAlign w:val="subscript"/>
              </w:rPr>
              <w:t>02</w:t>
            </w:r>
          </w:p>
        </w:tc>
        <w:tc>
          <w:tcPr>
            <w:tcW w:w="1134" w:type="dxa"/>
            <w:vAlign w:val="center"/>
          </w:tcPr>
          <w:p w14:paraId="630B7B68">
            <w:pPr>
              <w:jc w:val="center"/>
              <w:rPr>
                <w:color w:val="auto"/>
                <w:highlight w:val="none"/>
              </w:rPr>
            </w:pPr>
          </w:p>
        </w:tc>
        <w:tc>
          <w:tcPr>
            <w:tcW w:w="1418" w:type="dxa"/>
            <w:vAlign w:val="center"/>
          </w:tcPr>
          <w:p w14:paraId="3567B493">
            <w:pPr>
              <w:jc w:val="center"/>
              <w:rPr>
                <w:color w:val="auto"/>
                <w:highlight w:val="none"/>
              </w:rPr>
            </w:pPr>
            <w:r>
              <w:rPr>
                <w:rFonts w:hint="eastAsia"/>
                <w:color w:val="auto"/>
                <w:highlight w:val="none"/>
              </w:rPr>
              <w:t>B</w:t>
            </w:r>
            <w:r>
              <w:rPr>
                <w:rFonts w:hint="eastAsia"/>
                <w:color w:val="auto"/>
                <w:highlight w:val="none"/>
                <w:vertAlign w:val="subscript"/>
              </w:rPr>
              <w:t>2</w:t>
            </w:r>
          </w:p>
        </w:tc>
        <w:tc>
          <w:tcPr>
            <w:tcW w:w="1946" w:type="dxa"/>
            <w:vAlign w:val="center"/>
          </w:tcPr>
          <w:p w14:paraId="19C00150">
            <w:pPr>
              <w:jc w:val="center"/>
              <w:rPr>
                <w:color w:val="auto"/>
                <w:highlight w:val="none"/>
              </w:rPr>
            </w:pPr>
            <w:r>
              <w:rPr>
                <w:rFonts w:hint="eastAsia"/>
                <w:color w:val="auto"/>
                <w:highlight w:val="none"/>
              </w:rPr>
              <w:t>至</w:t>
            </w:r>
          </w:p>
        </w:tc>
        <w:tc>
          <w:tcPr>
            <w:tcW w:w="1172" w:type="dxa"/>
            <w:vAlign w:val="center"/>
          </w:tcPr>
          <w:p w14:paraId="289930D7">
            <w:pPr>
              <w:jc w:val="center"/>
              <w:rPr>
                <w:color w:val="auto"/>
                <w:highlight w:val="none"/>
              </w:rPr>
            </w:pPr>
          </w:p>
        </w:tc>
      </w:tr>
      <w:tr w14:paraId="14FB5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Align w:val="center"/>
          </w:tcPr>
          <w:p w14:paraId="71A66E03">
            <w:pPr>
              <w:jc w:val="center"/>
              <w:rPr>
                <w:color w:val="auto"/>
                <w:highlight w:val="none"/>
              </w:rPr>
            </w:pPr>
          </w:p>
        </w:tc>
        <w:tc>
          <w:tcPr>
            <w:tcW w:w="1042" w:type="dxa"/>
            <w:vAlign w:val="center"/>
          </w:tcPr>
          <w:p w14:paraId="2835D513">
            <w:pPr>
              <w:jc w:val="center"/>
              <w:rPr>
                <w:color w:val="auto"/>
                <w:highlight w:val="none"/>
              </w:rPr>
            </w:pPr>
            <w:r>
              <w:rPr>
                <w:rFonts w:hint="eastAsia"/>
                <w:color w:val="auto"/>
                <w:highlight w:val="none"/>
              </w:rPr>
              <w:t>水泥</w:t>
            </w:r>
          </w:p>
        </w:tc>
        <w:tc>
          <w:tcPr>
            <w:tcW w:w="1134" w:type="dxa"/>
            <w:vAlign w:val="center"/>
          </w:tcPr>
          <w:p w14:paraId="32052A1C">
            <w:pPr>
              <w:jc w:val="center"/>
              <w:rPr>
                <w:color w:val="auto"/>
                <w:highlight w:val="none"/>
              </w:rPr>
            </w:pPr>
            <w:r>
              <w:rPr>
                <w:rFonts w:hint="eastAsia"/>
                <w:color w:val="auto"/>
                <w:highlight w:val="none"/>
              </w:rPr>
              <w:t>F</w:t>
            </w:r>
            <w:r>
              <w:rPr>
                <w:rFonts w:hint="eastAsia"/>
                <w:color w:val="auto"/>
                <w:highlight w:val="none"/>
                <w:vertAlign w:val="subscript"/>
              </w:rPr>
              <w:t>03</w:t>
            </w:r>
          </w:p>
        </w:tc>
        <w:tc>
          <w:tcPr>
            <w:tcW w:w="1134" w:type="dxa"/>
            <w:vAlign w:val="center"/>
          </w:tcPr>
          <w:p w14:paraId="45AA4A2D">
            <w:pPr>
              <w:jc w:val="center"/>
              <w:rPr>
                <w:color w:val="auto"/>
                <w:highlight w:val="none"/>
              </w:rPr>
            </w:pPr>
          </w:p>
        </w:tc>
        <w:tc>
          <w:tcPr>
            <w:tcW w:w="1418" w:type="dxa"/>
            <w:vAlign w:val="center"/>
          </w:tcPr>
          <w:p w14:paraId="3E5C33E2">
            <w:pPr>
              <w:jc w:val="center"/>
              <w:rPr>
                <w:color w:val="auto"/>
                <w:highlight w:val="none"/>
              </w:rPr>
            </w:pPr>
            <w:r>
              <w:rPr>
                <w:rFonts w:hint="eastAsia"/>
                <w:color w:val="auto"/>
                <w:highlight w:val="none"/>
              </w:rPr>
              <w:t>B</w:t>
            </w:r>
            <w:r>
              <w:rPr>
                <w:rFonts w:hint="eastAsia"/>
                <w:color w:val="auto"/>
                <w:highlight w:val="none"/>
                <w:vertAlign w:val="subscript"/>
              </w:rPr>
              <w:t>3</w:t>
            </w:r>
          </w:p>
        </w:tc>
        <w:tc>
          <w:tcPr>
            <w:tcW w:w="1946" w:type="dxa"/>
            <w:vAlign w:val="center"/>
          </w:tcPr>
          <w:p w14:paraId="50F2F7BA">
            <w:pPr>
              <w:jc w:val="center"/>
              <w:rPr>
                <w:color w:val="auto"/>
                <w:highlight w:val="none"/>
              </w:rPr>
            </w:pPr>
            <w:r>
              <w:rPr>
                <w:rFonts w:hint="eastAsia"/>
                <w:color w:val="auto"/>
                <w:highlight w:val="none"/>
              </w:rPr>
              <w:t>至</w:t>
            </w:r>
          </w:p>
        </w:tc>
        <w:tc>
          <w:tcPr>
            <w:tcW w:w="1172" w:type="dxa"/>
            <w:vAlign w:val="center"/>
          </w:tcPr>
          <w:p w14:paraId="179BFC7F">
            <w:pPr>
              <w:jc w:val="center"/>
              <w:rPr>
                <w:color w:val="auto"/>
                <w:highlight w:val="none"/>
              </w:rPr>
            </w:pPr>
          </w:p>
        </w:tc>
      </w:tr>
      <w:tr w14:paraId="4A2AE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Align w:val="center"/>
          </w:tcPr>
          <w:p w14:paraId="288F40AC">
            <w:pPr>
              <w:jc w:val="center"/>
              <w:rPr>
                <w:color w:val="auto"/>
                <w:highlight w:val="none"/>
              </w:rPr>
            </w:pPr>
          </w:p>
        </w:tc>
        <w:tc>
          <w:tcPr>
            <w:tcW w:w="1042" w:type="dxa"/>
            <w:vAlign w:val="center"/>
          </w:tcPr>
          <w:p w14:paraId="0A755B2B">
            <w:pPr>
              <w:jc w:val="center"/>
              <w:rPr>
                <w:color w:val="auto"/>
                <w:highlight w:val="none"/>
              </w:rPr>
            </w:pPr>
          </w:p>
        </w:tc>
        <w:tc>
          <w:tcPr>
            <w:tcW w:w="1134" w:type="dxa"/>
            <w:vAlign w:val="center"/>
          </w:tcPr>
          <w:p w14:paraId="6267FEB6">
            <w:pPr>
              <w:jc w:val="center"/>
              <w:rPr>
                <w:color w:val="auto"/>
                <w:highlight w:val="none"/>
              </w:rPr>
            </w:pPr>
          </w:p>
        </w:tc>
        <w:tc>
          <w:tcPr>
            <w:tcW w:w="1134" w:type="dxa"/>
            <w:vAlign w:val="center"/>
          </w:tcPr>
          <w:p w14:paraId="0EC2D912">
            <w:pPr>
              <w:jc w:val="center"/>
              <w:rPr>
                <w:color w:val="auto"/>
                <w:highlight w:val="none"/>
              </w:rPr>
            </w:pPr>
          </w:p>
        </w:tc>
        <w:tc>
          <w:tcPr>
            <w:tcW w:w="1418" w:type="dxa"/>
            <w:vAlign w:val="center"/>
          </w:tcPr>
          <w:p w14:paraId="38CD4D60">
            <w:pPr>
              <w:jc w:val="center"/>
              <w:rPr>
                <w:color w:val="auto"/>
                <w:highlight w:val="none"/>
              </w:rPr>
            </w:pPr>
          </w:p>
        </w:tc>
        <w:tc>
          <w:tcPr>
            <w:tcW w:w="1946" w:type="dxa"/>
            <w:vAlign w:val="center"/>
          </w:tcPr>
          <w:p w14:paraId="77CE2FFE">
            <w:pPr>
              <w:jc w:val="center"/>
              <w:rPr>
                <w:color w:val="auto"/>
                <w:highlight w:val="none"/>
              </w:rPr>
            </w:pPr>
          </w:p>
        </w:tc>
        <w:tc>
          <w:tcPr>
            <w:tcW w:w="1172" w:type="dxa"/>
            <w:vAlign w:val="center"/>
          </w:tcPr>
          <w:p w14:paraId="5400D50E">
            <w:pPr>
              <w:jc w:val="center"/>
              <w:rPr>
                <w:color w:val="auto"/>
                <w:highlight w:val="none"/>
              </w:rPr>
            </w:pPr>
          </w:p>
        </w:tc>
      </w:tr>
      <w:tr w14:paraId="5D50B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Align w:val="center"/>
          </w:tcPr>
          <w:p w14:paraId="2BADA97B">
            <w:pPr>
              <w:jc w:val="center"/>
              <w:rPr>
                <w:color w:val="auto"/>
                <w:highlight w:val="none"/>
              </w:rPr>
            </w:pPr>
          </w:p>
        </w:tc>
        <w:tc>
          <w:tcPr>
            <w:tcW w:w="1042" w:type="dxa"/>
            <w:vAlign w:val="center"/>
          </w:tcPr>
          <w:p w14:paraId="2270A0F4">
            <w:pPr>
              <w:jc w:val="center"/>
              <w:rPr>
                <w:color w:val="auto"/>
                <w:highlight w:val="none"/>
              </w:rPr>
            </w:pPr>
          </w:p>
        </w:tc>
        <w:tc>
          <w:tcPr>
            <w:tcW w:w="1134" w:type="dxa"/>
            <w:vAlign w:val="center"/>
          </w:tcPr>
          <w:p w14:paraId="6D7AD091">
            <w:pPr>
              <w:jc w:val="center"/>
              <w:rPr>
                <w:color w:val="auto"/>
                <w:highlight w:val="none"/>
              </w:rPr>
            </w:pPr>
          </w:p>
        </w:tc>
        <w:tc>
          <w:tcPr>
            <w:tcW w:w="1134" w:type="dxa"/>
            <w:vAlign w:val="center"/>
          </w:tcPr>
          <w:p w14:paraId="777F9228">
            <w:pPr>
              <w:jc w:val="center"/>
              <w:rPr>
                <w:color w:val="auto"/>
                <w:highlight w:val="none"/>
              </w:rPr>
            </w:pPr>
          </w:p>
        </w:tc>
        <w:tc>
          <w:tcPr>
            <w:tcW w:w="1418" w:type="dxa"/>
            <w:vAlign w:val="center"/>
          </w:tcPr>
          <w:p w14:paraId="3D80EDC0">
            <w:pPr>
              <w:jc w:val="center"/>
              <w:rPr>
                <w:color w:val="auto"/>
                <w:highlight w:val="none"/>
              </w:rPr>
            </w:pPr>
          </w:p>
        </w:tc>
        <w:tc>
          <w:tcPr>
            <w:tcW w:w="1946" w:type="dxa"/>
            <w:vAlign w:val="center"/>
          </w:tcPr>
          <w:p w14:paraId="2AF144DB">
            <w:pPr>
              <w:jc w:val="center"/>
              <w:rPr>
                <w:color w:val="auto"/>
                <w:highlight w:val="none"/>
              </w:rPr>
            </w:pPr>
          </w:p>
        </w:tc>
        <w:tc>
          <w:tcPr>
            <w:tcW w:w="1172" w:type="dxa"/>
            <w:vAlign w:val="center"/>
          </w:tcPr>
          <w:p w14:paraId="624DF97F">
            <w:pPr>
              <w:jc w:val="center"/>
              <w:rPr>
                <w:color w:val="auto"/>
                <w:highlight w:val="none"/>
              </w:rPr>
            </w:pPr>
          </w:p>
        </w:tc>
      </w:tr>
      <w:tr w14:paraId="35654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Align w:val="center"/>
          </w:tcPr>
          <w:p w14:paraId="5020C625">
            <w:pPr>
              <w:jc w:val="center"/>
              <w:rPr>
                <w:color w:val="auto"/>
                <w:highlight w:val="none"/>
              </w:rPr>
            </w:pPr>
          </w:p>
        </w:tc>
        <w:tc>
          <w:tcPr>
            <w:tcW w:w="1042" w:type="dxa"/>
            <w:vAlign w:val="center"/>
          </w:tcPr>
          <w:p w14:paraId="4483D93E">
            <w:pPr>
              <w:jc w:val="center"/>
              <w:rPr>
                <w:color w:val="auto"/>
                <w:highlight w:val="none"/>
              </w:rPr>
            </w:pPr>
          </w:p>
        </w:tc>
        <w:tc>
          <w:tcPr>
            <w:tcW w:w="1134" w:type="dxa"/>
            <w:vAlign w:val="center"/>
          </w:tcPr>
          <w:p w14:paraId="690BA2AC">
            <w:pPr>
              <w:jc w:val="center"/>
              <w:rPr>
                <w:color w:val="auto"/>
                <w:highlight w:val="none"/>
              </w:rPr>
            </w:pPr>
          </w:p>
        </w:tc>
        <w:tc>
          <w:tcPr>
            <w:tcW w:w="1134" w:type="dxa"/>
            <w:vAlign w:val="center"/>
          </w:tcPr>
          <w:p w14:paraId="67B81A67">
            <w:pPr>
              <w:jc w:val="center"/>
              <w:rPr>
                <w:color w:val="auto"/>
                <w:highlight w:val="none"/>
              </w:rPr>
            </w:pPr>
          </w:p>
        </w:tc>
        <w:tc>
          <w:tcPr>
            <w:tcW w:w="1418" w:type="dxa"/>
            <w:vAlign w:val="center"/>
          </w:tcPr>
          <w:p w14:paraId="4964B641">
            <w:pPr>
              <w:jc w:val="center"/>
              <w:rPr>
                <w:color w:val="auto"/>
                <w:highlight w:val="none"/>
              </w:rPr>
            </w:pPr>
          </w:p>
        </w:tc>
        <w:tc>
          <w:tcPr>
            <w:tcW w:w="1946" w:type="dxa"/>
            <w:vAlign w:val="center"/>
          </w:tcPr>
          <w:p w14:paraId="409E8897">
            <w:pPr>
              <w:jc w:val="center"/>
              <w:rPr>
                <w:color w:val="auto"/>
                <w:highlight w:val="none"/>
              </w:rPr>
            </w:pPr>
          </w:p>
        </w:tc>
        <w:tc>
          <w:tcPr>
            <w:tcW w:w="1172" w:type="dxa"/>
            <w:vAlign w:val="center"/>
          </w:tcPr>
          <w:p w14:paraId="4EDBBD8F">
            <w:pPr>
              <w:jc w:val="center"/>
              <w:rPr>
                <w:color w:val="auto"/>
                <w:highlight w:val="none"/>
              </w:rPr>
            </w:pPr>
          </w:p>
        </w:tc>
      </w:tr>
      <w:tr w14:paraId="6C416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Align w:val="center"/>
          </w:tcPr>
          <w:p w14:paraId="664D8B5F">
            <w:pPr>
              <w:jc w:val="center"/>
              <w:rPr>
                <w:color w:val="auto"/>
                <w:highlight w:val="none"/>
              </w:rPr>
            </w:pPr>
          </w:p>
        </w:tc>
        <w:tc>
          <w:tcPr>
            <w:tcW w:w="1042" w:type="dxa"/>
            <w:vAlign w:val="center"/>
          </w:tcPr>
          <w:p w14:paraId="625A440B">
            <w:pPr>
              <w:jc w:val="center"/>
              <w:rPr>
                <w:color w:val="auto"/>
                <w:highlight w:val="none"/>
              </w:rPr>
            </w:pPr>
            <w:r>
              <w:rPr>
                <w:rFonts w:hint="eastAsia"/>
                <w:color w:val="auto"/>
                <w:highlight w:val="none"/>
              </w:rPr>
              <w:t>……</w:t>
            </w:r>
          </w:p>
        </w:tc>
        <w:tc>
          <w:tcPr>
            <w:tcW w:w="1134" w:type="dxa"/>
            <w:vAlign w:val="center"/>
          </w:tcPr>
          <w:p w14:paraId="42BE5B0E">
            <w:pPr>
              <w:jc w:val="center"/>
              <w:rPr>
                <w:color w:val="auto"/>
                <w:highlight w:val="none"/>
              </w:rPr>
            </w:pPr>
            <w:r>
              <w:rPr>
                <w:rFonts w:hint="eastAsia"/>
                <w:color w:val="auto"/>
                <w:highlight w:val="none"/>
              </w:rPr>
              <w:t>……</w:t>
            </w:r>
          </w:p>
        </w:tc>
        <w:tc>
          <w:tcPr>
            <w:tcW w:w="1134" w:type="dxa"/>
            <w:vAlign w:val="center"/>
          </w:tcPr>
          <w:p w14:paraId="6D972193">
            <w:pPr>
              <w:jc w:val="center"/>
              <w:rPr>
                <w:color w:val="auto"/>
                <w:highlight w:val="none"/>
              </w:rPr>
            </w:pPr>
          </w:p>
        </w:tc>
        <w:tc>
          <w:tcPr>
            <w:tcW w:w="1418" w:type="dxa"/>
            <w:vAlign w:val="center"/>
          </w:tcPr>
          <w:p w14:paraId="799AC108">
            <w:pPr>
              <w:jc w:val="center"/>
              <w:rPr>
                <w:color w:val="auto"/>
                <w:highlight w:val="none"/>
              </w:rPr>
            </w:pPr>
            <w:r>
              <w:rPr>
                <w:rFonts w:hint="eastAsia"/>
                <w:color w:val="auto"/>
                <w:highlight w:val="none"/>
              </w:rPr>
              <w:t>……</w:t>
            </w:r>
          </w:p>
        </w:tc>
        <w:tc>
          <w:tcPr>
            <w:tcW w:w="1946" w:type="dxa"/>
            <w:vAlign w:val="center"/>
          </w:tcPr>
          <w:p w14:paraId="6D989DBD">
            <w:pPr>
              <w:jc w:val="center"/>
              <w:rPr>
                <w:color w:val="auto"/>
                <w:highlight w:val="none"/>
              </w:rPr>
            </w:pPr>
            <w:r>
              <w:rPr>
                <w:rFonts w:hint="eastAsia"/>
                <w:color w:val="auto"/>
                <w:highlight w:val="none"/>
              </w:rPr>
              <w:t>……</w:t>
            </w:r>
          </w:p>
        </w:tc>
        <w:tc>
          <w:tcPr>
            <w:tcW w:w="1172" w:type="dxa"/>
            <w:vAlign w:val="center"/>
          </w:tcPr>
          <w:p w14:paraId="729279BB">
            <w:pPr>
              <w:jc w:val="center"/>
              <w:rPr>
                <w:color w:val="auto"/>
                <w:highlight w:val="none"/>
              </w:rPr>
            </w:pPr>
          </w:p>
        </w:tc>
      </w:tr>
      <w:tr w14:paraId="0DA44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54" w:type="dxa"/>
            <w:gridSpan w:val="5"/>
            <w:vAlign w:val="center"/>
          </w:tcPr>
          <w:p w14:paraId="26DAD426">
            <w:pPr>
              <w:jc w:val="center"/>
              <w:rPr>
                <w:color w:val="auto"/>
                <w:highlight w:val="none"/>
              </w:rPr>
            </w:pPr>
            <w:r>
              <w:rPr>
                <w:rFonts w:hint="eastAsia"/>
                <w:color w:val="auto"/>
                <w:highlight w:val="none"/>
              </w:rPr>
              <w:t>合计</w:t>
            </w:r>
          </w:p>
        </w:tc>
        <w:tc>
          <w:tcPr>
            <w:tcW w:w="1946" w:type="dxa"/>
            <w:vAlign w:val="center"/>
          </w:tcPr>
          <w:p w14:paraId="10B92693">
            <w:pPr>
              <w:jc w:val="center"/>
              <w:rPr>
                <w:color w:val="auto"/>
                <w:highlight w:val="none"/>
              </w:rPr>
            </w:pPr>
            <w:r>
              <w:rPr>
                <w:rFonts w:hint="eastAsia"/>
                <w:color w:val="auto"/>
                <w:highlight w:val="none"/>
              </w:rPr>
              <w:t>1.00</w:t>
            </w:r>
          </w:p>
        </w:tc>
        <w:tc>
          <w:tcPr>
            <w:tcW w:w="1172" w:type="dxa"/>
            <w:vAlign w:val="center"/>
          </w:tcPr>
          <w:p w14:paraId="49F317AB">
            <w:pPr>
              <w:jc w:val="center"/>
              <w:rPr>
                <w:color w:val="auto"/>
                <w:highlight w:val="none"/>
              </w:rPr>
            </w:pPr>
          </w:p>
        </w:tc>
      </w:tr>
    </w:tbl>
    <w:p w14:paraId="2E2E73F5">
      <w:pPr>
        <w:rPr>
          <w:color w:val="auto"/>
          <w:highlight w:val="none"/>
        </w:rPr>
      </w:pPr>
      <w:r>
        <w:rPr>
          <w:rFonts w:hint="eastAsia"/>
          <w:color w:val="auto"/>
          <w:highlight w:val="none"/>
        </w:rPr>
        <w:t>　　注　除另有约定外，可调因子、定值权重和变值权重的允许范围以及基本价格指数的基准日期由招标人在招标文件中确定，变值权重建议值由投标人填写。可调因子的价格指数或价格指数的计算参数的选择由招标人在招标文件中确定。</w:t>
      </w:r>
    </w:p>
    <w:p w14:paraId="27ACF98D">
      <w:pPr>
        <w:rPr>
          <w:color w:val="auto"/>
          <w:highlight w:val="none"/>
        </w:rPr>
      </w:pPr>
    </w:p>
    <w:p w14:paraId="503A0D39">
      <w:pPr>
        <w:rPr>
          <w:color w:val="auto"/>
          <w:highlight w:val="none"/>
        </w:rPr>
      </w:pPr>
    </w:p>
    <w:p w14:paraId="41E9C019">
      <w:pPr>
        <w:rPr>
          <w:rFonts w:hint="eastAsia" w:ascii="黑体" w:hAnsi="黑体" w:eastAsia="黑体"/>
          <w:b/>
          <w:color w:val="auto"/>
          <w:sz w:val="32"/>
          <w:szCs w:val="32"/>
          <w:highlight w:val="none"/>
        </w:rPr>
      </w:pPr>
      <w:bookmarkStart w:id="1130" w:name="第08章投标文件格式02法人"/>
      <w:bookmarkEnd w:id="1130"/>
      <w:r>
        <w:rPr>
          <w:rFonts w:hint="eastAsia" w:ascii="黑体" w:hAnsi="黑体" w:eastAsia="黑体"/>
          <w:b/>
          <w:color w:val="auto"/>
          <w:sz w:val="32"/>
          <w:szCs w:val="32"/>
          <w:highlight w:val="none"/>
        </w:rPr>
        <w:br w:type="page"/>
      </w:r>
    </w:p>
    <w:p w14:paraId="1E772519">
      <w:pPr>
        <w:jc w:val="center"/>
        <w:outlineLvl w:val="2"/>
        <w:rPr>
          <w:rFonts w:ascii="黑体" w:hAnsi="黑体" w:eastAsia="黑体"/>
          <w:b/>
          <w:color w:val="auto"/>
          <w:sz w:val="32"/>
          <w:szCs w:val="32"/>
          <w:highlight w:val="none"/>
        </w:rPr>
      </w:pPr>
      <w:bookmarkStart w:id="1131" w:name="_Toc30976"/>
      <w:r>
        <w:rPr>
          <w:rFonts w:hint="eastAsia" w:ascii="黑体" w:hAnsi="黑体" w:eastAsia="黑体"/>
          <w:b/>
          <w:color w:val="auto"/>
          <w:sz w:val="32"/>
          <w:szCs w:val="32"/>
          <w:highlight w:val="none"/>
        </w:rPr>
        <w:t>二、法定代表人身份证明</w:t>
      </w:r>
      <w:bookmarkEnd w:id="1131"/>
    </w:p>
    <w:p w14:paraId="463145E8">
      <w:pPr>
        <w:rPr>
          <w:color w:val="auto"/>
          <w:highlight w:val="none"/>
        </w:rPr>
      </w:pPr>
    </w:p>
    <w:p w14:paraId="16A208C7">
      <w:pPr>
        <w:rPr>
          <w:color w:val="auto"/>
          <w:highlight w:val="none"/>
        </w:rPr>
      </w:pPr>
      <w:r>
        <w:rPr>
          <w:rFonts w:hint="eastAsia"/>
          <w:color w:val="auto"/>
          <w:highlight w:val="none"/>
        </w:rPr>
        <w:t>投标人名称：　　　　　　　　　　　　</w:t>
      </w:r>
    </w:p>
    <w:p w14:paraId="3545B081">
      <w:pPr>
        <w:rPr>
          <w:color w:val="auto"/>
          <w:highlight w:val="none"/>
        </w:rPr>
      </w:pPr>
      <w:r>
        <w:rPr>
          <w:rFonts w:hint="eastAsia"/>
          <w:color w:val="auto"/>
          <w:highlight w:val="none"/>
        </w:rPr>
        <w:t>单位性质：　　　　　　　　　　　　　</w:t>
      </w:r>
    </w:p>
    <w:p w14:paraId="7D0AE042">
      <w:pPr>
        <w:rPr>
          <w:color w:val="auto"/>
          <w:highlight w:val="none"/>
        </w:rPr>
      </w:pPr>
      <w:r>
        <w:rPr>
          <w:rFonts w:hint="eastAsia"/>
          <w:color w:val="auto"/>
          <w:highlight w:val="none"/>
        </w:rPr>
        <w:t>地址：　　　　　　　　　　　　　　　</w:t>
      </w:r>
    </w:p>
    <w:p w14:paraId="10B734DE">
      <w:pPr>
        <w:rPr>
          <w:color w:val="auto"/>
          <w:highlight w:val="none"/>
        </w:rPr>
      </w:pPr>
      <w:r>
        <w:rPr>
          <w:rFonts w:hint="eastAsia"/>
          <w:color w:val="auto"/>
          <w:highlight w:val="none"/>
        </w:rPr>
        <w:t>成立时间：　　　　　　年　　月　　日</w:t>
      </w:r>
    </w:p>
    <w:p w14:paraId="57536053">
      <w:pPr>
        <w:rPr>
          <w:color w:val="auto"/>
          <w:highlight w:val="none"/>
        </w:rPr>
      </w:pPr>
      <w:r>
        <w:rPr>
          <w:rFonts w:hint="eastAsia"/>
          <w:color w:val="auto"/>
          <w:highlight w:val="none"/>
        </w:rPr>
        <w:t>经营期限：　　　　　　　　　　　　　</w:t>
      </w:r>
    </w:p>
    <w:p w14:paraId="33B5F543">
      <w:pPr>
        <w:rPr>
          <w:color w:val="auto"/>
          <w:highlight w:val="none"/>
        </w:rPr>
      </w:pPr>
      <w:r>
        <w:rPr>
          <w:rFonts w:hint="eastAsia"/>
          <w:color w:val="auto"/>
          <w:highlight w:val="none"/>
        </w:rPr>
        <w:t>姓名：　　　性别：　　年龄：　　身份证号码：　　　　　　　　　　　　　</w:t>
      </w:r>
    </w:p>
    <w:p w14:paraId="3BE18DDD">
      <w:pPr>
        <w:rPr>
          <w:color w:val="auto"/>
          <w:highlight w:val="none"/>
        </w:rPr>
      </w:pPr>
      <w:r>
        <w:rPr>
          <w:rFonts w:hint="eastAsia"/>
          <w:color w:val="auto"/>
          <w:highlight w:val="none"/>
        </w:rPr>
        <w:t>职务：　　　　　　　　　系　　　　　　　　　　　</w:t>
      </w:r>
      <w:r>
        <w:rPr>
          <w:rFonts w:hint="eastAsia"/>
          <w:color w:val="auto"/>
          <w:highlight w:val="none"/>
          <w:lang w:eastAsia="zh-CN"/>
        </w:rPr>
        <w:t>（</w:t>
      </w:r>
      <w:r>
        <w:rPr>
          <w:rFonts w:hint="eastAsia"/>
          <w:color w:val="auto"/>
          <w:highlight w:val="none"/>
        </w:rPr>
        <w:t>投标人名称</w:t>
      </w:r>
      <w:r>
        <w:rPr>
          <w:rFonts w:hint="eastAsia"/>
          <w:color w:val="auto"/>
          <w:highlight w:val="none"/>
          <w:lang w:eastAsia="zh-CN"/>
        </w:rPr>
        <w:t>）</w:t>
      </w:r>
      <w:r>
        <w:rPr>
          <w:rFonts w:hint="eastAsia"/>
          <w:color w:val="auto"/>
          <w:highlight w:val="none"/>
        </w:rPr>
        <w:t>的法定代表人。</w:t>
      </w:r>
    </w:p>
    <w:p w14:paraId="3486006C">
      <w:pPr>
        <w:rPr>
          <w:color w:val="auto"/>
          <w:highlight w:val="none"/>
        </w:rPr>
      </w:pPr>
      <w:r>
        <w:rPr>
          <w:rFonts w:hint="eastAsia"/>
          <w:color w:val="auto"/>
          <w:highlight w:val="none"/>
        </w:rPr>
        <w:t>　　特此证明。</w:t>
      </w:r>
    </w:p>
    <w:p w14:paraId="50A452E8">
      <w:pPr>
        <w:rPr>
          <w:rFonts w:hint="eastAsia" w:eastAsia="宋体"/>
          <w:color w:val="auto"/>
          <w:highlight w:val="none"/>
          <w:lang w:eastAsia="zh-CN"/>
        </w:rPr>
      </w:pPr>
      <w:r>
        <w:rPr>
          <w:rFonts w:hint="eastAsia"/>
          <w:color w:val="auto"/>
          <w:highlight w:val="none"/>
        </w:rPr>
        <w:t>　　　　　　　　　　　　　　　　　　　　　　　　　投标人：　　　　</w:t>
      </w:r>
      <w:r>
        <w:rPr>
          <w:rFonts w:hint="eastAsia"/>
          <w:color w:val="auto"/>
          <w:highlight w:val="none"/>
          <w:lang w:eastAsia="zh-CN"/>
        </w:rPr>
        <w:t>（</w:t>
      </w:r>
      <w:r>
        <w:rPr>
          <w:rFonts w:hint="eastAsia"/>
          <w:color w:val="auto"/>
          <w:highlight w:val="none"/>
        </w:rPr>
        <w:t>盖单位电子章</w:t>
      </w:r>
      <w:r>
        <w:rPr>
          <w:rFonts w:hint="eastAsia"/>
          <w:color w:val="auto"/>
          <w:highlight w:val="none"/>
          <w:lang w:eastAsia="zh-CN"/>
        </w:rPr>
        <w:t>）</w:t>
      </w:r>
    </w:p>
    <w:p w14:paraId="6F4EAF2E">
      <w:pPr>
        <w:rPr>
          <w:color w:val="auto"/>
          <w:highlight w:val="none"/>
        </w:rPr>
      </w:pPr>
      <w:r>
        <w:rPr>
          <w:rFonts w:hint="eastAsia"/>
          <w:color w:val="auto"/>
          <w:highlight w:val="none"/>
        </w:rPr>
        <w:t>　　　　　　　　　　　　　　　　　　　　　　　　　　　　　　　　年　　月　　日</w:t>
      </w:r>
    </w:p>
    <w:p w14:paraId="3EB8156B">
      <w:pPr>
        <w:rPr>
          <w:color w:val="auto"/>
          <w:highlight w:val="none"/>
        </w:rPr>
      </w:pPr>
    </w:p>
    <w:p w14:paraId="6E7865A1">
      <w:pPr>
        <w:rPr>
          <w:color w:val="auto"/>
          <w:highlight w:val="none"/>
        </w:rPr>
      </w:pPr>
    </w:p>
    <w:p w14:paraId="356CF47B">
      <w:pPr>
        <w:rPr>
          <w:rFonts w:hint="eastAsia" w:ascii="黑体" w:hAnsi="黑体" w:eastAsia="黑体"/>
          <w:b/>
          <w:color w:val="auto"/>
          <w:sz w:val="32"/>
          <w:szCs w:val="32"/>
          <w:highlight w:val="none"/>
        </w:rPr>
      </w:pPr>
      <w:bookmarkStart w:id="1132" w:name="第08章投标文件格式02授权"/>
      <w:bookmarkEnd w:id="1132"/>
      <w:r>
        <w:rPr>
          <w:rFonts w:hint="eastAsia" w:ascii="黑体" w:hAnsi="黑体" w:eastAsia="黑体"/>
          <w:b/>
          <w:color w:val="auto"/>
          <w:sz w:val="32"/>
          <w:szCs w:val="32"/>
          <w:highlight w:val="none"/>
        </w:rPr>
        <w:br w:type="page"/>
      </w:r>
    </w:p>
    <w:p w14:paraId="3BB1A7DC">
      <w:pPr>
        <w:jc w:val="center"/>
        <w:outlineLvl w:val="2"/>
        <w:rPr>
          <w:rFonts w:ascii="黑体" w:hAnsi="黑体" w:eastAsia="黑体"/>
          <w:b/>
          <w:color w:val="auto"/>
          <w:sz w:val="32"/>
          <w:szCs w:val="32"/>
          <w:highlight w:val="none"/>
        </w:rPr>
      </w:pPr>
      <w:bookmarkStart w:id="1133" w:name="_Toc6130"/>
      <w:r>
        <w:rPr>
          <w:rFonts w:hint="eastAsia" w:ascii="黑体" w:hAnsi="黑体" w:eastAsia="黑体"/>
          <w:b/>
          <w:color w:val="auto"/>
          <w:sz w:val="32"/>
          <w:szCs w:val="32"/>
          <w:highlight w:val="none"/>
          <w:lang w:val="en-US" w:eastAsia="zh-CN"/>
        </w:rPr>
        <w:t>三</w:t>
      </w:r>
      <w:r>
        <w:rPr>
          <w:rFonts w:hint="eastAsia" w:ascii="黑体" w:hAnsi="黑体" w:eastAsia="黑体"/>
          <w:b/>
          <w:color w:val="auto"/>
          <w:sz w:val="32"/>
          <w:szCs w:val="32"/>
          <w:highlight w:val="none"/>
        </w:rPr>
        <w:t>、授权委托书</w:t>
      </w:r>
      <w:bookmarkEnd w:id="1133"/>
    </w:p>
    <w:p w14:paraId="310DE54A">
      <w:pPr>
        <w:rPr>
          <w:color w:val="auto"/>
          <w:highlight w:val="none"/>
        </w:rPr>
      </w:pPr>
    </w:p>
    <w:p w14:paraId="274F7CB2">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本人</w:t>
      </w:r>
      <w:r>
        <w:rPr>
          <w:rFonts w:hint="eastAsia"/>
          <w:color w:val="auto"/>
          <w:highlight w:val="none"/>
          <w:u w:val="single"/>
        </w:rPr>
        <w:t>　　　　</w:t>
      </w:r>
      <w:r>
        <w:rPr>
          <w:rFonts w:hint="eastAsia"/>
          <w:color w:val="auto"/>
          <w:highlight w:val="none"/>
          <w:lang w:eastAsia="zh-CN"/>
        </w:rPr>
        <w:t>（</w:t>
      </w:r>
      <w:r>
        <w:rPr>
          <w:rFonts w:hint="eastAsia"/>
          <w:color w:val="auto"/>
          <w:highlight w:val="none"/>
        </w:rPr>
        <w:t>姓名</w:t>
      </w:r>
      <w:r>
        <w:rPr>
          <w:rFonts w:hint="eastAsia"/>
          <w:color w:val="auto"/>
          <w:highlight w:val="none"/>
          <w:lang w:eastAsia="zh-CN"/>
        </w:rPr>
        <w:t>）</w:t>
      </w:r>
      <w:r>
        <w:rPr>
          <w:rFonts w:hint="eastAsia"/>
          <w:color w:val="auto"/>
          <w:highlight w:val="none"/>
        </w:rPr>
        <w:t>系　　　　</w:t>
      </w:r>
      <w:r>
        <w:rPr>
          <w:rFonts w:hint="eastAsia"/>
          <w:color w:val="auto"/>
          <w:highlight w:val="none"/>
          <w:lang w:eastAsia="zh-CN"/>
        </w:rPr>
        <w:t>（</w:t>
      </w:r>
      <w:r>
        <w:rPr>
          <w:rFonts w:hint="eastAsia"/>
          <w:color w:val="auto"/>
          <w:highlight w:val="none"/>
        </w:rPr>
        <w:t>投标人名称</w:t>
      </w:r>
      <w:r>
        <w:rPr>
          <w:rFonts w:hint="eastAsia"/>
          <w:color w:val="auto"/>
          <w:highlight w:val="none"/>
          <w:lang w:eastAsia="zh-CN"/>
        </w:rPr>
        <w:t>）</w:t>
      </w:r>
      <w:r>
        <w:rPr>
          <w:rFonts w:hint="eastAsia"/>
          <w:color w:val="auto"/>
          <w:highlight w:val="none"/>
        </w:rPr>
        <w:t>的法定代表人，现委托</w:t>
      </w:r>
      <w:r>
        <w:rPr>
          <w:rFonts w:hint="eastAsia"/>
          <w:color w:val="auto"/>
          <w:highlight w:val="none"/>
          <w:lang w:eastAsia="zh-CN"/>
        </w:rPr>
        <w:t>（</w:t>
      </w:r>
      <w:r>
        <w:rPr>
          <w:rFonts w:hint="eastAsia"/>
          <w:color w:val="auto"/>
          <w:highlight w:val="none"/>
        </w:rPr>
        <w:t>姓名</w:t>
      </w:r>
      <w:r>
        <w:rPr>
          <w:rFonts w:hint="eastAsia"/>
          <w:color w:val="auto"/>
          <w:highlight w:val="none"/>
          <w:lang w:eastAsia="zh-CN"/>
        </w:rPr>
        <w:t>）</w:t>
      </w:r>
      <w:r>
        <w:rPr>
          <w:rFonts w:hint="eastAsia"/>
          <w:color w:val="auto"/>
          <w:highlight w:val="none"/>
        </w:rPr>
        <w:t>　　　　为我方代理人。代理人根据授权，以我方名义签署、澄清、说明、补正、递交、撤回、修改　　　　　</w:t>
      </w:r>
      <w:r>
        <w:rPr>
          <w:rFonts w:hint="eastAsia"/>
          <w:color w:val="auto"/>
          <w:highlight w:val="none"/>
          <w:lang w:eastAsia="zh-CN"/>
        </w:rPr>
        <w:t>（</w:t>
      </w:r>
      <w:r>
        <w:rPr>
          <w:rFonts w:hint="eastAsia"/>
          <w:color w:val="auto"/>
          <w:highlight w:val="none"/>
        </w:rPr>
        <w:t>项目名称</w:t>
      </w:r>
      <w:r>
        <w:rPr>
          <w:rFonts w:hint="eastAsia"/>
          <w:color w:val="auto"/>
          <w:highlight w:val="none"/>
          <w:lang w:eastAsia="zh-CN"/>
        </w:rPr>
        <w:t>）</w:t>
      </w:r>
      <w:r>
        <w:rPr>
          <w:rFonts w:hint="eastAsia"/>
          <w:color w:val="auto"/>
          <w:highlight w:val="none"/>
        </w:rPr>
        <w:t>　　　　</w:t>
      </w:r>
      <w:r>
        <w:rPr>
          <w:rFonts w:hint="eastAsia"/>
          <w:color w:val="auto"/>
          <w:highlight w:val="none"/>
          <w:lang w:eastAsia="zh-CN"/>
        </w:rPr>
        <w:t>（</w:t>
      </w:r>
      <w:r>
        <w:rPr>
          <w:rFonts w:hint="eastAsia"/>
          <w:color w:val="auto"/>
          <w:highlight w:val="none"/>
        </w:rPr>
        <w:t>标段名称</w:t>
      </w:r>
      <w:r>
        <w:rPr>
          <w:rFonts w:hint="eastAsia"/>
          <w:color w:val="auto"/>
          <w:highlight w:val="none"/>
          <w:lang w:eastAsia="zh-CN"/>
        </w:rPr>
        <w:t>）</w:t>
      </w:r>
      <w:r>
        <w:rPr>
          <w:rFonts w:hint="eastAsia"/>
          <w:color w:val="auto"/>
          <w:highlight w:val="none"/>
        </w:rPr>
        <w:t>投标文件、签订合同和处理有关事宜，其法律后果由我方承担。</w:t>
      </w:r>
    </w:p>
    <w:p w14:paraId="0730E444">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委托期限：　　　　　　。</w:t>
      </w:r>
    </w:p>
    <w:p w14:paraId="1D0BCB22">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代理人无转委托权。</w:t>
      </w:r>
    </w:p>
    <w:p w14:paraId="7AA08606">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附：法定代表人身份证明</w:t>
      </w:r>
    </w:p>
    <w:p w14:paraId="377E0E51">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p>
    <w:p w14:paraId="568E94A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color w:val="auto"/>
          <w:highlight w:val="none"/>
          <w:lang w:eastAsia="zh-CN"/>
        </w:rPr>
      </w:pPr>
      <w:r>
        <w:rPr>
          <w:rFonts w:hint="eastAsia"/>
          <w:color w:val="auto"/>
          <w:highlight w:val="none"/>
        </w:rPr>
        <w:t>　　　　　　　　　　　　　　　　　　　　投标人：　　　　　　　　</w:t>
      </w:r>
      <w:r>
        <w:rPr>
          <w:rFonts w:hint="eastAsia"/>
          <w:color w:val="auto"/>
          <w:highlight w:val="none"/>
          <w:lang w:val="en-US" w:eastAsia="zh-CN"/>
        </w:rPr>
        <w:t xml:space="preserve"> </w:t>
      </w:r>
      <w:r>
        <w:rPr>
          <w:rFonts w:hint="eastAsia"/>
          <w:color w:val="auto"/>
          <w:highlight w:val="none"/>
          <w:lang w:eastAsia="zh-CN"/>
        </w:rPr>
        <w:t>（</w:t>
      </w:r>
      <w:r>
        <w:rPr>
          <w:rFonts w:hint="eastAsia"/>
          <w:color w:val="auto"/>
          <w:highlight w:val="none"/>
        </w:rPr>
        <w:t>盖单位电子章</w:t>
      </w:r>
      <w:r>
        <w:rPr>
          <w:rFonts w:hint="eastAsia"/>
          <w:color w:val="auto"/>
          <w:highlight w:val="none"/>
          <w:lang w:eastAsia="zh-CN"/>
        </w:rPr>
        <w:t>）</w:t>
      </w:r>
    </w:p>
    <w:p w14:paraId="2874430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color w:val="auto"/>
          <w:highlight w:val="none"/>
          <w:lang w:eastAsia="zh-CN"/>
        </w:rPr>
      </w:pPr>
      <w:r>
        <w:rPr>
          <w:rFonts w:hint="eastAsia"/>
          <w:color w:val="auto"/>
          <w:highlight w:val="none"/>
        </w:rPr>
        <w:t>　　　　　　　　　　　　　　　　　　　　法定代表人：　　　　　　　</w:t>
      </w:r>
      <w:r>
        <w:rPr>
          <w:rFonts w:hint="eastAsia"/>
          <w:color w:val="auto"/>
          <w:highlight w:val="none"/>
          <w:lang w:eastAsia="zh-CN"/>
        </w:rPr>
        <w:t>（</w:t>
      </w:r>
      <w:r>
        <w:rPr>
          <w:rFonts w:hint="eastAsia"/>
          <w:color w:val="auto"/>
          <w:highlight w:val="none"/>
        </w:rPr>
        <w:t>电子签字或盖章签字</w:t>
      </w:r>
      <w:r>
        <w:rPr>
          <w:rFonts w:hint="eastAsia"/>
          <w:color w:val="auto"/>
          <w:highlight w:val="none"/>
          <w:lang w:eastAsia="zh-CN"/>
        </w:rPr>
        <w:t>）</w:t>
      </w:r>
    </w:p>
    <w:p w14:paraId="2C33A7A5">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身份证号码：　　　　　　　　</w:t>
      </w:r>
    </w:p>
    <w:p w14:paraId="5384BED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color w:val="auto"/>
          <w:highlight w:val="none"/>
          <w:lang w:eastAsia="zh-CN"/>
        </w:rPr>
      </w:pPr>
      <w:r>
        <w:rPr>
          <w:rFonts w:hint="eastAsia"/>
          <w:color w:val="auto"/>
          <w:highlight w:val="none"/>
        </w:rPr>
        <w:t>　　　　　　　　　　　　　　　　　　　　委托代理人：　　　　　　</w:t>
      </w:r>
      <w:r>
        <w:rPr>
          <w:rFonts w:hint="eastAsia"/>
          <w:color w:val="auto"/>
          <w:highlight w:val="none"/>
          <w:lang w:val="en-US" w:eastAsia="zh-CN"/>
        </w:rPr>
        <w:t xml:space="preserve"> </w:t>
      </w:r>
      <w:r>
        <w:rPr>
          <w:rFonts w:hint="eastAsia"/>
          <w:color w:val="auto"/>
          <w:highlight w:val="none"/>
          <w:lang w:eastAsia="zh-CN"/>
        </w:rPr>
        <w:t>（</w:t>
      </w:r>
      <w:r>
        <w:rPr>
          <w:rFonts w:hint="eastAsia"/>
          <w:color w:val="auto"/>
          <w:highlight w:val="none"/>
        </w:rPr>
        <w:t>电子签字或盖章签字</w:t>
      </w:r>
      <w:r>
        <w:rPr>
          <w:rFonts w:hint="eastAsia"/>
          <w:color w:val="auto"/>
          <w:highlight w:val="none"/>
          <w:lang w:eastAsia="zh-CN"/>
        </w:rPr>
        <w:t>）</w:t>
      </w:r>
    </w:p>
    <w:p w14:paraId="132C03C1">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身份证号码：　　　　　　　　　　　　　　</w:t>
      </w:r>
    </w:p>
    <w:p w14:paraId="04F0EC59">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年　　月　　日</w:t>
      </w:r>
    </w:p>
    <w:p w14:paraId="74105566">
      <w:pPr>
        <w:rPr>
          <w:color w:val="auto"/>
          <w:highlight w:val="none"/>
        </w:rPr>
      </w:pPr>
    </w:p>
    <w:p w14:paraId="1C8A29FD">
      <w:pPr>
        <w:rPr>
          <w:color w:val="auto"/>
          <w:highlight w:val="none"/>
        </w:rPr>
      </w:pPr>
    </w:p>
    <w:p w14:paraId="703330DC">
      <w:pPr>
        <w:rPr>
          <w:rFonts w:hint="eastAsia" w:ascii="黑体" w:hAnsi="黑体" w:eastAsia="黑体"/>
          <w:b/>
          <w:color w:val="auto"/>
          <w:sz w:val="32"/>
          <w:szCs w:val="32"/>
          <w:highlight w:val="none"/>
        </w:rPr>
      </w:pPr>
      <w:bookmarkStart w:id="1134" w:name="第08章投标文件格式03"/>
      <w:bookmarkEnd w:id="1134"/>
      <w:r>
        <w:rPr>
          <w:rFonts w:hint="eastAsia" w:ascii="黑体" w:hAnsi="黑体" w:eastAsia="黑体"/>
          <w:b/>
          <w:color w:val="auto"/>
          <w:sz w:val="32"/>
          <w:szCs w:val="32"/>
          <w:highlight w:val="none"/>
        </w:rPr>
        <w:br w:type="page"/>
      </w:r>
    </w:p>
    <w:p w14:paraId="47CDE8EF">
      <w:pPr>
        <w:jc w:val="center"/>
        <w:outlineLvl w:val="2"/>
        <w:rPr>
          <w:rFonts w:ascii="黑体" w:hAnsi="黑体" w:eastAsia="黑体"/>
          <w:b/>
          <w:color w:val="auto"/>
          <w:sz w:val="32"/>
          <w:szCs w:val="32"/>
          <w:highlight w:val="none"/>
        </w:rPr>
      </w:pPr>
      <w:bookmarkStart w:id="1135" w:name="_Toc25033"/>
      <w:r>
        <w:rPr>
          <w:rFonts w:hint="eastAsia" w:ascii="黑体" w:hAnsi="黑体" w:eastAsia="黑体"/>
          <w:b/>
          <w:color w:val="auto"/>
          <w:sz w:val="32"/>
          <w:szCs w:val="32"/>
          <w:highlight w:val="none"/>
          <w:lang w:val="en-US" w:eastAsia="zh-CN"/>
        </w:rPr>
        <w:t>四</w:t>
      </w:r>
      <w:r>
        <w:rPr>
          <w:rFonts w:hint="eastAsia" w:ascii="黑体" w:hAnsi="黑体" w:eastAsia="黑体"/>
          <w:b/>
          <w:color w:val="auto"/>
          <w:sz w:val="32"/>
          <w:szCs w:val="32"/>
          <w:highlight w:val="none"/>
        </w:rPr>
        <w:t>、联合体协议书</w:t>
      </w:r>
      <w:bookmarkEnd w:id="1135"/>
    </w:p>
    <w:p w14:paraId="393F4235">
      <w:pPr>
        <w:rPr>
          <w:color w:val="auto"/>
          <w:highlight w:val="none"/>
        </w:rPr>
      </w:pPr>
    </w:p>
    <w:p w14:paraId="1FF382D1">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w:t>
      </w:r>
      <w:r>
        <w:rPr>
          <w:rFonts w:hint="eastAsia"/>
          <w:color w:val="auto"/>
          <w:highlight w:val="none"/>
          <w:u w:val="single"/>
        </w:rPr>
        <w:t>　　　　　　　　　　</w:t>
      </w:r>
      <w:r>
        <w:rPr>
          <w:rFonts w:hint="eastAsia"/>
          <w:color w:val="auto"/>
          <w:highlight w:val="none"/>
          <w:lang w:eastAsia="zh-CN"/>
        </w:rPr>
        <w:t>（</w:t>
      </w:r>
      <w:r>
        <w:rPr>
          <w:rFonts w:hint="eastAsia"/>
          <w:color w:val="auto"/>
          <w:highlight w:val="none"/>
        </w:rPr>
        <w:t>所有成员单位名称</w:t>
      </w:r>
      <w:r>
        <w:rPr>
          <w:rFonts w:hint="eastAsia"/>
          <w:color w:val="auto"/>
          <w:highlight w:val="none"/>
          <w:lang w:eastAsia="zh-CN"/>
        </w:rPr>
        <w:t>）</w:t>
      </w:r>
      <w:r>
        <w:rPr>
          <w:rFonts w:hint="eastAsia"/>
          <w:color w:val="auto"/>
          <w:highlight w:val="none"/>
        </w:rPr>
        <w:t>自愿组成　　　　　　　　　</w:t>
      </w:r>
      <w:r>
        <w:rPr>
          <w:rFonts w:hint="eastAsia"/>
          <w:color w:val="auto"/>
          <w:highlight w:val="none"/>
          <w:lang w:eastAsia="zh-CN"/>
        </w:rPr>
        <w:t>（</w:t>
      </w:r>
      <w:r>
        <w:rPr>
          <w:rFonts w:hint="eastAsia"/>
          <w:color w:val="auto"/>
          <w:highlight w:val="none"/>
        </w:rPr>
        <w:t>联合体名称</w:t>
      </w:r>
      <w:r>
        <w:rPr>
          <w:rFonts w:hint="eastAsia"/>
          <w:color w:val="auto"/>
          <w:highlight w:val="none"/>
          <w:lang w:eastAsia="zh-CN"/>
        </w:rPr>
        <w:t>）</w:t>
      </w:r>
      <w:r>
        <w:rPr>
          <w:rFonts w:hint="eastAsia"/>
          <w:color w:val="auto"/>
          <w:highlight w:val="none"/>
        </w:rPr>
        <w:t>，共同参加　　　　　　</w:t>
      </w:r>
      <w:r>
        <w:rPr>
          <w:rFonts w:hint="eastAsia"/>
          <w:color w:val="auto"/>
          <w:highlight w:val="none"/>
          <w:lang w:eastAsia="zh-CN"/>
        </w:rPr>
        <w:t>（</w:t>
      </w:r>
      <w:r>
        <w:rPr>
          <w:rFonts w:hint="eastAsia"/>
          <w:color w:val="auto"/>
          <w:highlight w:val="none"/>
        </w:rPr>
        <w:t>项目名称</w:t>
      </w:r>
      <w:r>
        <w:rPr>
          <w:rFonts w:hint="eastAsia"/>
          <w:color w:val="auto"/>
          <w:highlight w:val="none"/>
          <w:lang w:eastAsia="zh-CN"/>
        </w:rPr>
        <w:t>）</w:t>
      </w:r>
      <w:r>
        <w:rPr>
          <w:rFonts w:hint="eastAsia"/>
          <w:color w:val="auto"/>
          <w:highlight w:val="none"/>
        </w:rPr>
        <w:t>　　　　　</w:t>
      </w:r>
      <w:r>
        <w:rPr>
          <w:rFonts w:hint="eastAsia"/>
          <w:color w:val="auto"/>
          <w:highlight w:val="none"/>
          <w:lang w:eastAsia="zh-CN"/>
        </w:rPr>
        <w:t>（</w:t>
      </w:r>
      <w:r>
        <w:rPr>
          <w:rFonts w:hint="eastAsia"/>
          <w:color w:val="auto"/>
          <w:highlight w:val="none"/>
        </w:rPr>
        <w:t>标段名称</w:t>
      </w:r>
      <w:r>
        <w:rPr>
          <w:rFonts w:hint="eastAsia"/>
          <w:color w:val="auto"/>
          <w:highlight w:val="none"/>
          <w:lang w:eastAsia="zh-CN"/>
        </w:rPr>
        <w:t>）</w:t>
      </w:r>
      <w:r>
        <w:rPr>
          <w:rFonts w:hint="eastAsia"/>
          <w:color w:val="auto"/>
          <w:highlight w:val="none"/>
        </w:rPr>
        <w:t>投标。现就联合体投标事宜订立如下协议。</w:t>
      </w:r>
    </w:p>
    <w:p w14:paraId="2EE7F2C7">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1.　　　　　　　</w:t>
      </w:r>
      <w:r>
        <w:rPr>
          <w:rFonts w:hint="eastAsia"/>
          <w:color w:val="auto"/>
          <w:highlight w:val="none"/>
          <w:lang w:eastAsia="zh-CN"/>
        </w:rPr>
        <w:t>（</w:t>
      </w:r>
      <w:r>
        <w:rPr>
          <w:rFonts w:hint="eastAsia"/>
          <w:color w:val="auto"/>
          <w:highlight w:val="none"/>
        </w:rPr>
        <w:t>某成员单位名称</w:t>
      </w:r>
      <w:r>
        <w:rPr>
          <w:rFonts w:hint="eastAsia"/>
          <w:color w:val="auto"/>
          <w:highlight w:val="none"/>
          <w:lang w:eastAsia="zh-CN"/>
        </w:rPr>
        <w:t>）</w:t>
      </w:r>
      <w:r>
        <w:rPr>
          <w:rFonts w:hint="eastAsia"/>
          <w:color w:val="auto"/>
          <w:highlight w:val="none"/>
        </w:rPr>
        <w:t>为　　　　　　</w:t>
      </w:r>
      <w:r>
        <w:rPr>
          <w:rFonts w:hint="eastAsia"/>
          <w:color w:val="auto"/>
          <w:highlight w:val="none"/>
          <w:lang w:eastAsia="zh-CN"/>
        </w:rPr>
        <w:t>（</w:t>
      </w:r>
      <w:r>
        <w:rPr>
          <w:rFonts w:hint="eastAsia"/>
          <w:color w:val="auto"/>
          <w:highlight w:val="none"/>
        </w:rPr>
        <w:t>联合体名称</w:t>
      </w:r>
      <w:r>
        <w:rPr>
          <w:rFonts w:hint="eastAsia"/>
          <w:color w:val="auto"/>
          <w:highlight w:val="none"/>
          <w:lang w:eastAsia="zh-CN"/>
        </w:rPr>
        <w:t>）</w:t>
      </w:r>
      <w:r>
        <w:rPr>
          <w:rFonts w:hint="eastAsia"/>
          <w:color w:val="auto"/>
          <w:highlight w:val="none"/>
        </w:rPr>
        <w:t>牵头人。</w:t>
      </w:r>
    </w:p>
    <w:p w14:paraId="12E4E5DC">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2.联合体牵头人合法代表联合体各成员负责本标段施工招标投标文件递交和合同谈判活动，并代表联合体提交和接受相关的资料、信息及指示，处理与之有关的一切事务，并负责合同实施阶段的主办、组织和协调工作。</w:t>
      </w:r>
    </w:p>
    <w:p w14:paraId="20A33449">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3.联合体将严格按照招标文件的各项要求，编制投标文件，履行合同，并对外承担连带责任。</w:t>
      </w:r>
    </w:p>
    <w:p w14:paraId="3C245D01">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4.联合体内部各成员单位的职责分工如下：　　　　　　。</w:t>
      </w:r>
    </w:p>
    <w:p w14:paraId="24C436BA">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5.本协议书自签署之日起生效，合同履行完毕后自动失效。</w:t>
      </w:r>
    </w:p>
    <w:p w14:paraId="6BCE574A">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6.本协议书一式</w:t>
      </w:r>
      <w:r>
        <w:rPr>
          <w:rFonts w:hint="eastAsia"/>
          <w:color w:val="auto"/>
          <w:highlight w:val="none"/>
          <w:u w:val="single"/>
        </w:rPr>
        <w:t>　　　　</w:t>
      </w:r>
      <w:r>
        <w:rPr>
          <w:rFonts w:hint="eastAsia"/>
          <w:color w:val="auto"/>
          <w:highlight w:val="none"/>
        </w:rPr>
        <w:t>份，联合体成员和招标人各执一份。</w:t>
      </w:r>
    </w:p>
    <w:p w14:paraId="0CC7DF21">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p>
    <w:p w14:paraId="1F1A82BF">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p>
    <w:p w14:paraId="295BFC4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color w:val="auto"/>
          <w:highlight w:val="none"/>
          <w:lang w:eastAsia="zh-CN"/>
        </w:rPr>
      </w:pPr>
      <w:r>
        <w:rPr>
          <w:rFonts w:hint="eastAsia"/>
          <w:color w:val="auto"/>
          <w:highlight w:val="none"/>
        </w:rPr>
        <w:t>　　　　　　　　　　　　　　　　　　</w:t>
      </w:r>
      <w:r>
        <w:rPr>
          <w:rFonts w:hint="eastAsia"/>
          <w:color w:val="auto"/>
          <w:highlight w:val="none"/>
          <w:lang w:val="en-US" w:eastAsia="zh-CN"/>
        </w:rPr>
        <w:t xml:space="preserve"> </w:t>
      </w:r>
      <w:r>
        <w:rPr>
          <w:rFonts w:hint="eastAsia"/>
          <w:color w:val="auto"/>
          <w:highlight w:val="none"/>
        </w:rPr>
        <w:t>牵头人名称：　　　　　　　　　</w:t>
      </w:r>
      <w:r>
        <w:rPr>
          <w:rFonts w:hint="eastAsia"/>
          <w:color w:val="auto"/>
          <w:highlight w:val="none"/>
          <w:lang w:eastAsia="zh-CN"/>
        </w:rPr>
        <w:t>（</w:t>
      </w:r>
      <w:r>
        <w:rPr>
          <w:rFonts w:hint="eastAsia"/>
          <w:color w:val="auto"/>
          <w:highlight w:val="none"/>
        </w:rPr>
        <w:t>盖单位电子章</w:t>
      </w:r>
      <w:r>
        <w:rPr>
          <w:rFonts w:hint="eastAsia"/>
          <w:color w:val="auto"/>
          <w:highlight w:val="none"/>
          <w:lang w:eastAsia="zh-CN"/>
        </w:rPr>
        <w:t>）</w:t>
      </w:r>
    </w:p>
    <w:p w14:paraId="775F3E1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color w:val="auto"/>
          <w:highlight w:val="none"/>
          <w:lang w:eastAsia="zh-CN"/>
        </w:rPr>
      </w:pPr>
      <w:r>
        <w:rPr>
          <w:rFonts w:hint="eastAsia"/>
          <w:color w:val="auto"/>
          <w:highlight w:val="none"/>
        </w:rPr>
        <w:t>　　　　　　　　　　　　　　　　　　法定代表人或其委托代理人：　　</w:t>
      </w:r>
      <w:r>
        <w:rPr>
          <w:rFonts w:hint="eastAsia"/>
          <w:color w:val="auto"/>
          <w:highlight w:val="none"/>
          <w:lang w:eastAsia="zh-CN"/>
        </w:rPr>
        <w:t>（</w:t>
      </w:r>
      <w:r>
        <w:rPr>
          <w:rFonts w:hint="eastAsia"/>
          <w:color w:val="auto"/>
          <w:highlight w:val="none"/>
        </w:rPr>
        <w:t>电子签字或盖章</w:t>
      </w:r>
      <w:r>
        <w:rPr>
          <w:rFonts w:hint="eastAsia"/>
          <w:color w:val="auto"/>
          <w:highlight w:val="none"/>
          <w:lang w:eastAsia="zh-CN"/>
        </w:rPr>
        <w:t>）</w:t>
      </w:r>
    </w:p>
    <w:p w14:paraId="01591F8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color w:val="auto"/>
          <w:highlight w:val="none"/>
          <w:lang w:eastAsia="zh-CN"/>
        </w:rPr>
      </w:pPr>
      <w:r>
        <w:rPr>
          <w:rFonts w:hint="eastAsia"/>
          <w:color w:val="auto"/>
          <w:highlight w:val="none"/>
        </w:rPr>
        <w:t>　　　　　　　　　　　　　　　　　　成员单位一名称：　　　　　　　　</w:t>
      </w:r>
      <w:r>
        <w:rPr>
          <w:rFonts w:hint="eastAsia"/>
          <w:color w:val="auto"/>
          <w:highlight w:val="none"/>
          <w:lang w:eastAsia="zh-CN"/>
        </w:rPr>
        <w:t>（</w:t>
      </w:r>
      <w:r>
        <w:rPr>
          <w:rFonts w:hint="eastAsia"/>
          <w:color w:val="auto"/>
          <w:highlight w:val="none"/>
        </w:rPr>
        <w:t>盖单位电子章</w:t>
      </w:r>
      <w:r>
        <w:rPr>
          <w:rFonts w:hint="eastAsia"/>
          <w:color w:val="auto"/>
          <w:highlight w:val="none"/>
          <w:lang w:eastAsia="zh-CN"/>
        </w:rPr>
        <w:t>）</w:t>
      </w:r>
    </w:p>
    <w:p w14:paraId="54E65C20">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eastAsia="宋体"/>
          <w:color w:val="auto"/>
          <w:highlight w:val="none"/>
          <w:lang w:eastAsia="zh-CN"/>
        </w:rPr>
      </w:pPr>
      <w:r>
        <w:rPr>
          <w:rFonts w:hint="eastAsia"/>
          <w:color w:val="auto"/>
          <w:highlight w:val="none"/>
        </w:rPr>
        <w:t>　　　　　　　　　　　　　　　　　　法定代表人或其委托代理人：　　　</w:t>
      </w:r>
      <w:r>
        <w:rPr>
          <w:rFonts w:hint="eastAsia"/>
          <w:color w:val="auto"/>
          <w:highlight w:val="none"/>
          <w:lang w:eastAsia="zh-CN"/>
        </w:rPr>
        <w:t>（</w:t>
      </w:r>
      <w:r>
        <w:rPr>
          <w:rFonts w:hint="eastAsia"/>
          <w:color w:val="auto"/>
          <w:highlight w:val="none"/>
        </w:rPr>
        <w:t>电子签字或盖章</w:t>
      </w:r>
      <w:r>
        <w:rPr>
          <w:rFonts w:hint="eastAsia"/>
          <w:color w:val="auto"/>
          <w:highlight w:val="none"/>
          <w:lang w:eastAsia="zh-CN"/>
        </w:rPr>
        <w:t>）</w:t>
      </w:r>
      <w:r>
        <w:rPr>
          <w:rFonts w:hint="eastAsia"/>
          <w:color w:val="auto"/>
          <w:highlight w:val="none"/>
          <w:lang w:val="en-US" w:eastAsia="zh-CN"/>
        </w:rPr>
        <w:t xml:space="preserve">  </w:t>
      </w:r>
      <w:r>
        <w:rPr>
          <w:rFonts w:hint="eastAsia"/>
          <w:color w:val="auto"/>
          <w:highlight w:val="none"/>
        </w:rPr>
        <w:t>成员单位二名称：　　　　　　　　　</w:t>
      </w:r>
      <w:r>
        <w:rPr>
          <w:rFonts w:hint="eastAsia"/>
          <w:color w:val="auto"/>
          <w:highlight w:val="none"/>
          <w:lang w:eastAsia="zh-CN"/>
        </w:rPr>
        <w:t>（</w:t>
      </w:r>
      <w:r>
        <w:rPr>
          <w:rFonts w:hint="eastAsia"/>
          <w:color w:val="auto"/>
          <w:highlight w:val="none"/>
        </w:rPr>
        <w:t>盖单位电子章</w:t>
      </w:r>
      <w:r>
        <w:rPr>
          <w:rFonts w:hint="eastAsia"/>
          <w:color w:val="auto"/>
          <w:highlight w:val="none"/>
          <w:lang w:eastAsia="zh-CN"/>
        </w:rPr>
        <w:t>）</w:t>
      </w:r>
    </w:p>
    <w:p w14:paraId="5133D0E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color w:val="auto"/>
          <w:highlight w:val="none"/>
          <w:lang w:eastAsia="zh-CN"/>
        </w:rPr>
      </w:pPr>
      <w:r>
        <w:rPr>
          <w:rFonts w:hint="eastAsia"/>
          <w:color w:val="auto"/>
          <w:highlight w:val="none"/>
        </w:rPr>
        <w:t>　　　　　　　　　　　　　　　　　　法定代表人或其委托代理人：　　</w:t>
      </w:r>
      <w:r>
        <w:rPr>
          <w:rFonts w:hint="eastAsia"/>
          <w:color w:val="auto"/>
          <w:highlight w:val="none"/>
          <w:lang w:eastAsia="zh-CN"/>
        </w:rPr>
        <w:t>（</w:t>
      </w:r>
      <w:r>
        <w:rPr>
          <w:rFonts w:hint="eastAsia"/>
          <w:color w:val="auto"/>
          <w:highlight w:val="none"/>
        </w:rPr>
        <w:t>电子签字或盖章</w:t>
      </w:r>
      <w:r>
        <w:rPr>
          <w:rFonts w:hint="eastAsia"/>
          <w:color w:val="auto"/>
          <w:highlight w:val="none"/>
          <w:lang w:eastAsia="zh-CN"/>
        </w:rPr>
        <w:t>）</w:t>
      </w:r>
    </w:p>
    <w:p w14:paraId="2B804FAE">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w:t>
      </w:r>
    </w:p>
    <w:p w14:paraId="37252901">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年　　月　　日</w:t>
      </w:r>
    </w:p>
    <w:p w14:paraId="004909EB">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p>
    <w:p w14:paraId="1C16E448">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p>
    <w:p w14:paraId="0A6525C9">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注：本协议书由委托代理人签字时，应附法定代表人签字的授权委托书。</w:t>
      </w:r>
    </w:p>
    <w:p w14:paraId="02087E5B">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p>
    <w:p w14:paraId="72085060">
      <w:pPr>
        <w:rPr>
          <w:color w:val="auto"/>
          <w:highlight w:val="none"/>
        </w:rPr>
      </w:pPr>
    </w:p>
    <w:p w14:paraId="55F956E7">
      <w:pPr>
        <w:rPr>
          <w:rFonts w:hint="eastAsia" w:ascii="黑体" w:hAnsi="黑体" w:eastAsia="黑体"/>
          <w:b/>
          <w:color w:val="auto"/>
          <w:sz w:val="32"/>
          <w:szCs w:val="32"/>
          <w:highlight w:val="none"/>
        </w:rPr>
      </w:pPr>
      <w:bookmarkStart w:id="1136" w:name="第08章投标文件格式04"/>
      <w:bookmarkEnd w:id="1136"/>
      <w:r>
        <w:rPr>
          <w:rFonts w:hint="eastAsia" w:ascii="黑体" w:hAnsi="黑体" w:eastAsia="黑体"/>
          <w:b/>
          <w:color w:val="auto"/>
          <w:sz w:val="32"/>
          <w:szCs w:val="32"/>
          <w:highlight w:val="none"/>
        </w:rPr>
        <w:br w:type="page"/>
      </w:r>
    </w:p>
    <w:p w14:paraId="286BC4A1">
      <w:pPr>
        <w:jc w:val="center"/>
        <w:outlineLvl w:val="2"/>
        <w:rPr>
          <w:rFonts w:ascii="黑体" w:hAnsi="黑体" w:eastAsia="黑体"/>
          <w:b/>
          <w:color w:val="auto"/>
          <w:sz w:val="32"/>
          <w:szCs w:val="32"/>
          <w:highlight w:val="none"/>
        </w:rPr>
      </w:pPr>
      <w:bookmarkStart w:id="1137" w:name="_Toc27822"/>
      <w:r>
        <w:rPr>
          <w:rFonts w:hint="eastAsia" w:ascii="黑体" w:hAnsi="黑体" w:eastAsia="黑体"/>
          <w:b/>
          <w:color w:val="auto"/>
          <w:sz w:val="32"/>
          <w:szCs w:val="32"/>
          <w:highlight w:val="none"/>
          <w:lang w:val="en-US" w:eastAsia="zh-CN"/>
        </w:rPr>
        <w:t>五</w:t>
      </w:r>
      <w:r>
        <w:rPr>
          <w:rFonts w:hint="eastAsia" w:ascii="黑体" w:hAnsi="黑体" w:eastAsia="黑体"/>
          <w:b/>
          <w:color w:val="auto"/>
          <w:sz w:val="32"/>
          <w:szCs w:val="32"/>
          <w:highlight w:val="none"/>
        </w:rPr>
        <w:t>、投标保证金</w:t>
      </w:r>
      <w:bookmarkEnd w:id="1137"/>
    </w:p>
    <w:p w14:paraId="0083DB3E">
      <w:pPr>
        <w:rPr>
          <w:color w:val="auto"/>
          <w:highlight w:val="none"/>
        </w:rPr>
      </w:pPr>
    </w:p>
    <w:p w14:paraId="65951E00">
      <w:pPr>
        <w:keepNext w:val="0"/>
        <w:keepLines w:val="0"/>
        <w:pageBreakBefore w:val="0"/>
        <w:widowControl w:val="0"/>
        <w:kinsoku/>
        <w:wordWrap/>
        <w:overflowPunct/>
        <w:topLinePunct w:val="0"/>
        <w:autoSpaceDE w:val="0"/>
        <w:autoSpaceDN w:val="0"/>
        <w:bidi w:val="0"/>
        <w:adjustRightInd w:val="0"/>
        <w:snapToGrid/>
        <w:spacing w:line="440" w:lineRule="exact"/>
        <w:ind w:firstLine="2310" w:firstLineChars="1100"/>
        <w:jc w:val="left"/>
        <w:textAlignment w:val="auto"/>
        <w:rPr>
          <w:rFonts w:hint="eastAsia" w:ascii="宋体" w:hAnsi="宋体"/>
          <w:color w:val="auto"/>
          <w:sz w:val="21"/>
          <w:szCs w:val="18"/>
          <w:highlight w:val="none"/>
          <w:u w:val="single"/>
        </w:rPr>
      </w:pPr>
      <w:r>
        <w:rPr>
          <w:rFonts w:hint="eastAsia"/>
          <w:color w:val="auto"/>
          <w:highlight w:val="none"/>
        </w:rPr>
        <w:t>　　　　　　　　　　　　　　　　　</w:t>
      </w:r>
      <w:r>
        <w:rPr>
          <w:rFonts w:hint="eastAsia" w:ascii="宋体" w:hAnsi="宋体"/>
          <w:color w:val="auto"/>
          <w:sz w:val="21"/>
          <w:szCs w:val="18"/>
          <w:highlight w:val="none"/>
          <w:u w:val="single"/>
        </w:rPr>
        <w:t>保函编号：     （投标）  字     年第  号</w:t>
      </w:r>
    </w:p>
    <w:p w14:paraId="29ECB70D">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color w:val="auto"/>
          <w:sz w:val="21"/>
          <w:szCs w:val="18"/>
          <w:highlight w:val="none"/>
          <w:u w:val="single"/>
        </w:rPr>
      </w:pPr>
      <w:r>
        <w:rPr>
          <w:rFonts w:hint="eastAsia" w:ascii="宋体" w:hAnsi="宋体"/>
          <w:color w:val="auto"/>
          <w:sz w:val="21"/>
          <w:szCs w:val="18"/>
          <w:highlight w:val="none"/>
          <w:u w:val="single"/>
        </w:rPr>
        <w:t>致</w:t>
      </w:r>
      <w:r>
        <w:rPr>
          <w:rFonts w:hint="eastAsia" w:ascii="宋体" w:hAnsi="宋体"/>
          <w:color w:val="auto"/>
          <w:sz w:val="21"/>
          <w:szCs w:val="18"/>
          <w:highlight w:val="none"/>
          <w:u w:val="single"/>
        </w:rPr>
        <w:tab/>
      </w:r>
      <w:r>
        <w:rPr>
          <w:rFonts w:hint="eastAsia" w:ascii="宋体" w:hAnsi="宋体"/>
          <w:color w:val="auto"/>
          <w:sz w:val="21"/>
          <w:szCs w:val="18"/>
          <w:highlight w:val="none"/>
          <w:u w:val="single"/>
        </w:rPr>
        <w:t xml:space="preserve">                   </w:t>
      </w:r>
      <w:r>
        <w:rPr>
          <w:rFonts w:hint="eastAsia" w:ascii="宋体" w:hAnsi="宋体"/>
          <w:color w:val="auto"/>
          <w:sz w:val="21"/>
          <w:szCs w:val="18"/>
          <w:highlight w:val="none"/>
          <w:u w:val="single"/>
          <w:lang w:eastAsia="zh-CN"/>
        </w:rPr>
        <w:t>（</w:t>
      </w:r>
      <w:r>
        <w:rPr>
          <w:rFonts w:hint="eastAsia" w:ascii="宋体" w:hAnsi="宋体"/>
          <w:color w:val="auto"/>
          <w:sz w:val="21"/>
          <w:szCs w:val="18"/>
          <w:highlight w:val="none"/>
          <w:u w:val="single"/>
        </w:rPr>
        <w:t>下称招标人</w:t>
      </w:r>
      <w:r>
        <w:rPr>
          <w:rFonts w:hint="eastAsia" w:ascii="宋体" w:hAnsi="宋体"/>
          <w:color w:val="auto"/>
          <w:sz w:val="21"/>
          <w:szCs w:val="18"/>
          <w:highlight w:val="none"/>
          <w:u w:val="single"/>
          <w:lang w:eastAsia="zh-CN"/>
        </w:rPr>
        <w:t>）</w:t>
      </w:r>
      <w:r>
        <w:rPr>
          <w:rFonts w:hint="eastAsia" w:ascii="宋体" w:hAnsi="宋体"/>
          <w:color w:val="auto"/>
          <w:sz w:val="21"/>
          <w:szCs w:val="18"/>
          <w:highlight w:val="none"/>
          <w:u w:val="single"/>
        </w:rPr>
        <w:t>：</w:t>
      </w:r>
    </w:p>
    <w:p w14:paraId="7373B985">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color w:val="auto"/>
          <w:sz w:val="21"/>
          <w:szCs w:val="18"/>
          <w:highlight w:val="none"/>
          <w:u w:val="single"/>
        </w:rPr>
      </w:pPr>
      <w:r>
        <w:rPr>
          <w:rFonts w:hint="eastAsia" w:ascii="宋体" w:hAnsi="宋体"/>
          <w:color w:val="auto"/>
          <w:sz w:val="21"/>
          <w:szCs w:val="18"/>
          <w:highlight w:val="none"/>
          <w:u w:val="single"/>
        </w:rPr>
        <w:t>鉴于</w:t>
      </w:r>
      <w:r>
        <w:rPr>
          <w:rFonts w:hint="eastAsia" w:ascii="宋体" w:hAnsi="宋体"/>
          <w:color w:val="auto"/>
          <w:sz w:val="21"/>
          <w:szCs w:val="18"/>
          <w:highlight w:val="none"/>
          <w:u w:val="single"/>
        </w:rPr>
        <w:tab/>
      </w:r>
      <w:r>
        <w:rPr>
          <w:rFonts w:hint="eastAsia" w:ascii="宋体" w:hAnsi="宋体"/>
          <w:color w:val="auto"/>
          <w:sz w:val="21"/>
          <w:szCs w:val="18"/>
          <w:highlight w:val="none"/>
          <w:u w:val="single"/>
        </w:rPr>
        <w:t xml:space="preserve">        公司</w:t>
      </w:r>
      <w:r>
        <w:rPr>
          <w:rFonts w:hint="eastAsia" w:ascii="宋体" w:hAnsi="宋体"/>
          <w:color w:val="auto"/>
          <w:sz w:val="21"/>
          <w:szCs w:val="18"/>
          <w:highlight w:val="none"/>
          <w:u w:val="single"/>
          <w:lang w:eastAsia="zh-CN"/>
        </w:rPr>
        <w:t>（</w:t>
      </w:r>
      <w:r>
        <w:rPr>
          <w:rFonts w:hint="eastAsia" w:ascii="宋体" w:hAnsi="宋体"/>
          <w:color w:val="auto"/>
          <w:sz w:val="21"/>
          <w:szCs w:val="18"/>
          <w:highlight w:val="none"/>
          <w:u w:val="single"/>
        </w:rPr>
        <w:t>下称投标人</w:t>
      </w:r>
      <w:r>
        <w:rPr>
          <w:rFonts w:hint="eastAsia" w:ascii="宋体" w:hAnsi="宋体"/>
          <w:color w:val="auto"/>
          <w:sz w:val="21"/>
          <w:szCs w:val="18"/>
          <w:highlight w:val="none"/>
          <w:u w:val="single"/>
          <w:lang w:eastAsia="zh-CN"/>
        </w:rPr>
        <w:t>）</w:t>
      </w:r>
      <w:r>
        <w:rPr>
          <w:rFonts w:hint="eastAsia" w:ascii="宋体" w:hAnsi="宋体"/>
          <w:color w:val="auto"/>
          <w:sz w:val="21"/>
          <w:szCs w:val="18"/>
          <w:highlight w:val="none"/>
          <w:u w:val="single"/>
        </w:rPr>
        <w:t xml:space="preserve">将参加贵方           项目（标段） </w:t>
      </w:r>
      <w:r>
        <w:rPr>
          <w:rFonts w:hint="eastAsia" w:ascii="宋体" w:hAnsi="宋体"/>
          <w:color w:val="auto"/>
          <w:sz w:val="21"/>
          <w:szCs w:val="18"/>
          <w:highlight w:val="none"/>
          <w:u w:val="single"/>
        </w:rPr>
        <w:tab/>
      </w:r>
      <w:r>
        <w:rPr>
          <w:rFonts w:hint="eastAsia" w:ascii="宋体" w:hAnsi="宋体"/>
          <w:color w:val="auto"/>
          <w:sz w:val="21"/>
          <w:szCs w:val="18"/>
          <w:highlight w:val="none"/>
          <w:u w:val="single"/>
        </w:rPr>
        <w:t xml:space="preserve">           标段的投标，我方接受投标人的委托，向招标人提供投标保函保证：</w:t>
      </w:r>
    </w:p>
    <w:p w14:paraId="58712396">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color w:val="auto"/>
          <w:sz w:val="21"/>
          <w:szCs w:val="18"/>
          <w:highlight w:val="none"/>
          <w:u w:val="single"/>
        </w:rPr>
      </w:pPr>
      <w:r>
        <w:rPr>
          <w:rFonts w:hint="eastAsia" w:ascii="宋体" w:hAnsi="宋体"/>
          <w:color w:val="auto"/>
          <w:sz w:val="21"/>
          <w:szCs w:val="18"/>
          <w:highlight w:val="none"/>
          <w:u w:val="single"/>
        </w:rPr>
        <mc:AlternateContent>
          <mc:Choice Requires="wpg">
            <w:drawing>
              <wp:anchor distT="0" distB="0" distL="114300" distR="114300" simplePos="0" relativeHeight="251660288" behindDoc="1" locked="0" layoutInCell="1" allowOverlap="1">
                <wp:simplePos x="0" y="0"/>
                <wp:positionH relativeFrom="page">
                  <wp:posOffset>6416040</wp:posOffset>
                </wp:positionH>
                <wp:positionV relativeFrom="paragraph">
                  <wp:posOffset>226695</wp:posOffset>
                </wp:positionV>
                <wp:extent cx="1270" cy="1270"/>
                <wp:effectExtent l="0" t="0" r="0" b="0"/>
                <wp:wrapNone/>
                <wp:docPr id="37" name="组合 37"/>
                <wp:cNvGraphicFramePr/>
                <a:graphic xmlns:a="http://schemas.openxmlformats.org/drawingml/2006/main">
                  <a:graphicData uri="http://schemas.microsoft.com/office/word/2010/wordprocessingGroup">
                    <wpg:wgp>
                      <wpg:cNvGrpSpPr/>
                      <wpg:grpSpPr>
                        <a:xfrm>
                          <a:off x="0" y="0"/>
                          <a:ext cx="1270" cy="1270"/>
                          <a:chOff x="10104" y="358"/>
                          <a:chExt cx="2" cy="2"/>
                        </a:xfrm>
                        <a:effectLst/>
                      </wpg:grpSpPr>
                      <wps:wsp>
                        <wps:cNvPr id="38" name="任意多边形 3"/>
                        <wps:cNvSpPr/>
                        <wps:spPr>
                          <a:xfrm>
                            <a:off x="10104" y="358"/>
                            <a:ext cx="2" cy="2"/>
                          </a:xfrm>
                          <a:custGeom>
                            <a:avLst/>
                            <a:gdLst/>
                            <a:ahLst/>
                            <a:cxnLst/>
                            <a:rect l="0" t="0" r="0" b="0"/>
                            <a:pathLst>
                              <a:path>
                                <a:moveTo>
                                  <a:pt x="0" y="0"/>
                                </a:moveTo>
                                <a:lnTo>
                                  <a:pt x="0" y="0"/>
                                </a:lnTo>
                              </a:path>
                            </a:pathLst>
                          </a:custGeom>
                          <a:noFill/>
                          <a:ln w="8382" cap="flat" cmpd="sng">
                            <a:solidFill>
                              <a:srgbClr val="00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505.2pt;margin-top:17.85pt;height:0.1pt;width:0.1pt;mso-position-horizontal-relative:page;z-index:-251656192;mso-width-relative:page;mso-height-relative:page;" coordorigin="10104,358" coordsize="2,2" o:gfxdata="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TrHAZ9kAAAAL&#10;AQAADwAAAAAAAAABACAAAAAiAAAAZHJzL2Rvd25yZXYueG1sUEsBAhQAFAAAAAgAh07iQChK42+N&#10;AgAA2wUAAA4AAAAAAAAAAQAgAAAAKAEAAGRycy9lMm9Eb2MueG1sUEsFBgAAAAAGAAYAWQEAACcG&#10;AAAAAA==&#10;">
                <o:lock v:ext="edit" aspectratio="f"/>
                <v:shape id="任意多边形 3" o:spid="_x0000_s1026" o:spt="100" style="position:absolute;left:10104;top:358;height:2;width:2;" filled="f" stroked="t" coordsize="2,2" o:gfxdata="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OdRAK2AAAA2wAAAA8A&#10;AAAAAAAAAQAgAAAAIgAAAGRycy9kb3ducmV2LnhtbFBLAQIUABQAAAAIAIdO4kAzLwWeOwAAADkA&#10;AAAQAAAAAAAAAAEAIAAAAAUBAABkcnMvc2hhcGV4bWwueG1sUEsFBgAAAAAGAAYAWwEAAK8DAAAA&#10;AA==&#10;" path="m0,0l0,0e">
                  <v:fill on="f" focussize="0,0"/>
                  <v:stroke weight="0.66pt" color="#000000" joinstyle="round"/>
                  <v:imagedata o:title=""/>
                  <o:lock v:ext="edit" aspectratio="f"/>
                </v:shape>
              </v:group>
            </w:pict>
          </mc:Fallback>
        </mc:AlternateContent>
      </w:r>
      <w:r>
        <w:rPr>
          <w:rFonts w:hint="eastAsia" w:ascii="宋体" w:hAnsi="宋体"/>
          <w:color w:val="auto"/>
          <w:sz w:val="21"/>
          <w:szCs w:val="18"/>
          <w:highlight w:val="none"/>
          <w:u w:val="single"/>
        </w:rPr>
        <w:t>一、本保证担保的担保金额为人民币          元</w:t>
      </w:r>
      <w:r>
        <w:rPr>
          <w:rFonts w:hint="eastAsia" w:ascii="宋体" w:hAnsi="宋体"/>
          <w:color w:val="auto"/>
          <w:sz w:val="21"/>
          <w:szCs w:val="18"/>
          <w:highlight w:val="none"/>
          <w:u w:val="single"/>
          <w:lang w:eastAsia="zh-CN"/>
        </w:rPr>
        <w:t>（</w:t>
      </w:r>
      <w:r>
        <w:rPr>
          <w:rFonts w:hint="eastAsia" w:ascii="宋体" w:hAnsi="宋体"/>
          <w:color w:val="auto"/>
          <w:sz w:val="21"/>
          <w:szCs w:val="18"/>
          <w:highlight w:val="none"/>
          <w:u w:val="single"/>
        </w:rPr>
        <w:t>小写</w:t>
      </w:r>
      <w:r>
        <w:rPr>
          <w:rFonts w:hint="eastAsia" w:ascii="宋体" w:hAnsi="宋体"/>
          <w:color w:val="auto"/>
          <w:sz w:val="21"/>
          <w:szCs w:val="18"/>
          <w:highlight w:val="none"/>
          <w:u w:val="single"/>
          <w:lang w:eastAsia="zh-CN"/>
        </w:rPr>
        <w:t>）</w:t>
      </w:r>
      <w:r>
        <w:rPr>
          <w:rFonts w:hint="eastAsia" w:ascii="宋体" w:hAnsi="宋体"/>
          <w:color w:val="auto"/>
          <w:sz w:val="21"/>
          <w:szCs w:val="18"/>
          <w:highlight w:val="none"/>
          <w:u w:val="single"/>
        </w:rPr>
        <w:t>，             元</w:t>
      </w:r>
      <w:r>
        <w:rPr>
          <w:rFonts w:hint="eastAsia" w:ascii="宋体" w:hAnsi="宋体"/>
          <w:color w:val="auto"/>
          <w:sz w:val="21"/>
          <w:szCs w:val="18"/>
          <w:highlight w:val="none"/>
          <w:u w:val="single"/>
          <w:lang w:eastAsia="zh-CN"/>
        </w:rPr>
        <w:t>（</w:t>
      </w:r>
      <w:r>
        <w:rPr>
          <w:rFonts w:hint="eastAsia" w:ascii="宋体" w:hAnsi="宋体"/>
          <w:color w:val="auto"/>
          <w:sz w:val="21"/>
          <w:szCs w:val="18"/>
          <w:highlight w:val="none"/>
          <w:u w:val="single"/>
        </w:rPr>
        <w:t>大写</w:t>
      </w:r>
      <w:r>
        <w:rPr>
          <w:rFonts w:hint="eastAsia" w:ascii="宋体" w:hAnsi="宋体"/>
          <w:color w:val="auto"/>
          <w:sz w:val="21"/>
          <w:szCs w:val="18"/>
          <w:highlight w:val="none"/>
          <w:u w:val="single"/>
          <w:lang w:eastAsia="zh-CN"/>
        </w:rPr>
        <w:t>）</w:t>
      </w:r>
      <w:r>
        <w:rPr>
          <w:rFonts w:hint="eastAsia" w:ascii="宋体" w:hAnsi="宋体"/>
          <w:color w:val="auto"/>
          <w:sz w:val="21"/>
          <w:szCs w:val="18"/>
          <w:highlight w:val="none"/>
          <w:u w:val="single"/>
        </w:rPr>
        <w:t>。</w:t>
      </w:r>
    </w:p>
    <w:p w14:paraId="5BD2725C">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color w:val="auto"/>
          <w:sz w:val="21"/>
          <w:szCs w:val="18"/>
          <w:highlight w:val="none"/>
          <w:u w:val="single"/>
        </w:rPr>
      </w:pPr>
      <w:r>
        <w:rPr>
          <w:rFonts w:hint="eastAsia" w:ascii="宋体" w:hAnsi="宋体"/>
          <w:color w:val="auto"/>
          <w:sz w:val="21"/>
          <w:szCs w:val="18"/>
          <w:highlight w:val="none"/>
          <w:u w:val="single"/>
        </w:rPr>
        <w:t>二、本保证担保的保证期间为该项目的投标有效期（或经保证人书面同意后延长的投标有效期）届满之日起90 日</w:t>
      </w:r>
      <w:r>
        <w:rPr>
          <w:rFonts w:hint="eastAsia" w:ascii="宋体" w:hAnsi="宋体"/>
          <w:color w:val="auto"/>
          <w:sz w:val="21"/>
          <w:szCs w:val="18"/>
          <w:highlight w:val="none"/>
          <w:u w:val="single"/>
          <w:lang w:eastAsia="zh-CN"/>
        </w:rPr>
        <w:t>（</w:t>
      </w:r>
      <w:r>
        <w:rPr>
          <w:rFonts w:hint="eastAsia" w:ascii="宋体" w:hAnsi="宋体"/>
          <w:color w:val="auto"/>
          <w:sz w:val="21"/>
          <w:szCs w:val="18"/>
          <w:highlight w:val="none"/>
          <w:u w:val="single"/>
        </w:rPr>
        <w:t>含 90 日</w:t>
      </w:r>
      <w:r>
        <w:rPr>
          <w:rFonts w:hint="eastAsia" w:ascii="宋体" w:hAnsi="宋体"/>
          <w:color w:val="auto"/>
          <w:sz w:val="21"/>
          <w:szCs w:val="18"/>
          <w:highlight w:val="none"/>
          <w:u w:val="single"/>
          <w:lang w:eastAsia="zh-CN"/>
        </w:rPr>
        <w:t>）</w:t>
      </w:r>
      <w:r>
        <w:rPr>
          <w:rFonts w:hint="eastAsia" w:ascii="宋体" w:hAnsi="宋体"/>
          <w:color w:val="auto"/>
          <w:sz w:val="21"/>
          <w:szCs w:val="18"/>
          <w:highlight w:val="none"/>
          <w:u w:val="single"/>
        </w:rPr>
        <w:t>。</w:t>
      </w:r>
    </w:p>
    <w:p w14:paraId="2F3B062C">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color w:val="auto"/>
          <w:sz w:val="21"/>
          <w:szCs w:val="18"/>
          <w:highlight w:val="none"/>
          <w:u w:val="single"/>
        </w:rPr>
      </w:pPr>
      <w:r>
        <w:rPr>
          <w:rFonts w:hint="eastAsia" w:ascii="宋体" w:hAnsi="宋体"/>
          <w:color w:val="auto"/>
          <w:sz w:val="21"/>
          <w:szCs w:val="18"/>
          <w:highlight w:val="none"/>
          <w:u w:val="single"/>
        </w:rPr>
        <w:t xml:space="preserve">三、在本保证担保的保证期间内，如果投标人出现下列情形之一，招标人可以向我方提起索赔： </w:t>
      </w:r>
    </w:p>
    <w:p w14:paraId="0ED978C7">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color w:val="auto"/>
          <w:sz w:val="21"/>
          <w:szCs w:val="18"/>
          <w:highlight w:val="none"/>
          <w:u w:val="single"/>
        </w:rPr>
      </w:pPr>
      <w:r>
        <w:rPr>
          <w:rFonts w:hint="eastAsia" w:ascii="宋体" w:hAnsi="宋体"/>
          <w:color w:val="auto"/>
          <w:sz w:val="21"/>
          <w:szCs w:val="18"/>
          <w:highlight w:val="none"/>
          <w:u w:val="single"/>
        </w:rPr>
        <w:t>1.投标截止后，投标人在投标有效期间撤销投标文件；</w:t>
      </w:r>
    </w:p>
    <w:p w14:paraId="621591B4">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color w:val="auto"/>
          <w:sz w:val="21"/>
          <w:szCs w:val="18"/>
          <w:highlight w:val="none"/>
          <w:u w:val="single"/>
        </w:rPr>
      </w:pPr>
      <w:r>
        <w:rPr>
          <w:rFonts w:hint="eastAsia" w:ascii="宋体" w:hAnsi="宋体"/>
          <w:color w:val="auto"/>
          <w:sz w:val="21"/>
          <w:szCs w:val="18"/>
          <w:highlight w:val="none"/>
          <w:u w:val="single"/>
        </w:rPr>
        <w:t>2.投标人在投标有效期内收到招标人发出的中标通知书后，无正当理由不能或拒绝按招标文件的要求签署合同；</w:t>
      </w:r>
    </w:p>
    <w:p w14:paraId="7A271DA0">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color w:val="auto"/>
          <w:sz w:val="21"/>
          <w:szCs w:val="18"/>
          <w:highlight w:val="none"/>
          <w:u w:val="single"/>
        </w:rPr>
      </w:pPr>
      <w:r>
        <w:rPr>
          <w:rFonts w:hint="eastAsia" w:ascii="宋体" w:hAnsi="宋体"/>
          <w:color w:val="auto"/>
          <w:sz w:val="21"/>
          <w:szCs w:val="18"/>
          <w:highlight w:val="none"/>
          <w:u w:val="single"/>
        </w:rPr>
        <w:t>3.投标人在投标有效期内收到招标人发出的中标通知书后，无正当理由不能或拒绝按照招标文件的规定接受对错误的修正、不能或拒绝按招标文件的规定提交履约担保；</w:t>
      </w:r>
    </w:p>
    <w:p w14:paraId="7BEFF52D">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color w:val="auto"/>
          <w:sz w:val="21"/>
          <w:szCs w:val="18"/>
          <w:highlight w:val="none"/>
          <w:u w:val="single"/>
        </w:rPr>
      </w:pPr>
      <w:r>
        <w:rPr>
          <w:rFonts w:hint="eastAsia" w:ascii="宋体" w:hAnsi="宋体"/>
          <w:color w:val="auto"/>
          <w:sz w:val="21"/>
          <w:szCs w:val="18"/>
          <w:highlight w:val="none"/>
          <w:u w:val="single"/>
        </w:rPr>
        <w:t>4.投标人以其它方式放弃中标的；</w:t>
      </w:r>
    </w:p>
    <w:p w14:paraId="63AE7AFD">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color w:val="auto"/>
          <w:sz w:val="21"/>
          <w:szCs w:val="18"/>
          <w:highlight w:val="none"/>
          <w:u w:val="single"/>
        </w:rPr>
      </w:pPr>
      <w:r>
        <w:rPr>
          <w:rFonts w:hint="eastAsia" w:ascii="宋体" w:hAnsi="宋体"/>
          <w:color w:val="auto"/>
          <w:sz w:val="21"/>
          <w:szCs w:val="18"/>
          <w:highlight w:val="none"/>
          <w:u w:val="single"/>
        </w:rPr>
        <w:t>5.投标人由于违法行为被取消投标资格或中标无效的；</w:t>
      </w:r>
    </w:p>
    <w:p w14:paraId="33CC7997">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color w:val="auto"/>
          <w:sz w:val="21"/>
          <w:szCs w:val="18"/>
          <w:highlight w:val="none"/>
          <w:u w:val="single"/>
        </w:rPr>
      </w:pPr>
      <w:r>
        <w:rPr>
          <w:rFonts w:hint="eastAsia" w:ascii="宋体" w:hAnsi="宋体"/>
          <w:color w:val="auto"/>
          <w:sz w:val="21"/>
          <w:szCs w:val="18"/>
          <w:highlight w:val="none"/>
          <w:u w:val="single"/>
        </w:rPr>
        <w:t xml:space="preserve">6.法律法规和招标文件约定的其他情形。 </w:t>
      </w:r>
    </w:p>
    <w:p w14:paraId="4AE6ACE5">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color w:val="auto"/>
          <w:sz w:val="21"/>
          <w:szCs w:val="18"/>
          <w:highlight w:val="none"/>
          <w:u w:val="single"/>
        </w:rPr>
      </w:pPr>
      <w:r>
        <w:rPr>
          <w:rFonts w:hint="eastAsia" w:ascii="宋体" w:hAnsi="宋体"/>
          <w:color w:val="auto"/>
          <w:sz w:val="21"/>
          <w:szCs w:val="18"/>
          <w:highlight w:val="none"/>
          <w:u w:val="single"/>
        </w:rPr>
        <w:t>四、在本保证担保的保证期间内，我方收到招标人经法定代表人或其授权委托代理人签字并加盖公章的书面索赔通知后10个工作日内，向招标人支付本保证担保的担保额。</w:t>
      </w:r>
    </w:p>
    <w:p w14:paraId="776ABC16">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color w:val="auto"/>
          <w:sz w:val="21"/>
          <w:szCs w:val="18"/>
          <w:highlight w:val="none"/>
          <w:u w:val="single"/>
        </w:rPr>
      </w:pPr>
      <w:r>
        <w:rPr>
          <w:rFonts w:hint="eastAsia" w:ascii="宋体" w:hAnsi="宋体"/>
          <w:color w:val="auto"/>
          <w:sz w:val="21"/>
          <w:szCs w:val="18"/>
          <w:highlight w:val="none"/>
          <w:u w:val="single"/>
        </w:rPr>
        <w:t>五、招标人的索赔通知应当说明索赔理由，并在本保证担保的保证期间内送达我方。</w:t>
      </w:r>
    </w:p>
    <w:p w14:paraId="144283CA">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宋体" w:hAnsi="宋体"/>
          <w:color w:val="auto"/>
          <w:sz w:val="21"/>
          <w:szCs w:val="18"/>
          <w:highlight w:val="none"/>
          <w:u w:val="single"/>
        </w:rPr>
      </w:pPr>
      <w:r>
        <w:rPr>
          <w:rFonts w:hint="eastAsia" w:ascii="宋体" w:hAnsi="宋体"/>
          <w:color w:val="auto"/>
          <w:sz w:val="21"/>
          <w:szCs w:val="18"/>
          <w:highlight w:val="none"/>
          <w:u w:val="single"/>
        </w:rPr>
        <w:t>六、本保证担保项下的权利不得转让，不得设定担保；未经我方书面同意，转让或修改本保函或其项下任何权利，对我方不发生法律效力。</w:t>
      </w:r>
    </w:p>
    <w:p w14:paraId="07DF64ED">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color w:val="auto"/>
          <w:sz w:val="21"/>
          <w:szCs w:val="18"/>
          <w:highlight w:val="none"/>
          <w:u w:val="single"/>
        </w:rPr>
      </w:pPr>
      <w:r>
        <w:rPr>
          <w:rFonts w:hint="eastAsia" w:ascii="宋体" w:hAnsi="宋体"/>
          <w:color w:val="auto"/>
          <w:sz w:val="21"/>
          <w:szCs w:val="18"/>
          <w:highlight w:val="none"/>
          <w:u w:val="single"/>
        </w:rPr>
        <w:t>七、本保证担保的保证期间届满，或我方已向招标人支付本保证担保的担保金额，我方的保证责任免除。</w:t>
      </w:r>
    </w:p>
    <w:p w14:paraId="41B36B14">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color w:val="auto"/>
          <w:sz w:val="21"/>
          <w:szCs w:val="18"/>
          <w:highlight w:val="none"/>
          <w:u w:val="single"/>
        </w:rPr>
      </w:pPr>
      <w:r>
        <w:rPr>
          <w:rFonts w:hint="eastAsia" w:ascii="宋体" w:hAnsi="宋体"/>
          <w:color w:val="auto"/>
          <w:sz w:val="21"/>
          <w:szCs w:val="18"/>
          <w:highlight w:val="none"/>
          <w:u w:val="single"/>
        </w:rPr>
        <w:t>八、本保证担保适用中华人民共和国法律。</w:t>
      </w:r>
    </w:p>
    <w:p w14:paraId="6CCCB996">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color w:val="auto"/>
          <w:sz w:val="21"/>
          <w:szCs w:val="18"/>
          <w:highlight w:val="none"/>
          <w:u w:val="single"/>
        </w:rPr>
      </w:pPr>
      <w:r>
        <w:rPr>
          <w:rFonts w:hint="eastAsia" w:ascii="宋体" w:hAnsi="宋体"/>
          <w:color w:val="auto"/>
          <w:sz w:val="21"/>
          <w:szCs w:val="18"/>
          <w:highlight w:val="none"/>
          <w:u w:val="single"/>
        </w:rPr>
        <w:t>九、本保证担保以中文文本为准，涂改无效。</w:t>
      </w:r>
    </w:p>
    <w:p w14:paraId="599DE52D">
      <w:pPr>
        <w:keepNext w:val="0"/>
        <w:keepLines w:val="0"/>
        <w:pageBreakBefore w:val="0"/>
        <w:widowControl w:val="0"/>
        <w:kinsoku/>
        <w:wordWrap/>
        <w:overflowPunct/>
        <w:topLinePunct w:val="0"/>
        <w:autoSpaceDE w:val="0"/>
        <w:autoSpaceDN w:val="0"/>
        <w:bidi w:val="0"/>
        <w:adjustRightInd w:val="0"/>
        <w:snapToGrid/>
        <w:spacing w:line="440" w:lineRule="exact"/>
        <w:ind w:firstLine="4410" w:firstLineChars="2100"/>
        <w:textAlignment w:val="auto"/>
        <w:rPr>
          <w:rFonts w:hint="eastAsia" w:ascii="宋体" w:hAnsi="宋体"/>
          <w:color w:val="auto"/>
          <w:sz w:val="21"/>
          <w:szCs w:val="18"/>
          <w:highlight w:val="none"/>
        </w:rPr>
      </w:pPr>
      <w:r>
        <w:rPr>
          <w:rFonts w:hint="eastAsia" w:ascii="宋体" w:hAnsi="宋体"/>
          <w:color w:val="auto"/>
          <w:sz w:val="21"/>
          <w:szCs w:val="18"/>
          <w:highlight w:val="none"/>
        </w:rPr>
        <w:t>保证人</w:t>
      </w:r>
      <w:r>
        <w:rPr>
          <w:rFonts w:hint="eastAsia" w:ascii="宋体" w:hAnsi="宋体"/>
          <w:color w:val="auto"/>
          <w:sz w:val="21"/>
          <w:szCs w:val="18"/>
          <w:highlight w:val="none"/>
          <w:lang w:eastAsia="zh-CN"/>
        </w:rPr>
        <w:t>（</w:t>
      </w:r>
      <w:r>
        <w:rPr>
          <w:rFonts w:hint="eastAsia" w:ascii="宋体" w:hAnsi="宋体"/>
          <w:color w:val="auto"/>
          <w:sz w:val="21"/>
          <w:szCs w:val="18"/>
          <w:highlight w:val="none"/>
        </w:rPr>
        <w:t>盖章</w:t>
      </w:r>
      <w:r>
        <w:rPr>
          <w:rFonts w:hint="eastAsia" w:ascii="宋体" w:hAnsi="宋体"/>
          <w:color w:val="auto"/>
          <w:sz w:val="21"/>
          <w:szCs w:val="18"/>
          <w:highlight w:val="none"/>
          <w:lang w:eastAsia="zh-CN"/>
        </w:rPr>
        <w:t>）</w:t>
      </w:r>
      <w:r>
        <w:rPr>
          <w:rFonts w:hint="eastAsia" w:ascii="宋体" w:hAnsi="宋体"/>
          <w:color w:val="auto"/>
          <w:sz w:val="21"/>
          <w:szCs w:val="18"/>
          <w:highlight w:val="none"/>
        </w:rPr>
        <w:t xml:space="preserve">： </w:t>
      </w:r>
    </w:p>
    <w:p w14:paraId="0717CFB5">
      <w:pPr>
        <w:keepNext w:val="0"/>
        <w:keepLines w:val="0"/>
        <w:pageBreakBefore w:val="0"/>
        <w:widowControl w:val="0"/>
        <w:kinsoku/>
        <w:wordWrap/>
        <w:overflowPunct/>
        <w:topLinePunct w:val="0"/>
        <w:autoSpaceDE w:val="0"/>
        <w:autoSpaceDN w:val="0"/>
        <w:bidi w:val="0"/>
        <w:adjustRightInd w:val="0"/>
        <w:snapToGrid/>
        <w:spacing w:line="440" w:lineRule="exact"/>
        <w:ind w:firstLine="4410" w:firstLineChars="2100"/>
        <w:textAlignment w:val="auto"/>
        <w:rPr>
          <w:rFonts w:hint="eastAsia" w:ascii="宋体" w:hAnsi="宋体"/>
          <w:color w:val="auto"/>
          <w:sz w:val="21"/>
          <w:szCs w:val="18"/>
          <w:highlight w:val="none"/>
        </w:rPr>
      </w:pPr>
      <w:r>
        <w:rPr>
          <w:rFonts w:hint="eastAsia" w:ascii="宋体" w:hAnsi="宋体"/>
          <w:color w:val="auto"/>
          <w:sz w:val="21"/>
          <w:szCs w:val="18"/>
          <w:highlight w:val="none"/>
        </w:rPr>
        <w:t>单位地址：</w:t>
      </w:r>
    </w:p>
    <w:p w14:paraId="40644B9A">
      <w:pPr>
        <w:keepNext w:val="0"/>
        <w:keepLines w:val="0"/>
        <w:pageBreakBefore w:val="0"/>
        <w:widowControl w:val="0"/>
        <w:kinsoku/>
        <w:wordWrap/>
        <w:overflowPunct/>
        <w:topLinePunct w:val="0"/>
        <w:autoSpaceDE w:val="0"/>
        <w:autoSpaceDN w:val="0"/>
        <w:bidi w:val="0"/>
        <w:adjustRightInd w:val="0"/>
        <w:snapToGrid/>
        <w:spacing w:line="440" w:lineRule="exact"/>
        <w:ind w:firstLine="4410" w:firstLineChars="2100"/>
        <w:textAlignment w:val="auto"/>
        <w:rPr>
          <w:rFonts w:hint="eastAsia" w:ascii="宋体" w:hAnsi="宋体"/>
          <w:color w:val="auto"/>
          <w:sz w:val="21"/>
          <w:szCs w:val="18"/>
          <w:highlight w:val="none"/>
        </w:rPr>
      </w:pPr>
      <w:r>
        <w:rPr>
          <w:rFonts w:hint="eastAsia" w:ascii="宋体" w:hAnsi="宋体"/>
          <w:color w:val="auto"/>
          <w:sz w:val="21"/>
          <w:szCs w:val="18"/>
          <w:highlight w:val="none"/>
        </w:rPr>
        <w:t>日    期：</w:t>
      </w:r>
    </w:p>
    <w:p w14:paraId="527E7674">
      <w:pPr>
        <w:rPr>
          <w:color w:val="auto"/>
          <w:highlight w:val="none"/>
        </w:rPr>
      </w:pPr>
    </w:p>
    <w:p w14:paraId="2F78A340">
      <w:pPr>
        <w:jc w:val="center"/>
        <w:outlineLvl w:val="2"/>
        <w:rPr>
          <w:rFonts w:hint="eastAsia" w:ascii="黑体" w:hAnsi="黑体" w:eastAsia="黑体" w:cs="Times New Roman"/>
          <w:b/>
          <w:color w:val="auto"/>
          <w:sz w:val="32"/>
          <w:szCs w:val="32"/>
          <w:highlight w:val="none"/>
        </w:rPr>
      </w:pPr>
      <w:bookmarkStart w:id="1138" w:name="第08章投标文件格式05"/>
      <w:bookmarkEnd w:id="1138"/>
      <w:bookmarkStart w:id="1139" w:name="_Toc15727"/>
      <w:r>
        <w:rPr>
          <w:rFonts w:hint="eastAsia" w:ascii="黑体" w:hAnsi="黑体" w:eastAsia="黑体" w:cs="Times New Roman"/>
          <w:b/>
          <w:color w:val="auto"/>
          <w:sz w:val="32"/>
          <w:szCs w:val="32"/>
          <w:highlight w:val="none"/>
          <w:lang w:val="en-US" w:eastAsia="zh-CN"/>
        </w:rPr>
        <w:t>六</w:t>
      </w:r>
      <w:r>
        <w:rPr>
          <w:rFonts w:hint="eastAsia" w:ascii="黑体" w:hAnsi="黑体" w:eastAsia="黑体" w:cs="Times New Roman"/>
          <w:b/>
          <w:color w:val="auto"/>
          <w:sz w:val="32"/>
          <w:szCs w:val="32"/>
          <w:highlight w:val="none"/>
        </w:rPr>
        <w:t>、已标价工程量清单</w:t>
      </w:r>
      <w:bookmarkEnd w:id="1139"/>
    </w:p>
    <w:p w14:paraId="280B0BC4">
      <w:pPr>
        <w:rPr>
          <w:color w:val="auto"/>
          <w:highlight w:val="none"/>
        </w:rPr>
      </w:pPr>
    </w:p>
    <w:p w14:paraId="7252D7B9">
      <w:pPr>
        <w:rPr>
          <w:color w:val="auto"/>
          <w:highlight w:val="none"/>
        </w:rPr>
      </w:pPr>
    </w:p>
    <w:p w14:paraId="70CAF47C">
      <w:pPr>
        <w:rPr>
          <w:color w:val="auto"/>
          <w:highlight w:val="none"/>
        </w:rPr>
      </w:pPr>
      <w:r>
        <w:rPr>
          <w:color w:val="auto"/>
          <w:highlight w:val="none"/>
        </w:rPr>
        <w:br w:type="page"/>
      </w:r>
    </w:p>
    <w:p w14:paraId="4D6E8FDC">
      <w:pPr>
        <w:jc w:val="center"/>
        <w:outlineLvl w:val="2"/>
        <w:rPr>
          <w:rFonts w:hint="eastAsia" w:ascii="黑体" w:hAnsi="黑体" w:eastAsia="黑体" w:cs="Times New Roman"/>
          <w:b/>
          <w:color w:val="auto"/>
          <w:sz w:val="32"/>
          <w:szCs w:val="32"/>
          <w:highlight w:val="none"/>
        </w:rPr>
      </w:pPr>
      <w:bookmarkStart w:id="1140" w:name="第08章投标文件格式06"/>
      <w:bookmarkEnd w:id="1140"/>
      <w:bookmarkStart w:id="1141" w:name="_Toc14030"/>
      <w:r>
        <w:rPr>
          <w:rFonts w:hint="eastAsia" w:ascii="黑体" w:hAnsi="黑体" w:eastAsia="黑体" w:cs="Times New Roman"/>
          <w:b/>
          <w:color w:val="auto"/>
          <w:sz w:val="32"/>
          <w:szCs w:val="32"/>
          <w:highlight w:val="none"/>
          <w:lang w:val="en-US" w:eastAsia="zh-CN"/>
        </w:rPr>
        <w:t>七</w:t>
      </w:r>
      <w:r>
        <w:rPr>
          <w:rFonts w:hint="eastAsia" w:ascii="黑体" w:hAnsi="黑体" w:eastAsia="黑体" w:cs="Times New Roman"/>
          <w:b/>
          <w:color w:val="auto"/>
          <w:sz w:val="32"/>
          <w:szCs w:val="32"/>
          <w:highlight w:val="none"/>
        </w:rPr>
        <w:t>、施工组织设计</w:t>
      </w:r>
      <w:bookmarkEnd w:id="1141"/>
    </w:p>
    <w:p w14:paraId="3558F555">
      <w:pPr>
        <w:rPr>
          <w:color w:val="auto"/>
          <w:highlight w:val="none"/>
        </w:rPr>
      </w:pPr>
    </w:p>
    <w:p w14:paraId="71A5A871">
      <w:pPr>
        <w:rPr>
          <w:color w:val="auto"/>
          <w:highlight w:val="none"/>
        </w:rPr>
      </w:pPr>
      <w:r>
        <w:rPr>
          <w:rFonts w:hint="eastAsia"/>
          <w:color w:val="auto"/>
          <w:highlight w:val="none"/>
        </w:rPr>
        <w:t>　　1.投标人编制施工组织设计时应采用文字并结合图表形式说明工程的施工组织、施工方法、技术组织措施，同时应对关键工序、复杂环节重点提出相应技术措施，如冬雨季施工技术、减少噪音、降低环境污染、地下管线及其它地上地下设施的保护加固措施等。施工组织设计还应结合工程特点提出切实可行的工程质量、工程进度、安全生产、防汛度汛、文明施工、水土保持、环境保护管理方案。</w:t>
      </w:r>
    </w:p>
    <w:p w14:paraId="67823FDC">
      <w:pPr>
        <w:rPr>
          <w:color w:val="auto"/>
          <w:highlight w:val="none"/>
        </w:rPr>
      </w:pPr>
      <w:r>
        <w:rPr>
          <w:rFonts w:hint="eastAsia"/>
          <w:color w:val="auto"/>
          <w:highlight w:val="none"/>
        </w:rPr>
        <w:t>　　施工组织设计应附的文字说明及附图见下表</w:t>
      </w:r>
      <w:r>
        <w:rPr>
          <w:rFonts w:hint="eastAsia"/>
          <w:color w:val="auto"/>
          <w:highlight w:val="none"/>
          <w:lang w:eastAsia="zh-CN"/>
        </w:rPr>
        <w:t>（</w:t>
      </w:r>
      <w:r>
        <w:rPr>
          <w:rFonts w:hint="eastAsia"/>
          <w:color w:val="auto"/>
          <w:highlight w:val="none"/>
        </w:rPr>
        <w:t>不限于，仅供参考</w:t>
      </w:r>
      <w:r>
        <w:rPr>
          <w:rFonts w:hint="eastAsia"/>
          <w:color w:val="auto"/>
          <w:highlight w:val="none"/>
          <w:lang w:eastAsia="zh-CN"/>
        </w:rPr>
        <w:t>）</w:t>
      </w:r>
      <w:r>
        <w:rPr>
          <w:rFonts w:hint="eastAsia"/>
          <w:color w:val="auto"/>
          <w:highlight w:val="none"/>
        </w:rPr>
        <w:t>：</w:t>
      </w:r>
    </w:p>
    <w:tbl>
      <w:tblPr>
        <w:tblStyle w:val="2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9"/>
        <w:gridCol w:w="5411"/>
        <w:gridCol w:w="2952"/>
      </w:tblGrid>
      <w:tr w14:paraId="769BE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3021EA57">
            <w:pPr>
              <w:jc w:val="center"/>
              <w:rPr>
                <w:color w:val="auto"/>
                <w:highlight w:val="none"/>
              </w:rPr>
            </w:pPr>
            <w:r>
              <w:rPr>
                <w:rFonts w:hint="eastAsia"/>
                <w:color w:val="auto"/>
                <w:highlight w:val="none"/>
              </w:rPr>
              <w:t>序号</w:t>
            </w:r>
          </w:p>
        </w:tc>
        <w:tc>
          <w:tcPr>
            <w:tcW w:w="5411" w:type="dxa"/>
            <w:vAlign w:val="center"/>
          </w:tcPr>
          <w:p w14:paraId="7541C686">
            <w:pPr>
              <w:jc w:val="center"/>
              <w:rPr>
                <w:color w:val="auto"/>
                <w:highlight w:val="none"/>
              </w:rPr>
            </w:pPr>
            <w:r>
              <w:rPr>
                <w:rFonts w:hint="eastAsia"/>
                <w:color w:val="auto"/>
                <w:highlight w:val="none"/>
              </w:rPr>
              <w:t>名称</w:t>
            </w:r>
          </w:p>
        </w:tc>
        <w:tc>
          <w:tcPr>
            <w:tcW w:w="2952" w:type="dxa"/>
            <w:vAlign w:val="center"/>
          </w:tcPr>
          <w:p w14:paraId="47ED5A64">
            <w:pPr>
              <w:jc w:val="center"/>
              <w:rPr>
                <w:color w:val="auto"/>
                <w:highlight w:val="none"/>
              </w:rPr>
            </w:pPr>
            <w:r>
              <w:rPr>
                <w:rFonts w:hint="eastAsia"/>
                <w:color w:val="auto"/>
                <w:highlight w:val="none"/>
              </w:rPr>
              <w:t>备注</w:t>
            </w:r>
          </w:p>
        </w:tc>
      </w:tr>
      <w:tr w14:paraId="049D6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5A791BAE">
            <w:pPr>
              <w:jc w:val="center"/>
              <w:rPr>
                <w:color w:val="auto"/>
                <w:highlight w:val="none"/>
              </w:rPr>
            </w:pPr>
            <w:r>
              <w:rPr>
                <w:rFonts w:hint="eastAsia"/>
                <w:color w:val="auto"/>
                <w:highlight w:val="none"/>
              </w:rPr>
              <w:t>1</w:t>
            </w:r>
          </w:p>
        </w:tc>
        <w:tc>
          <w:tcPr>
            <w:tcW w:w="5411" w:type="dxa"/>
          </w:tcPr>
          <w:p w14:paraId="1373A494">
            <w:pPr>
              <w:rPr>
                <w:rFonts w:hint="eastAsia" w:eastAsia="宋体"/>
                <w:color w:val="auto"/>
                <w:highlight w:val="none"/>
                <w:lang w:eastAsia="zh-CN"/>
              </w:rPr>
            </w:pPr>
            <w:r>
              <w:rPr>
                <w:rFonts w:hint="eastAsia"/>
                <w:color w:val="auto"/>
                <w:highlight w:val="none"/>
              </w:rPr>
              <w:t>施工围堰设计说明书及附图</w:t>
            </w:r>
            <w:r>
              <w:rPr>
                <w:rFonts w:hint="eastAsia"/>
                <w:color w:val="auto"/>
                <w:highlight w:val="none"/>
                <w:lang w:eastAsia="zh-CN"/>
              </w:rPr>
              <w:t>（</w:t>
            </w:r>
            <w:r>
              <w:rPr>
                <w:rFonts w:hint="eastAsia"/>
                <w:color w:val="auto"/>
                <w:highlight w:val="none"/>
                <w:lang w:val="en-US" w:eastAsia="zh-CN"/>
              </w:rPr>
              <w:t>如有</w:t>
            </w:r>
            <w:r>
              <w:rPr>
                <w:rFonts w:hint="eastAsia"/>
                <w:color w:val="auto"/>
                <w:highlight w:val="none"/>
                <w:lang w:eastAsia="zh-CN"/>
              </w:rPr>
              <w:t>）</w:t>
            </w:r>
          </w:p>
        </w:tc>
        <w:tc>
          <w:tcPr>
            <w:tcW w:w="2952" w:type="dxa"/>
          </w:tcPr>
          <w:p w14:paraId="1FCFA192">
            <w:pPr>
              <w:rPr>
                <w:color w:val="auto"/>
                <w:highlight w:val="none"/>
              </w:rPr>
            </w:pPr>
          </w:p>
        </w:tc>
      </w:tr>
      <w:tr w14:paraId="64607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5DE46F78">
            <w:pPr>
              <w:jc w:val="center"/>
              <w:rPr>
                <w:color w:val="auto"/>
                <w:highlight w:val="none"/>
              </w:rPr>
            </w:pPr>
            <w:r>
              <w:rPr>
                <w:rFonts w:hint="eastAsia"/>
                <w:color w:val="auto"/>
                <w:highlight w:val="none"/>
              </w:rPr>
              <w:t>2</w:t>
            </w:r>
          </w:p>
        </w:tc>
        <w:tc>
          <w:tcPr>
            <w:tcW w:w="5411" w:type="dxa"/>
          </w:tcPr>
          <w:p w14:paraId="04804503">
            <w:pPr>
              <w:rPr>
                <w:rFonts w:hint="eastAsia" w:eastAsia="宋体"/>
                <w:color w:val="auto"/>
                <w:highlight w:val="none"/>
                <w:lang w:eastAsia="zh-CN"/>
              </w:rPr>
            </w:pPr>
            <w:r>
              <w:rPr>
                <w:rFonts w:hint="eastAsia"/>
                <w:color w:val="auto"/>
                <w:highlight w:val="none"/>
              </w:rPr>
              <w:t>施工排水设计说明书及附图</w:t>
            </w:r>
            <w:r>
              <w:rPr>
                <w:rFonts w:hint="eastAsia"/>
                <w:color w:val="auto"/>
                <w:highlight w:val="none"/>
                <w:lang w:eastAsia="zh-CN"/>
              </w:rPr>
              <w:t>（</w:t>
            </w:r>
            <w:r>
              <w:rPr>
                <w:rFonts w:hint="eastAsia"/>
                <w:color w:val="auto"/>
                <w:highlight w:val="none"/>
                <w:lang w:val="en-US" w:eastAsia="zh-CN"/>
              </w:rPr>
              <w:t>如有</w:t>
            </w:r>
            <w:r>
              <w:rPr>
                <w:rFonts w:hint="eastAsia"/>
                <w:color w:val="auto"/>
                <w:highlight w:val="none"/>
                <w:lang w:eastAsia="zh-CN"/>
              </w:rPr>
              <w:t>）</w:t>
            </w:r>
          </w:p>
        </w:tc>
        <w:tc>
          <w:tcPr>
            <w:tcW w:w="2952" w:type="dxa"/>
          </w:tcPr>
          <w:p w14:paraId="7E40454B">
            <w:pPr>
              <w:rPr>
                <w:color w:val="auto"/>
                <w:highlight w:val="none"/>
              </w:rPr>
            </w:pPr>
          </w:p>
        </w:tc>
      </w:tr>
      <w:tr w14:paraId="07A47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37965A6C">
            <w:pPr>
              <w:jc w:val="center"/>
              <w:rPr>
                <w:color w:val="auto"/>
                <w:highlight w:val="none"/>
              </w:rPr>
            </w:pPr>
            <w:r>
              <w:rPr>
                <w:rFonts w:hint="eastAsia"/>
                <w:color w:val="auto"/>
                <w:highlight w:val="none"/>
              </w:rPr>
              <w:t>3</w:t>
            </w:r>
          </w:p>
        </w:tc>
        <w:tc>
          <w:tcPr>
            <w:tcW w:w="5411" w:type="dxa"/>
          </w:tcPr>
          <w:p w14:paraId="439D5DDE">
            <w:pPr>
              <w:rPr>
                <w:color w:val="auto"/>
                <w:highlight w:val="none"/>
              </w:rPr>
            </w:pPr>
            <w:r>
              <w:rPr>
                <w:rFonts w:hint="eastAsia"/>
                <w:color w:val="auto"/>
                <w:highlight w:val="none"/>
              </w:rPr>
              <w:t>材料采购</w:t>
            </w:r>
          </w:p>
        </w:tc>
        <w:tc>
          <w:tcPr>
            <w:tcW w:w="2952" w:type="dxa"/>
          </w:tcPr>
          <w:p w14:paraId="67C689DC">
            <w:pPr>
              <w:rPr>
                <w:color w:val="auto"/>
                <w:highlight w:val="none"/>
              </w:rPr>
            </w:pPr>
          </w:p>
        </w:tc>
      </w:tr>
      <w:tr w14:paraId="716F3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013487F2">
            <w:pPr>
              <w:jc w:val="center"/>
              <w:rPr>
                <w:color w:val="auto"/>
                <w:highlight w:val="none"/>
              </w:rPr>
            </w:pPr>
            <w:r>
              <w:rPr>
                <w:rFonts w:hint="eastAsia"/>
                <w:color w:val="auto"/>
                <w:highlight w:val="none"/>
              </w:rPr>
              <w:t>4</w:t>
            </w:r>
          </w:p>
        </w:tc>
        <w:tc>
          <w:tcPr>
            <w:tcW w:w="5411" w:type="dxa"/>
          </w:tcPr>
          <w:p w14:paraId="48DAB1C3">
            <w:pPr>
              <w:rPr>
                <w:rFonts w:hint="eastAsia" w:eastAsia="宋体"/>
                <w:color w:val="auto"/>
                <w:highlight w:val="none"/>
                <w:lang w:eastAsia="zh-CN"/>
              </w:rPr>
            </w:pPr>
            <w:r>
              <w:rPr>
                <w:rFonts w:hint="eastAsia"/>
                <w:color w:val="auto"/>
                <w:highlight w:val="none"/>
              </w:rPr>
              <w:t>土方工程施工说明书及附图</w:t>
            </w:r>
            <w:r>
              <w:rPr>
                <w:rFonts w:hint="eastAsia"/>
                <w:color w:val="auto"/>
                <w:highlight w:val="none"/>
                <w:lang w:eastAsia="zh-CN"/>
              </w:rPr>
              <w:t>（</w:t>
            </w:r>
            <w:r>
              <w:rPr>
                <w:rFonts w:hint="eastAsia"/>
                <w:color w:val="auto"/>
                <w:highlight w:val="none"/>
                <w:lang w:val="en-US" w:eastAsia="zh-CN"/>
              </w:rPr>
              <w:t>如有</w:t>
            </w:r>
            <w:r>
              <w:rPr>
                <w:rFonts w:hint="eastAsia"/>
                <w:color w:val="auto"/>
                <w:highlight w:val="none"/>
                <w:lang w:eastAsia="zh-CN"/>
              </w:rPr>
              <w:t>）</w:t>
            </w:r>
          </w:p>
        </w:tc>
        <w:tc>
          <w:tcPr>
            <w:tcW w:w="2952" w:type="dxa"/>
          </w:tcPr>
          <w:p w14:paraId="1B4C81D8">
            <w:pPr>
              <w:rPr>
                <w:color w:val="auto"/>
                <w:highlight w:val="none"/>
              </w:rPr>
            </w:pPr>
          </w:p>
        </w:tc>
      </w:tr>
      <w:tr w14:paraId="1A503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17638F8B">
            <w:pPr>
              <w:jc w:val="center"/>
              <w:rPr>
                <w:color w:val="auto"/>
                <w:highlight w:val="none"/>
              </w:rPr>
            </w:pPr>
            <w:r>
              <w:rPr>
                <w:rFonts w:hint="eastAsia"/>
                <w:color w:val="auto"/>
                <w:highlight w:val="none"/>
              </w:rPr>
              <w:t>5</w:t>
            </w:r>
          </w:p>
        </w:tc>
        <w:tc>
          <w:tcPr>
            <w:tcW w:w="5411" w:type="dxa"/>
          </w:tcPr>
          <w:p w14:paraId="4589714C">
            <w:pPr>
              <w:rPr>
                <w:rFonts w:hint="eastAsia" w:eastAsia="宋体"/>
                <w:color w:val="auto"/>
                <w:highlight w:val="none"/>
                <w:lang w:eastAsia="zh-CN"/>
              </w:rPr>
            </w:pPr>
            <w:r>
              <w:rPr>
                <w:rFonts w:hint="eastAsia"/>
                <w:color w:val="auto"/>
                <w:highlight w:val="none"/>
              </w:rPr>
              <w:t>基坑支护、地基加固工程施工说明书及附图</w:t>
            </w:r>
            <w:r>
              <w:rPr>
                <w:rFonts w:hint="eastAsia"/>
                <w:color w:val="auto"/>
                <w:highlight w:val="none"/>
                <w:lang w:eastAsia="zh-CN"/>
              </w:rPr>
              <w:t>（</w:t>
            </w:r>
            <w:r>
              <w:rPr>
                <w:rFonts w:hint="eastAsia"/>
                <w:color w:val="auto"/>
                <w:highlight w:val="none"/>
                <w:lang w:val="en-US" w:eastAsia="zh-CN"/>
              </w:rPr>
              <w:t>如有</w:t>
            </w:r>
            <w:r>
              <w:rPr>
                <w:rFonts w:hint="eastAsia"/>
                <w:color w:val="auto"/>
                <w:highlight w:val="none"/>
                <w:lang w:eastAsia="zh-CN"/>
              </w:rPr>
              <w:t>）</w:t>
            </w:r>
          </w:p>
        </w:tc>
        <w:tc>
          <w:tcPr>
            <w:tcW w:w="2952" w:type="dxa"/>
          </w:tcPr>
          <w:p w14:paraId="7E7D4E14">
            <w:pPr>
              <w:rPr>
                <w:color w:val="auto"/>
                <w:highlight w:val="none"/>
              </w:rPr>
            </w:pPr>
          </w:p>
        </w:tc>
      </w:tr>
      <w:tr w14:paraId="58A74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6A52F27D">
            <w:pPr>
              <w:jc w:val="center"/>
              <w:rPr>
                <w:color w:val="auto"/>
                <w:highlight w:val="none"/>
              </w:rPr>
            </w:pPr>
            <w:r>
              <w:rPr>
                <w:rFonts w:hint="eastAsia"/>
                <w:color w:val="auto"/>
                <w:highlight w:val="none"/>
              </w:rPr>
              <w:t>6</w:t>
            </w:r>
          </w:p>
        </w:tc>
        <w:tc>
          <w:tcPr>
            <w:tcW w:w="5411" w:type="dxa"/>
          </w:tcPr>
          <w:p w14:paraId="089683B0">
            <w:pPr>
              <w:rPr>
                <w:rFonts w:hint="eastAsia" w:eastAsia="宋体"/>
                <w:color w:val="auto"/>
                <w:highlight w:val="none"/>
                <w:lang w:eastAsia="zh-CN"/>
              </w:rPr>
            </w:pPr>
            <w:r>
              <w:rPr>
                <w:rFonts w:hint="eastAsia"/>
                <w:color w:val="auto"/>
                <w:highlight w:val="none"/>
              </w:rPr>
              <w:t>主体建筑物工程施工说明书及附图</w:t>
            </w:r>
            <w:r>
              <w:rPr>
                <w:rFonts w:hint="eastAsia"/>
                <w:color w:val="auto"/>
                <w:highlight w:val="none"/>
                <w:lang w:eastAsia="zh-CN"/>
              </w:rPr>
              <w:t>（</w:t>
            </w:r>
            <w:r>
              <w:rPr>
                <w:rFonts w:hint="eastAsia"/>
                <w:color w:val="auto"/>
                <w:highlight w:val="none"/>
              </w:rPr>
              <w:t>施工工艺及质量保证措施和有关试验要求，施工进度工期计划等</w:t>
            </w:r>
            <w:r>
              <w:rPr>
                <w:rFonts w:hint="eastAsia"/>
                <w:color w:val="auto"/>
                <w:highlight w:val="none"/>
                <w:lang w:eastAsia="zh-CN"/>
              </w:rPr>
              <w:t>）</w:t>
            </w:r>
          </w:p>
        </w:tc>
        <w:tc>
          <w:tcPr>
            <w:tcW w:w="2952" w:type="dxa"/>
          </w:tcPr>
          <w:p w14:paraId="6AF96943">
            <w:pPr>
              <w:rPr>
                <w:color w:val="auto"/>
                <w:highlight w:val="none"/>
              </w:rPr>
            </w:pPr>
          </w:p>
        </w:tc>
      </w:tr>
      <w:tr w14:paraId="44F27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33500B02">
            <w:pPr>
              <w:jc w:val="center"/>
              <w:rPr>
                <w:color w:val="auto"/>
                <w:highlight w:val="none"/>
              </w:rPr>
            </w:pPr>
            <w:r>
              <w:rPr>
                <w:rFonts w:hint="eastAsia"/>
                <w:color w:val="auto"/>
                <w:highlight w:val="none"/>
              </w:rPr>
              <w:t>7</w:t>
            </w:r>
          </w:p>
        </w:tc>
        <w:tc>
          <w:tcPr>
            <w:tcW w:w="5411" w:type="dxa"/>
          </w:tcPr>
          <w:p w14:paraId="7673F50D">
            <w:pPr>
              <w:rPr>
                <w:rFonts w:hint="eastAsia" w:eastAsia="宋体"/>
                <w:color w:val="auto"/>
                <w:highlight w:val="none"/>
                <w:lang w:eastAsia="zh-CN"/>
              </w:rPr>
            </w:pPr>
            <w:r>
              <w:rPr>
                <w:rFonts w:hint="eastAsia"/>
                <w:color w:val="auto"/>
                <w:highlight w:val="none"/>
              </w:rPr>
              <w:t>金属结构制造和安装计划、措施及附图</w:t>
            </w:r>
            <w:r>
              <w:rPr>
                <w:rFonts w:hint="eastAsia"/>
                <w:color w:val="auto"/>
                <w:highlight w:val="none"/>
                <w:lang w:eastAsia="zh-CN"/>
              </w:rPr>
              <w:t>（</w:t>
            </w:r>
            <w:r>
              <w:rPr>
                <w:rFonts w:hint="eastAsia"/>
                <w:color w:val="auto"/>
                <w:highlight w:val="none"/>
                <w:lang w:val="en-US" w:eastAsia="zh-CN"/>
              </w:rPr>
              <w:t>如有</w:t>
            </w:r>
            <w:r>
              <w:rPr>
                <w:rFonts w:hint="eastAsia"/>
                <w:color w:val="auto"/>
                <w:highlight w:val="none"/>
                <w:lang w:eastAsia="zh-CN"/>
              </w:rPr>
              <w:t>）</w:t>
            </w:r>
          </w:p>
        </w:tc>
        <w:tc>
          <w:tcPr>
            <w:tcW w:w="2952" w:type="dxa"/>
          </w:tcPr>
          <w:p w14:paraId="2BA97B96">
            <w:pPr>
              <w:rPr>
                <w:color w:val="auto"/>
                <w:highlight w:val="none"/>
              </w:rPr>
            </w:pPr>
          </w:p>
        </w:tc>
      </w:tr>
      <w:tr w14:paraId="1F129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20EECC4A">
            <w:pPr>
              <w:jc w:val="center"/>
              <w:rPr>
                <w:color w:val="auto"/>
                <w:highlight w:val="none"/>
              </w:rPr>
            </w:pPr>
            <w:r>
              <w:rPr>
                <w:rFonts w:hint="eastAsia"/>
                <w:color w:val="auto"/>
                <w:highlight w:val="none"/>
              </w:rPr>
              <w:t>8</w:t>
            </w:r>
          </w:p>
        </w:tc>
        <w:tc>
          <w:tcPr>
            <w:tcW w:w="5411" w:type="dxa"/>
          </w:tcPr>
          <w:p w14:paraId="41099DF6">
            <w:pPr>
              <w:rPr>
                <w:rFonts w:hint="eastAsia" w:eastAsia="宋体"/>
                <w:color w:val="auto"/>
                <w:highlight w:val="none"/>
                <w:lang w:eastAsia="zh-CN"/>
              </w:rPr>
            </w:pPr>
            <w:r>
              <w:rPr>
                <w:rFonts w:hint="eastAsia"/>
                <w:color w:val="auto"/>
                <w:highlight w:val="none"/>
              </w:rPr>
              <w:t>机电设备安装、调试方案、施工进度计划说明书</w:t>
            </w:r>
            <w:r>
              <w:rPr>
                <w:rFonts w:hint="eastAsia"/>
                <w:color w:val="auto"/>
                <w:highlight w:val="none"/>
                <w:lang w:eastAsia="zh-CN"/>
              </w:rPr>
              <w:t>（</w:t>
            </w:r>
            <w:r>
              <w:rPr>
                <w:rFonts w:hint="eastAsia"/>
                <w:color w:val="auto"/>
                <w:highlight w:val="none"/>
                <w:lang w:val="en-US" w:eastAsia="zh-CN"/>
              </w:rPr>
              <w:t>如有</w:t>
            </w:r>
            <w:r>
              <w:rPr>
                <w:rFonts w:hint="eastAsia"/>
                <w:color w:val="auto"/>
                <w:highlight w:val="none"/>
                <w:lang w:eastAsia="zh-CN"/>
              </w:rPr>
              <w:t>）</w:t>
            </w:r>
          </w:p>
        </w:tc>
        <w:tc>
          <w:tcPr>
            <w:tcW w:w="2952" w:type="dxa"/>
          </w:tcPr>
          <w:p w14:paraId="6A348025">
            <w:pPr>
              <w:rPr>
                <w:color w:val="auto"/>
                <w:highlight w:val="none"/>
              </w:rPr>
            </w:pPr>
          </w:p>
        </w:tc>
      </w:tr>
      <w:tr w14:paraId="066A7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448E4B85">
            <w:pPr>
              <w:jc w:val="center"/>
              <w:rPr>
                <w:color w:val="auto"/>
                <w:highlight w:val="none"/>
              </w:rPr>
            </w:pPr>
            <w:r>
              <w:rPr>
                <w:rFonts w:hint="eastAsia"/>
                <w:color w:val="auto"/>
                <w:highlight w:val="none"/>
              </w:rPr>
              <w:t>9</w:t>
            </w:r>
          </w:p>
        </w:tc>
        <w:tc>
          <w:tcPr>
            <w:tcW w:w="5411" w:type="dxa"/>
          </w:tcPr>
          <w:p w14:paraId="6099E344">
            <w:pPr>
              <w:rPr>
                <w:rFonts w:hint="eastAsia" w:eastAsia="宋体"/>
                <w:color w:val="auto"/>
                <w:highlight w:val="none"/>
                <w:lang w:eastAsia="zh-CN"/>
              </w:rPr>
            </w:pPr>
            <w:r>
              <w:rPr>
                <w:rFonts w:hint="eastAsia"/>
                <w:color w:val="auto"/>
                <w:highlight w:val="none"/>
              </w:rPr>
              <w:t>建筑与装修工程施工说明书</w:t>
            </w:r>
            <w:r>
              <w:rPr>
                <w:rFonts w:hint="eastAsia"/>
                <w:color w:val="auto"/>
                <w:highlight w:val="none"/>
                <w:lang w:eastAsia="zh-CN"/>
              </w:rPr>
              <w:t>（</w:t>
            </w:r>
            <w:r>
              <w:rPr>
                <w:rFonts w:hint="eastAsia"/>
                <w:color w:val="auto"/>
                <w:highlight w:val="none"/>
                <w:lang w:val="en-US" w:eastAsia="zh-CN"/>
              </w:rPr>
              <w:t>如有</w:t>
            </w:r>
            <w:r>
              <w:rPr>
                <w:rFonts w:hint="eastAsia"/>
                <w:color w:val="auto"/>
                <w:highlight w:val="none"/>
                <w:lang w:eastAsia="zh-CN"/>
              </w:rPr>
              <w:t>）</w:t>
            </w:r>
          </w:p>
        </w:tc>
        <w:tc>
          <w:tcPr>
            <w:tcW w:w="2952" w:type="dxa"/>
          </w:tcPr>
          <w:p w14:paraId="16528BDB">
            <w:pPr>
              <w:rPr>
                <w:color w:val="auto"/>
                <w:highlight w:val="none"/>
              </w:rPr>
            </w:pPr>
          </w:p>
        </w:tc>
      </w:tr>
      <w:tr w14:paraId="46A70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15852B07">
            <w:pPr>
              <w:jc w:val="center"/>
              <w:rPr>
                <w:color w:val="auto"/>
                <w:highlight w:val="none"/>
              </w:rPr>
            </w:pPr>
            <w:r>
              <w:rPr>
                <w:rFonts w:hint="eastAsia"/>
                <w:color w:val="auto"/>
                <w:highlight w:val="none"/>
              </w:rPr>
              <w:t>10</w:t>
            </w:r>
          </w:p>
        </w:tc>
        <w:tc>
          <w:tcPr>
            <w:tcW w:w="5411" w:type="dxa"/>
          </w:tcPr>
          <w:p w14:paraId="57D70541">
            <w:pPr>
              <w:rPr>
                <w:color w:val="auto"/>
                <w:highlight w:val="none"/>
              </w:rPr>
            </w:pPr>
            <w:r>
              <w:rPr>
                <w:rFonts w:hint="eastAsia"/>
                <w:color w:val="auto"/>
                <w:highlight w:val="none"/>
              </w:rPr>
              <w:t>工程质量管理方案</w:t>
            </w:r>
          </w:p>
        </w:tc>
        <w:tc>
          <w:tcPr>
            <w:tcW w:w="2952" w:type="dxa"/>
          </w:tcPr>
          <w:p w14:paraId="0F51C6B8">
            <w:pPr>
              <w:rPr>
                <w:color w:val="auto"/>
                <w:highlight w:val="none"/>
              </w:rPr>
            </w:pPr>
          </w:p>
        </w:tc>
      </w:tr>
      <w:tr w14:paraId="796C9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144F8C7E">
            <w:pPr>
              <w:jc w:val="center"/>
              <w:rPr>
                <w:color w:val="auto"/>
                <w:highlight w:val="none"/>
              </w:rPr>
            </w:pPr>
            <w:r>
              <w:rPr>
                <w:rFonts w:hint="eastAsia"/>
                <w:color w:val="auto"/>
                <w:highlight w:val="none"/>
              </w:rPr>
              <w:t>11</w:t>
            </w:r>
          </w:p>
        </w:tc>
        <w:tc>
          <w:tcPr>
            <w:tcW w:w="5411" w:type="dxa"/>
          </w:tcPr>
          <w:p w14:paraId="0B1B6184">
            <w:pPr>
              <w:rPr>
                <w:color w:val="auto"/>
                <w:highlight w:val="none"/>
              </w:rPr>
            </w:pPr>
            <w:r>
              <w:rPr>
                <w:rFonts w:hint="eastAsia"/>
                <w:color w:val="auto"/>
                <w:highlight w:val="none"/>
              </w:rPr>
              <w:t>安全生产管理方案</w:t>
            </w:r>
          </w:p>
        </w:tc>
        <w:tc>
          <w:tcPr>
            <w:tcW w:w="2952" w:type="dxa"/>
          </w:tcPr>
          <w:p w14:paraId="14E40883">
            <w:pPr>
              <w:rPr>
                <w:color w:val="auto"/>
                <w:highlight w:val="none"/>
              </w:rPr>
            </w:pPr>
          </w:p>
        </w:tc>
      </w:tr>
      <w:tr w14:paraId="1793E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685E33C3">
            <w:pPr>
              <w:jc w:val="center"/>
              <w:rPr>
                <w:color w:val="auto"/>
                <w:highlight w:val="none"/>
              </w:rPr>
            </w:pPr>
            <w:r>
              <w:rPr>
                <w:rFonts w:hint="eastAsia"/>
                <w:color w:val="auto"/>
                <w:highlight w:val="none"/>
              </w:rPr>
              <w:t>12</w:t>
            </w:r>
          </w:p>
        </w:tc>
        <w:tc>
          <w:tcPr>
            <w:tcW w:w="5411" w:type="dxa"/>
          </w:tcPr>
          <w:p w14:paraId="39EAE82D">
            <w:pPr>
              <w:rPr>
                <w:color w:val="auto"/>
                <w:highlight w:val="none"/>
              </w:rPr>
            </w:pPr>
            <w:r>
              <w:rPr>
                <w:rFonts w:hint="eastAsia"/>
                <w:color w:val="auto"/>
                <w:highlight w:val="none"/>
              </w:rPr>
              <w:t>防汛度汛</w:t>
            </w:r>
          </w:p>
        </w:tc>
        <w:tc>
          <w:tcPr>
            <w:tcW w:w="2952" w:type="dxa"/>
          </w:tcPr>
          <w:p w14:paraId="6B9F2E61">
            <w:pPr>
              <w:rPr>
                <w:color w:val="auto"/>
                <w:highlight w:val="none"/>
              </w:rPr>
            </w:pPr>
          </w:p>
        </w:tc>
      </w:tr>
      <w:tr w14:paraId="3CBE7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605EA6E5">
            <w:pPr>
              <w:jc w:val="center"/>
              <w:rPr>
                <w:color w:val="auto"/>
                <w:highlight w:val="none"/>
              </w:rPr>
            </w:pPr>
            <w:r>
              <w:rPr>
                <w:rFonts w:hint="eastAsia"/>
                <w:color w:val="auto"/>
                <w:highlight w:val="none"/>
              </w:rPr>
              <w:t>13</w:t>
            </w:r>
          </w:p>
        </w:tc>
        <w:tc>
          <w:tcPr>
            <w:tcW w:w="5411" w:type="dxa"/>
          </w:tcPr>
          <w:p w14:paraId="34826BBB">
            <w:pPr>
              <w:rPr>
                <w:color w:val="auto"/>
                <w:highlight w:val="none"/>
              </w:rPr>
            </w:pPr>
            <w:r>
              <w:rPr>
                <w:rFonts w:hint="eastAsia"/>
                <w:color w:val="auto"/>
                <w:highlight w:val="none"/>
              </w:rPr>
              <w:t>文明工地建设措施，为其它承包人提供方便的措施等</w:t>
            </w:r>
          </w:p>
        </w:tc>
        <w:tc>
          <w:tcPr>
            <w:tcW w:w="2952" w:type="dxa"/>
          </w:tcPr>
          <w:p w14:paraId="2C97BF6B">
            <w:pPr>
              <w:rPr>
                <w:color w:val="auto"/>
                <w:highlight w:val="none"/>
              </w:rPr>
            </w:pPr>
          </w:p>
        </w:tc>
      </w:tr>
      <w:tr w14:paraId="05EAD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18847228">
            <w:pPr>
              <w:jc w:val="center"/>
              <w:rPr>
                <w:color w:val="auto"/>
                <w:highlight w:val="none"/>
              </w:rPr>
            </w:pPr>
            <w:r>
              <w:rPr>
                <w:rFonts w:hint="eastAsia"/>
                <w:color w:val="auto"/>
                <w:highlight w:val="none"/>
              </w:rPr>
              <w:t>14</w:t>
            </w:r>
          </w:p>
        </w:tc>
        <w:tc>
          <w:tcPr>
            <w:tcW w:w="5411" w:type="dxa"/>
          </w:tcPr>
          <w:p w14:paraId="7E281DB8">
            <w:pPr>
              <w:rPr>
                <w:rFonts w:hint="eastAsia" w:eastAsia="宋体"/>
                <w:color w:val="auto"/>
                <w:highlight w:val="none"/>
                <w:lang w:eastAsia="zh-CN"/>
              </w:rPr>
            </w:pPr>
            <w:r>
              <w:rPr>
                <w:rFonts w:hint="eastAsia"/>
                <w:color w:val="auto"/>
                <w:highlight w:val="none"/>
              </w:rPr>
              <w:t>水土保持、环境保护管理方案</w:t>
            </w:r>
            <w:r>
              <w:rPr>
                <w:rFonts w:hint="eastAsia"/>
                <w:color w:val="auto"/>
                <w:highlight w:val="none"/>
                <w:lang w:eastAsia="zh-CN"/>
              </w:rPr>
              <w:t>（</w:t>
            </w:r>
            <w:r>
              <w:rPr>
                <w:rFonts w:hint="eastAsia"/>
                <w:color w:val="auto"/>
                <w:highlight w:val="none"/>
                <w:lang w:val="en-US" w:eastAsia="zh-CN"/>
              </w:rPr>
              <w:t>如有</w:t>
            </w:r>
            <w:r>
              <w:rPr>
                <w:rFonts w:hint="eastAsia"/>
                <w:color w:val="auto"/>
                <w:highlight w:val="none"/>
                <w:lang w:eastAsia="zh-CN"/>
              </w:rPr>
              <w:t>）</w:t>
            </w:r>
          </w:p>
        </w:tc>
        <w:tc>
          <w:tcPr>
            <w:tcW w:w="2952" w:type="dxa"/>
          </w:tcPr>
          <w:p w14:paraId="3AC3FCD3">
            <w:pPr>
              <w:rPr>
                <w:color w:val="auto"/>
                <w:highlight w:val="none"/>
              </w:rPr>
            </w:pPr>
          </w:p>
        </w:tc>
      </w:tr>
      <w:tr w14:paraId="057ED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3A0380F8">
            <w:pPr>
              <w:jc w:val="center"/>
              <w:rPr>
                <w:color w:val="auto"/>
                <w:highlight w:val="none"/>
              </w:rPr>
            </w:pPr>
            <w:r>
              <w:rPr>
                <w:rFonts w:hint="eastAsia"/>
                <w:color w:val="auto"/>
                <w:highlight w:val="none"/>
              </w:rPr>
              <w:t>15</w:t>
            </w:r>
          </w:p>
        </w:tc>
        <w:tc>
          <w:tcPr>
            <w:tcW w:w="5411" w:type="dxa"/>
          </w:tcPr>
          <w:p w14:paraId="71BD6BC7">
            <w:pPr>
              <w:rPr>
                <w:color w:val="auto"/>
                <w:highlight w:val="none"/>
              </w:rPr>
            </w:pPr>
            <w:r>
              <w:rPr>
                <w:rFonts w:hint="eastAsia"/>
                <w:color w:val="auto"/>
                <w:highlight w:val="none"/>
              </w:rPr>
              <w:t>其它有关工程的施工工艺及进度计划</w:t>
            </w:r>
          </w:p>
        </w:tc>
        <w:tc>
          <w:tcPr>
            <w:tcW w:w="2952" w:type="dxa"/>
          </w:tcPr>
          <w:p w14:paraId="70C7298A">
            <w:pPr>
              <w:rPr>
                <w:color w:val="auto"/>
                <w:highlight w:val="none"/>
              </w:rPr>
            </w:pPr>
          </w:p>
        </w:tc>
      </w:tr>
      <w:tr w14:paraId="6ADFC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5F3D154D">
            <w:pPr>
              <w:jc w:val="center"/>
              <w:rPr>
                <w:color w:val="auto"/>
                <w:highlight w:val="none"/>
              </w:rPr>
            </w:pPr>
            <w:r>
              <w:rPr>
                <w:rFonts w:hint="eastAsia"/>
                <w:color w:val="auto"/>
                <w:highlight w:val="none"/>
              </w:rPr>
              <w:t>16</w:t>
            </w:r>
          </w:p>
        </w:tc>
        <w:tc>
          <w:tcPr>
            <w:tcW w:w="5411" w:type="dxa"/>
          </w:tcPr>
          <w:p w14:paraId="512E8F69">
            <w:pPr>
              <w:rPr>
                <w:color w:val="auto"/>
                <w:highlight w:val="none"/>
              </w:rPr>
            </w:pPr>
            <w:r>
              <w:rPr>
                <w:rFonts w:hint="eastAsia"/>
                <w:color w:val="auto"/>
                <w:highlight w:val="none"/>
              </w:rPr>
              <w:t>有关施工建议</w:t>
            </w:r>
          </w:p>
        </w:tc>
        <w:tc>
          <w:tcPr>
            <w:tcW w:w="2952" w:type="dxa"/>
          </w:tcPr>
          <w:p w14:paraId="3261E4D1">
            <w:pPr>
              <w:rPr>
                <w:color w:val="auto"/>
                <w:highlight w:val="none"/>
              </w:rPr>
            </w:pPr>
          </w:p>
        </w:tc>
      </w:tr>
    </w:tbl>
    <w:p w14:paraId="10F0202F">
      <w:pPr>
        <w:rPr>
          <w:color w:val="auto"/>
          <w:highlight w:val="none"/>
        </w:rPr>
      </w:pPr>
    </w:p>
    <w:p w14:paraId="0E6D1DBE">
      <w:pPr>
        <w:rPr>
          <w:color w:val="auto"/>
          <w:highlight w:val="none"/>
        </w:rPr>
      </w:pPr>
      <w:r>
        <w:rPr>
          <w:rFonts w:hint="eastAsia"/>
          <w:color w:val="auto"/>
          <w:highlight w:val="none"/>
        </w:rPr>
        <w:t>　　2.施工组织设计除采用文字表述外应附下列图表，图表及格式要求附后。</w:t>
      </w:r>
    </w:p>
    <w:p w14:paraId="767E19B6">
      <w:pPr>
        <w:rPr>
          <w:color w:val="auto"/>
          <w:highlight w:val="none"/>
        </w:rPr>
      </w:pPr>
      <w:r>
        <w:rPr>
          <w:rFonts w:hint="eastAsia"/>
          <w:color w:val="auto"/>
          <w:highlight w:val="none"/>
        </w:rPr>
        <w:t>　　附件一：拟投入本标段的主要施工设备表</w:t>
      </w:r>
    </w:p>
    <w:p w14:paraId="42EAE37F">
      <w:pPr>
        <w:rPr>
          <w:color w:val="auto"/>
          <w:highlight w:val="none"/>
        </w:rPr>
      </w:pPr>
      <w:r>
        <w:rPr>
          <w:rFonts w:hint="eastAsia"/>
          <w:color w:val="auto"/>
          <w:highlight w:val="none"/>
        </w:rPr>
        <w:t>　　附件二：拟投入本标段的试验和检测仪器设备表</w:t>
      </w:r>
    </w:p>
    <w:p w14:paraId="2F0E59B0">
      <w:pPr>
        <w:rPr>
          <w:color w:val="auto"/>
          <w:highlight w:val="none"/>
        </w:rPr>
      </w:pPr>
      <w:r>
        <w:rPr>
          <w:rFonts w:hint="eastAsia"/>
          <w:color w:val="auto"/>
          <w:highlight w:val="none"/>
        </w:rPr>
        <w:t>　　附件三：拟投入本标段的劳动力计划表</w:t>
      </w:r>
    </w:p>
    <w:p w14:paraId="5FD09F38">
      <w:pPr>
        <w:rPr>
          <w:color w:val="auto"/>
          <w:highlight w:val="none"/>
        </w:rPr>
      </w:pPr>
      <w:r>
        <w:rPr>
          <w:rFonts w:hint="eastAsia"/>
          <w:color w:val="auto"/>
          <w:highlight w:val="none"/>
        </w:rPr>
        <w:t>　　附件四：计划开工日期、完工日期和施工进度网络图</w:t>
      </w:r>
    </w:p>
    <w:p w14:paraId="101FF03C">
      <w:pPr>
        <w:rPr>
          <w:color w:val="auto"/>
          <w:highlight w:val="none"/>
        </w:rPr>
      </w:pPr>
      <w:r>
        <w:rPr>
          <w:rFonts w:hint="eastAsia"/>
          <w:color w:val="auto"/>
          <w:highlight w:val="none"/>
        </w:rPr>
        <w:t>　　附件五：施工总平面图</w:t>
      </w:r>
    </w:p>
    <w:p w14:paraId="60B98A02">
      <w:pPr>
        <w:rPr>
          <w:color w:val="auto"/>
          <w:highlight w:val="none"/>
        </w:rPr>
      </w:pPr>
      <w:r>
        <w:rPr>
          <w:rFonts w:hint="eastAsia"/>
          <w:color w:val="auto"/>
          <w:highlight w:val="none"/>
        </w:rPr>
        <w:t>　　附件六：临时用地表</w:t>
      </w:r>
    </w:p>
    <w:p w14:paraId="13DB18FB">
      <w:pPr>
        <w:rPr>
          <w:color w:val="auto"/>
          <w:highlight w:val="none"/>
        </w:rPr>
      </w:pPr>
    </w:p>
    <w:p w14:paraId="1FDAF71E">
      <w:pPr>
        <w:rPr>
          <w:color w:val="auto"/>
          <w:highlight w:val="none"/>
        </w:rPr>
      </w:pPr>
      <w:r>
        <w:rPr>
          <w:color w:val="auto"/>
          <w:highlight w:val="none"/>
        </w:rPr>
        <w:br w:type="page"/>
      </w:r>
    </w:p>
    <w:p w14:paraId="73335867">
      <w:pPr>
        <w:rPr>
          <w:color w:val="auto"/>
          <w:highlight w:val="none"/>
        </w:rPr>
      </w:pPr>
      <w:r>
        <w:rPr>
          <w:rFonts w:hint="eastAsia"/>
          <w:color w:val="auto"/>
          <w:highlight w:val="none"/>
        </w:rPr>
        <w:t>附件一：</w:t>
      </w:r>
    </w:p>
    <w:p w14:paraId="6F79AEF2">
      <w:pPr>
        <w:rPr>
          <w:color w:val="auto"/>
          <w:highlight w:val="none"/>
        </w:rPr>
      </w:pPr>
    </w:p>
    <w:p w14:paraId="09906305">
      <w:pPr>
        <w:jc w:val="center"/>
        <w:rPr>
          <w:b/>
          <w:color w:val="auto"/>
          <w:highlight w:val="none"/>
        </w:rPr>
      </w:pPr>
      <w:r>
        <w:rPr>
          <w:rFonts w:hint="eastAsia"/>
          <w:b/>
          <w:color w:val="auto"/>
          <w:highlight w:val="none"/>
        </w:rPr>
        <w:t>拟投入本标段的主要施工设备表</w:t>
      </w:r>
    </w:p>
    <w:tbl>
      <w:tblPr>
        <w:tblStyle w:val="2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9"/>
        <w:gridCol w:w="709"/>
        <w:gridCol w:w="709"/>
        <w:gridCol w:w="1501"/>
        <w:gridCol w:w="934"/>
        <w:gridCol w:w="934"/>
        <w:gridCol w:w="940"/>
        <w:gridCol w:w="935"/>
        <w:gridCol w:w="935"/>
        <w:gridCol w:w="772"/>
      </w:tblGrid>
      <w:tr w14:paraId="4DE5C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4B94996F">
            <w:pPr>
              <w:jc w:val="center"/>
              <w:rPr>
                <w:color w:val="auto"/>
                <w:highlight w:val="none"/>
              </w:rPr>
            </w:pPr>
            <w:r>
              <w:rPr>
                <w:rFonts w:hint="eastAsia"/>
                <w:color w:val="auto"/>
                <w:highlight w:val="none"/>
              </w:rPr>
              <w:t>序号</w:t>
            </w:r>
          </w:p>
        </w:tc>
        <w:tc>
          <w:tcPr>
            <w:tcW w:w="709" w:type="dxa"/>
            <w:vAlign w:val="center"/>
          </w:tcPr>
          <w:p w14:paraId="55EBE48E">
            <w:pPr>
              <w:jc w:val="center"/>
              <w:rPr>
                <w:color w:val="auto"/>
                <w:highlight w:val="none"/>
              </w:rPr>
            </w:pPr>
            <w:r>
              <w:rPr>
                <w:rFonts w:hint="eastAsia"/>
                <w:color w:val="auto"/>
                <w:highlight w:val="none"/>
              </w:rPr>
              <w:t>设备名称</w:t>
            </w:r>
          </w:p>
        </w:tc>
        <w:tc>
          <w:tcPr>
            <w:tcW w:w="709" w:type="dxa"/>
            <w:vAlign w:val="center"/>
          </w:tcPr>
          <w:p w14:paraId="4769934D">
            <w:pPr>
              <w:jc w:val="center"/>
              <w:rPr>
                <w:color w:val="auto"/>
                <w:highlight w:val="none"/>
              </w:rPr>
            </w:pPr>
            <w:r>
              <w:rPr>
                <w:rFonts w:hint="eastAsia"/>
                <w:color w:val="auto"/>
                <w:highlight w:val="none"/>
              </w:rPr>
              <w:t>型号规格</w:t>
            </w:r>
          </w:p>
        </w:tc>
        <w:tc>
          <w:tcPr>
            <w:tcW w:w="1501" w:type="dxa"/>
            <w:vAlign w:val="center"/>
          </w:tcPr>
          <w:p w14:paraId="7ACFD429">
            <w:pPr>
              <w:jc w:val="center"/>
              <w:rPr>
                <w:color w:val="auto"/>
                <w:highlight w:val="none"/>
              </w:rPr>
            </w:pPr>
            <w:r>
              <w:rPr>
                <w:rFonts w:hint="eastAsia"/>
                <w:color w:val="auto"/>
                <w:highlight w:val="none"/>
              </w:rPr>
              <w:t>数量</w:t>
            </w:r>
          </w:p>
        </w:tc>
        <w:tc>
          <w:tcPr>
            <w:tcW w:w="934" w:type="dxa"/>
            <w:vAlign w:val="center"/>
          </w:tcPr>
          <w:p w14:paraId="68A057DA">
            <w:pPr>
              <w:jc w:val="center"/>
              <w:rPr>
                <w:color w:val="auto"/>
                <w:highlight w:val="none"/>
              </w:rPr>
            </w:pPr>
            <w:r>
              <w:rPr>
                <w:rFonts w:hint="eastAsia"/>
                <w:color w:val="auto"/>
                <w:highlight w:val="none"/>
              </w:rPr>
              <w:t>国别产地</w:t>
            </w:r>
          </w:p>
        </w:tc>
        <w:tc>
          <w:tcPr>
            <w:tcW w:w="934" w:type="dxa"/>
            <w:vAlign w:val="center"/>
          </w:tcPr>
          <w:p w14:paraId="7C23E2C4">
            <w:pPr>
              <w:jc w:val="center"/>
              <w:rPr>
                <w:color w:val="auto"/>
                <w:highlight w:val="none"/>
              </w:rPr>
            </w:pPr>
            <w:r>
              <w:rPr>
                <w:rFonts w:hint="eastAsia"/>
                <w:color w:val="auto"/>
                <w:highlight w:val="none"/>
              </w:rPr>
              <w:t>制造年份</w:t>
            </w:r>
          </w:p>
        </w:tc>
        <w:tc>
          <w:tcPr>
            <w:tcW w:w="934" w:type="dxa"/>
            <w:vAlign w:val="center"/>
          </w:tcPr>
          <w:p w14:paraId="0252EFFF">
            <w:pPr>
              <w:jc w:val="center"/>
              <w:rPr>
                <w:rFonts w:hint="eastAsia" w:eastAsia="宋体"/>
                <w:color w:val="auto"/>
                <w:highlight w:val="none"/>
                <w:lang w:eastAsia="zh-CN"/>
              </w:rPr>
            </w:pPr>
            <w:r>
              <w:rPr>
                <w:rFonts w:hint="eastAsia"/>
                <w:color w:val="auto"/>
                <w:highlight w:val="none"/>
              </w:rPr>
              <w:t>额定功率</w:t>
            </w:r>
            <w:r>
              <w:rPr>
                <w:rFonts w:hint="eastAsia"/>
                <w:color w:val="auto"/>
                <w:highlight w:val="none"/>
                <w:lang w:eastAsia="zh-CN"/>
              </w:rPr>
              <w:t>（</w:t>
            </w:r>
            <w:r>
              <w:rPr>
                <w:rFonts w:hint="eastAsia"/>
                <w:color w:val="auto"/>
                <w:highlight w:val="none"/>
              </w:rPr>
              <w:t>kW</w:t>
            </w:r>
            <w:r>
              <w:rPr>
                <w:rFonts w:hint="eastAsia"/>
                <w:color w:val="auto"/>
                <w:highlight w:val="none"/>
                <w:lang w:eastAsia="zh-CN"/>
              </w:rPr>
              <w:t>）</w:t>
            </w:r>
          </w:p>
        </w:tc>
        <w:tc>
          <w:tcPr>
            <w:tcW w:w="935" w:type="dxa"/>
            <w:vAlign w:val="center"/>
          </w:tcPr>
          <w:p w14:paraId="5DE59690">
            <w:pPr>
              <w:jc w:val="center"/>
              <w:rPr>
                <w:color w:val="auto"/>
                <w:highlight w:val="none"/>
              </w:rPr>
            </w:pPr>
            <w:r>
              <w:rPr>
                <w:rFonts w:hint="eastAsia"/>
                <w:color w:val="auto"/>
                <w:highlight w:val="none"/>
              </w:rPr>
              <w:t>生产能力</w:t>
            </w:r>
          </w:p>
        </w:tc>
        <w:tc>
          <w:tcPr>
            <w:tcW w:w="935" w:type="dxa"/>
            <w:vAlign w:val="center"/>
          </w:tcPr>
          <w:p w14:paraId="2012518D">
            <w:pPr>
              <w:jc w:val="center"/>
              <w:rPr>
                <w:color w:val="auto"/>
                <w:highlight w:val="none"/>
              </w:rPr>
            </w:pPr>
            <w:r>
              <w:rPr>
                <w:rFonts w:hint="eastAsia"/>
                <w:color w:val="auto"/>
                <w:highlight w:val="none"/>
              </w:rPr>
              <w:t>用于施工部位</w:t>
            </w:r>
          </w:p>
        </w:tc>
        <w:tc>
          <w:tcPr>
            <w:tcW w:w="772" w:type="dxa"/>
            <w:vAlign w:val="center"/>
          </w:tcPr>
          <w:p w14:paraId="4E2CDD1F">
            <w:pPr>
              <w:jc w:val="center"/>
              <w:rPr>
                <w:color w:val="auto"/>
                <w:highlight w:val="none"/>
              </w:rPr>
            </w:pPr>
            <w:r>
              <w:rPr>
                <w:rFonts w:hint="eastAsia"/>
                <w:color w:val="auto"/>
                <w:highlight w:val="none"/>
              </w:rPr>
              <w:t>备注</w:t>
            </w:r>
          </w:p>
        </w:tc>
      </w:tr>
      <w:tr w14:paraId="73F82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31338324">
            <w:pPr>
              <w:jc w:val="center"/>
              <w:rPr>
                <w:color w:val="auto"/>
                <w:highlight w:val="none"/>
              </w:rPr>
            </w:pPr>
          </w:p>
        </w:tc>
        <w:tc>
          <w:tcPr>
            <w:tcW w:w="709" w:type="dxa"/>
            <w:vAlign w:val="center"/>
          </w:tcPr>
          <w:p w14:paraId="5AD308C6">
            <w:pPr>
              <w:jc w:val="center"/>
              <w:rPr>
                <w:color w:val="auto"/>
                <w:highlight w:val="none"/>
              </w:rPr>
            </w:pPr>
          </w:p>
        </w:tc>
        <w:tc>
          <w:tcPr>
            <w:tcW w:w="709" w:type="dxa"/>
            <w:vAlign w:val="center"/>
          </w:tcPr>
          <w:p w14:paraId="77870FF4">
            <w:pPr>
              <w:jc w:val="center"/>
              <w:rPr>
                <w:color w:val="auto"/>
                <w:highlight w:val="none"/>
              </w:rPr>
            </w:pPr>
          </w:p>
        </w:tc>
        <w:tc>
          <w:tcPr>
            <w:tcW w:w="1501" w:type="dxa"/>
            <w:vAlign w:val="center"/>
          </w:tcPr>
          <w:p w14:paraId="296AD4EA">
            <w:pPr>
              <w:jc w:val="center"/>
              <w:rPr>
                <w:color w:val="auto"/>
                <w:highlight w:val="none"/>
              </w:rPr>
            </w:pPr>
          </w:p>
        </w:tc>
        <w:tc>
          <w:tcPr>
            <w:tcW w:w="934" w:type="dxa"/>
            <w:vAlign w:val="center"/>
          </w:tcPr>
          <w:p w14:paraId="61F3CAFF">
            <w:pPr>
              <w:jc w:val="center"/>
              <w:rPr>
                <w:color w:val="auto"/>
                <w:highlight w:val="none"/>
              </w:rPr>
            </w:pPr>
          </w:p>
        </w:tc>
        <w:tc>
          <w:tcPr>
            <w:tcW w:w="934" w:type="dxa"/>
            <w:vAlign w:val="center"/>
          </w:tcPr>
          <w:p w14:paraId="6B88BE62">
            <w:pPr>
              <w:jc w:val="center"/>
              <w:rPr>
                <w:color w:val="auto"/>
                <w:highlight w:val="none"/>
              </w:rPr>
            </w:pPr>
          </w:p>
        </w:tc>
        <w:tc>
          <w:tcPr>
            <w:tcW w:w="934" w:type="dxa"/>
            <w:vAlign w:val="center"/>
          </w:tcPr>
          <w:p w14:paraId="50A9F4A3">
            <w:pPr>
              <w:jc w:val="center"/>
              <w:rPr>
                <w:color w:val="auto"/>
                <w:highlight w:val="none"/>
              </w:rPr>
            </w:pPr>
          </w:p>
        </w:tc>
        <w:tc>
          <w:tcPr>
            <w:tcW w:w="935" w:type="dxa"/>
            <w:vAlign w:val="center"/>
          </w:tcPr>
          <w:p w14:paraId="10077E0F">
            <w:pPr>
              <w:jc w:val="center"/>
              <w:rPr>
                <w:color w:val="auto"/>
                <w:highlight w:val="none"/>
              </w:rPr>
            </w:pPr>
          </w:p>
        </w:tc>
        <w:tc>
          <w:tcPr>
            <w:tcW w:w="935" w:type="dxa"/>
            <w:vAlign w:val="center"/>
          </w:tcPr>
          <w:p w14:paraId="5FFB2DE4">
            <w:pPr>
              <w:jc w:val="center"/>
              <w:rPr>
                <w:color w:val="auto"/>
                <w:highlight w:val="none"/>
              </w:rPr>
            </w:pPr>
          </w:p>
        </w:tc>
        <w:tc>
          <w:tcPr>
            <w:tcW w:w="772" w:type="dxa"/>
            <w:vAlign w:val="center"/>
          </w:tcPr>
          <w:p w14:paraId="44B16030">
            <w:pPr>
              <w:jc w:val="center"/>
              <w:rPr>
                <w:color w:val="auto"/>
                <w:highlight w:val="none"/>
              </w:rPr>
            </w:pPr>
          </w:p>
        </w:tc>
      </w:tr>
      <w:tr w14:paraId="69E63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vAlign w:val="center"/>
          </w:tcPr>
          <w:p w14:paraId="7A382E70">
            <w:pPr>
              <w:jc w:val="center"/>
              <w:rPr>
                <w:color w:val="auto"/>
                <w:highlight w:val="none"/>
              </w:rPr>
            </w:pPr>
          </w:p>
        </w:tc>
        <w:tc>
          <w:tcPr>
            <w:tcW w:w="709" w:type="dxa"/>
            <w:vAlign w:val="center"/>
          </w:tcPr>
          <w:p w14:paraId="57AD222E">
            <w:pPr>
              <w:jc w:val="center"/>
              <w:rPr>
                <w:color w:val="auto"/>
                <w:highlight w:val="none"/>
              </w:rPr>
            </w:pPr>
          </w:p>
        </w:tc>
        <w:tc>
          <w:tcPr>
            <w:tcW w:w="709" w:type="dxa"/>
            <w:vAlign w:val="center"/>
          </w:tcPr>
          <w:p w14:paraId="4B04736F">
            <w:pPr>
              <w:jc w:val="center"/>
              <w:rPr>
                <w:color w:val="auto"/>
                <w:highlight w:val="none"/>
              </w:rPr>
            </w:pPr>
          </w:p>
        </w:tc>
        <w:tc>
          <w:tcPr>
            <w:tcW w:w="1501" w:type="dxa"/>
            <w:vAlign w:val="center"/>
          </w:tcPr>
          <w:p w14:paraId="6E7EE898">
            <w:pPr>
              <w:jc w:val="center"/>
              <w:rPr>
                <w:color w:val="auto"/>
                <w:highlight w:val="none"/>
              </w:rPr>
            </w:pPr>
          </w:p>
        </w:tc>
        <w:tc>
          <w:tcPr>
            <w:tcW w:w="934" w:type="dxa"/>
            <w:vAlign w:val="center"/>
          </w:tcPr>
          <w:p w14:paraId="795E495B">
            <w:pPr>
              <w:jc w:val="center"/>
              <w:rPr>
                <w:color w:val="auto"/>
                <w:highlight w:val="none"/>
              </w:rPr>
            </w:pPr>
          </w:p>
        </w:tc>
        <w:tc>
          <w:tcPr>
            <w:tcW w:w="934" w:type="dxa"/>
            <w:vAlign w:val="center"/>
          </w:tcPr>
          <w:p w14:paraId="532BB132">
            <w:pPr>
              <w:jc w:val="center"/>
              <w:rPr>
                <w:color w:val="auto"/>
                <w:highlight w:val="none"/>
              </w:rPr>
            </w:pPr>
          </w:p>
        </w:tc>
        <w:tc>
          <w:tcPr>
            <w:tcW w:w="934" w:type="dxa"/>
            <w:vAlign w:val="center"/>
          </w:tcPr>
          <w:p w14:paraId="3C02C7DC">
            <w:pPr>
              <w:jc w:val="center"/>
              <w:rPr>
                <w:color w:val="auto"/>
                <w:highlight w:val="none"/>
              </w:rPr>
            </w:pPr>
          </w:p>
        </w:tc>
        <w:tc>
          <w:tcPr>
            <w:tcW w:w="935" w:type="dxa"/>
            <w:vAlign w:val="center"/>
          </w:tcPr>
          <w:p w14:paraId="2E543F79">
            <w:pPr>
              <w:jc w:val="center"/>
              <w:rPr>
                <w:color w:val="auto"/>
                <w:highlight w:val="none"/>
              </w:rPr>
            </w:pPr>
          </w:p>
        </w:tc>
        <w:tc>
          <w:tcPr>
            <w:tcW w:w="935" w:type="dxa"/>
            <w:vAlign w:val="center"/>
          </w:tcPr>
          <w:p w14:paraId="4C24FB7B">
            <w:pPr>
              <w:jc w:val="center"/>
              <w:rPr>
                <w:color w:val="auto"/>
                <w:highlight w:val="none"/>
              </w:rPr>
            </w:pPr>
          </w:p>
        </w:tc>
        <w:tc>
          <w:tcPr>
            <w:tcW w:w="772" w:type="dxa"/>
            <w:vAlign w:val="center"/>
          </w:tcPr>
          <w:p w14:paraId="142F4298">
            <w:pPr>
              <w:jc w:val="center"/>
              <w:rPr>
                <w:color w:val="auto"/>
                <w:highlight w:val="none"/>
              </w:rPr>
            </w:pPr>
          </w:p>
        </w:tc>
      </w:tr>
    </w:tbl>
    <w:p w14:paraId="7B21622B">
      <w:pPr>
        <w:rPr>
          <w:rFonts w:hint="eastAsia" w:eastAsia="宋体"/>
          <w:color w:val="auto"/>
          <w:highlight w:val="none"/>
          <w:lang w:val="en-US" w:eastAsia="zh-CN"/>
        </w:rPr>
      </w:pPr>
      <w:r>
        <w:rPr>
          <w:rFonts w:hint="eastAsia"/>
          <w:color w:val="auto"/>
          <w:highlight w:val="none"/>
          <w:lang w:val="en-US" w:eastAsia="zh-CN"/>
        </w:rPr>
        <w:t>备注：</w:t>
      </w:r>
      <w:r>
        <w:rPr>
          <w:rFonts w:hint="eastAsia" w:ascii="Times New Roman" w:hAnsi="Times New Roman" w:eastAsia="宋体" w:cs="Times New Roman"/>
          <w:color w:val="auto"/>
          <w:highlight w:val="none"/>
          <w:lang w:val="en-US" w:eastAsia="zh-CN"/>
        </w:rPr>
        <w:t>主要施工设备表应标明设备自有或租用，并附佐证材料。</w:t>
      </w:r>
    </w:p>
    <w:p w14:paraId="343A638B">
      <w:pPr>
        <w:rPr>
          <w:color w:val="auto"/>
          <w:highlight w:val="none"/>
        </w:rPr>
      </w:pPr>
      <w:r>
        <w:rPr>
          <w:rFonts w:hint="eastAsia"/>
          <w:color w:val="auto"/>
          <w:highlight w:val="none"/>
        </w:rPr>
        <w:t>附件二：</w:t>
      </w:r>
    </w:p>
    <w:p w14:paraId="7E34DFB9">
      <w:pPr>
        <w:rPr>
          <w:color w:val="auto"/>
          <w:highlight w:val="none"/>
        </w:rPr>
      </w:pPr>
    </w:p>
    <w:p w14:paraId="6B319268">
      <w:pPr>
        <w:jc w:val="center"/>
        <w:rPr>
          <w:b/>
          <w:color w:val="auto"/>
          <w:highlight w:val="none"/>
        </w:rPr>
      </w:pPr>
      <w:r>
        <w:rPr>
          <w:rFonts w:hint="eastAsia"/>
          <w:b/>
          <w:color w:val="auto"/>
          <w:highlight w:val="none"/>
        </w:rPr>
        <w:t>拟投入本标段的试验和检测仪器设备表</w:t>
      </w:r>
    </w:p>
    <w:tbl>
      <w:tblPr>
        <w:tblStyle w:val="2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9"/>
        <w:gridCol w:w="1259"/>
        <w:gridCol w:w="1293"/>
        <w:gridCol w:w="783"/>
        <w:gridCol w:w="1343"/>
        <w:gridCol w:w="1134"/>
        <w:gridCol w:w="992"/>
        <w:gridCol w:w="683"/>
        <w:gridCol w:w="876"/>
      </w:tblGrid>
      <w:tr w14:paraId="06890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2A30EE57">
            <w:pPr>
              <w:jc w:val="center"/>
              <w:rPr>
                <w:color w:val="auto"/>
                <w:highlight w:val="none"/>
              </w:rPr>
            </w:pPr>
            <w:r>
              <w:rPr>
                <w:rFonts w:hint="eastAsia"/>
                <w:color w:val="auto"/>
                <w:highlight w:val="none"/>
              </w:rPr>
              <w:t>序号</w:t>
            </w:r>
          </w:p>
        </w:tc>
        <w:tc>
          <w:tcPr>
            <w:tcW w:w="1259" w:type="dxa"/>
            <w:vAlign w:val="center"/>
          </w:tcPr>
          <w:p w14:paraId="61F1E399">
            <w:pPr>
              <w:jc w:val="center"/>
              <w:rPr>
                <w:color w:val="auto"/>
                <w:highlight w:val="none"/>
              </w:rPr>
            </w:pPr>
            <w:r>
              <w:rPr>
                <w:rFonts w:hint="eastAsia"/>
                <w:color w:val="auto"/>
                <w:highlight w:val="none"/>
              </w:rPr>
              <w:t>仪器设备名称</w:t>
            </w:r>
          </w:p>
        </w:tc>
        <w:tc>
          <w:tcPr>
            <w:tcW w:w="1293" w:type="dxa"/>
            <w:vAlign w:val="center"/>
          </w:tcPr>
          <w:p w14:paraId="4905EF92">
            <w:pPr>
              <w:jc w:val="center"/>
              <w:rPr>
                <w:color w:val="auto"/>
                <w:highlight w:val="none"/>
              </w:rPr>
            </w:pPr>
            <w:r>
              <w:rPr>
                <w:rFonts w:hint="eastAsia"/>
                <w:color w:val="auto"/>
                <w:highlight w:val="none"/>
              </w:rPr>
              <w:t>型号规格</w:t>
            </w:r>
          </w:p>
        </w:tc>
        <w:tc>
          <w:tcPr>
            <w:tcW w:w="783" w:type="dxa"/>
            <w:vAlign w:val="center"/>
          </w:tcPr>
          <w:p w14:paraId="3D0A70D7">
            <w:pPr>
              <w:jc w:val="center"/>
              <w:rPr>
                <w:color w:val="auto"/>
                <w:highlight w:val="none"/>
              </w:rPr>
            </w:pPr>
            <w:r>
              <w:rPr>
                <w:rFonts w:hint="eastAsia"/>
                <w:color w:val="auto"/>
                <w:highlight w:val="none"/>
              </w:rPr>
              <w:t>数量</w:t>
            </w:r>
          </w:p>
        </w:tc>
        <w:tc>
          <w:tcPr>
            <w:tcW w:w="1343" w:type="dxa"/>
            <w:vAlign w:val="center"/>
          </w:tcPr>
          <w:p w14:paraId="202B4EC1">
            <w:pPr>
              <w:jc w:val="center"/>
              <w:rPr>
                <w:color w:val="auto"/>
                <w:highlight w:val="none"/>
              </w:rPr>
            </w:pPr>
            <w:r>
              <w:rPr>
                <w:rFonts w:hint="eastAsia"/>
                <w:color w:val="auto"/>
                <w:highlight w:val="none"/>
              </w:rPr>
              <w:t>国别产地</w:t>
            </w:r>
          </w:p>
        </w:tc>
        <w:tc>
          <w:tcPr>
            <w:tcW w:w="1134" w:type="dxa"/>
            <w:vAlign w:val="center"/>
          </w:tcPr>
          <w:p w14:paraId="59501938">
            <w:pPr>
              <w:jc w:val="center"/>
              <w:rPr>
                <w:color w:val="auto"/>
                <w:highlight w:val="none"/>
              </w:rPr>
            </w:pPr>
            <w:r>
              <w:rPr>
                <w:rFonts w:hint="eastAsia"/>
                <w:color w:val="auto"/>
                <w:highlight w:val="none"/>
              </w:rPr>
              <w:t>制造年份</w:t>
            </w:r>
          </w:p>
        </w:tc>
        <w:tc>
          <w:tcPr>
            <w:tcW w:w="992" w:type="dxa"/>
            <w:vAlign w:val="center"/>
          </w:tcPr>
          <w:p w14:paraId="0C2744C9">
            <w:pPr>
              <w:jc w:val="center"/>
              <w:rPr>
                <w:color w:val="auto"/>
                <w:highlight w:val="none"/>
              </w:rPr>
            </w:pPr>
            <w:r>
              <w:rPr>
                <w:rFonts w:hint="eastAsia"/>
                <w:color w:val="auto"/>
                <w:highlight w:val="none"/>
              </w:rPr>
              <w:t>已使用台时数</w:t>
            </w:r>
          </w:p>
        </w:tc>
        <w:tc>
          <w:tcPr>
            <w:tcW w:w="683" w:type="dxa"/>
            <w:vAlign w:val="center"/>
          </w:tcPr>
          <w:p w14:paraId="66451245">
            <w:pPr>
              <w:jc w:val="center"/>
              <w:rPr>
                <w:color w:val="auto"/>
                <w:highlight w:val="none"/>
              </w:rPr>
            </w:pPr>
            <w:r>
              <w:rPr>
                <w:rFonts w:hint="eastAsia"/>
                <w:color w:val="auto"/>
                <w:highlight w:val="none"/>
              </w:rPr>
              <w:t>用途</w:t>
            </w:r>
          </w:p>
        </w:tc>
        <w:tc>
          <w:tcPr>
            <w:tcW w:w="876" w:type="dxa"/>
            <w:vAlign w:val="center"/>
          </w:tcPr>
          <w:p w14:paraId="58973392">
            <w:pPr>
              <w:jc w:val="center"/>
              <w:rPr>
                <w:color w:val="auto"/>
                <w:highlight w:val="none"/>
              </w:rPr>
            </w:pPr>
            <w:r>
              <w:rPr>
                <w:rFonts w:hint="eastAsia"/>
                <w:color w:val="auto"/>
                <w:highlight w:val="none"/>
              </w:rPr>
              <w:t>备注</w:t>
            </w:r>
          </w:p>
        </w:tc>
      </w:tr>
      <w:tr w14:paraId="6B116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30E0BC72">
            <w:pPr>
              <w:jc w:val="center"/>
              <w:rPr>
                <w:color w:val="auto"/>
                <w:highlight w:val="none"/>
              </w:rPr>
            </w:pPr>
          </w:p>
        </w:tc>
        <w:tc>
          <w:tcPr>
            <w:tcW w:w="1259" w:type="dxa"/>
            <w:vAlign w:val="center"/>
          </w:tcPr>
          <w:p w14:paraId="56DF3E52">
            <w:pPr>
              <w:jc w:val="center"/>
              <w:rPr>
                <w:color w:val="auto"/>
                <w:highlight w:val="none"/>
              </w:rPr>
            </w:pPr>
          </w:p>
        </w:tc>
        <w:tc>
          <w:tcPr>
            <w:tcW w:w="1293" w:type="dxa"/>
            <w:vAlign w:val="center"/>
          </w:tcPr>
          <w:p w14:paraId="7DB629A3">
            <w:pPr>
              <w:jc w:val="center"/>
              <w:rPr>
                <w:color w:val="auto"/>
                <w:highlight w:val="none"/>
              </w:rPr>
            </w:pPr>
          </w:p>
        </w:tc>
        <w:tc>
          <w:tcPr>
            <w:tcW w:w="783" w:type="dxa"/>
            <w:vAlign w:val="center"/>
          </w:tcPr>
          <w:p w14:paraId="6A68DE5C">
            <w:pPr>
              <w:jc w:val="center"/>
              <w:rPr>
                <w:color w:val="auto"/>
                <w:highlight w:val="none"/>
              </w:rPr>
            </w:pPr>
          </w:p>
        </w:tc>
        <w:tc>
          <w:tcPr>
            <w:tcW w:w="1343" w:type="dxa"/>
            <w:vAlign w:val="center"/>
          </w:tcPr>
          <w:p w14:paraId="0CC17F28">
            <w:pPr>
              <w:jc w:val="center"/>
              <w:rPr>
                <w:color w:val="auto"/>
                <w:highlight w:val="none"/>
              </w:rPr>
            </w:pPr>
          </w:p>
        </w:tc>
        <w:tc>
          <w:tcPr>
            <w:tcW w:w="1134" w:type="dxa"/>
            <w:vAlign w:val="center"/>
          </w:tcPr>
          <w:p w14:paraId="6D447680">
            <w:pPr>
              <w:jc w:val="center"/>
              <w:rPr>
                <w:color w:val="auto"/>
                <w:highlight w:val="none"/>
              </w:rPr>
            </w:pPr>
          </w:p>
        </w:tc>
        <w:tc>
          <w:tcPr>
            <w:tcW w:w="992" w:type="dxa"/>
            <w:vAlign w:val="center"/>
          </w:tcPr>
          <w:p w14:paraId="1B8128DD">
            <w:pPr>
              <w:jc w:val="center"/>
              <w:rPr>
                <w:color w:val="auto"/>
                <w:highlight w:val="none"/>
              </w:rPr>
            </w:pPr>
          </w:p>
        </w:tc>
        <w:tc>
          <w:tcPr>
            <w:tcW w:w="683" w:type="dxa"/>
            <w:vAlign w:val="center"/>
          </w:tcPr>
          <w:p w14:paraId="75658DBD">
            <w:pPr>
              <w:jc w:val="center"/>
              <w:rPr>
                <w:color w:val="auto"/>
                <w:highlight w:val="none"/>
              </w:rPr>
            </w:pPr>
          </w:p>
        </w:tc>
        <w:tc>
          <w:tcPr>
            <w:tcW w:w="876" w:type="dxa"/>
            <w:vAlign w:val="center"/>
          </w:tcPr>
          <w:p w14:paraId="23840E81">
            <w:pPr>
              <w:jc w:val="center"/>
              <w:rPr>
                <w:color w:val="auto"/>
                <w:highlight w:val="none"/>
              </w:rPr>
            </w:pPr>
          </w:p>
        </w:tc>
      </w:tr>
      <w:tr w14:paraId="3AF23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vAlign w:val="center"/>
          </w:tcPr>
          <w:p w14:paraId="583BAC22">
            <w:pPr>
              <w:jc w:val="center"/>
              <w:rPr>
                <w:color w:val="auto"/>
                <w:highlight w:val="none"/>
              </w:rPr>
            </w:pPr>
          </w:p>
        </w:tc>
        <w:tc>
          <w:tcPr>
            <w:tcW w:w="1259" w:type="dxa"/>
            <w:vAlign w:val="center"/>
          </w:tcPr>
          <w:p w14:paraId="57C5D4EB">
            <w:pPr>
              <w:jc w:val="center"/>
              <w:rPr>
                <w:color w:val="auto"/>
                <w:highlight w:val="none"/>
              </w:rPr>
            </w:pPr>
          </w:p>
        </w:tc>
        <w:tc>
          <w:tcPr>
            <w:tcW w:w="1293" w:type="dxa"/>
            <w:vAlign w:val="center"/>
          </w:tcPr>
          <w:p w14:paraId="41D4F10E">
            <w:pPr>
              <w:jc w:val="center"/>
              <w:rPr>
                <w:color w:val="auto"/>
                <w:highlight w:val="none"/>
              </w:rPr>
            </w:pPr>
          </w:p>
        </w:tc>
        <w:tc>
          <w:tcPr>
            <w:tcW w:w="783" w:type="dxa"/>
            <w:vAlign w:val="center"/>
          </w:tcPr>
          <w:p w14:paraId="501772EC">
            <w:pPr>
              <w:jc w:val="center"/>
              <w:rPr>
                <w:color w:val="auto"/>
                <w:highlight w:val="none"/>
              </w:rPr>
            </w:pPr>
          </w:p>
        </w:tc>
        <w:tc>
          <w:tcPr>
            <w:tcW w:w="1343" w:type="dxa"/>
            <w:vAlign w:val="center"/>
          </w:tcPr>
          <w:p w14:paraId="60EC3F52">
            <w:pPr>
              <w:jc w:val="center"/>
              <w:rPr>
                <w:color w:val="auto"/>
                <w:highlight w:val="none"/>
              </w:rPr>
            </w:pPr>
          </w:p>
        </w:tc>
        <w:tc>
          <w:tcPr>
            <w:tcW w:w="1134" w:type="dxa"/>
            <w:vAlign w:val="center"/>
          </w:tcPr>
          <w:p w14:paraId="32A1B56B">
            <w:pPr>
              <w:jc w:val="center"/>
              <w:rPr>
                <w:color w:val="auto"/>
                <w:highlight w:val="none"/>
              </w:rPr>
            </w:pPr>
          </w:p>
        </w:tc>
        <w:tc>
          <w:tcPr>
            <w:tcW w:w="992" w:type="dxa"/>
            <w:vAlign w:val="center"/>
          </w:tcPr>
          <w:p w14:paraId="47CA14AE">
            <w:pPr>
              <w:jc w:val="center"/>
              <w:rPr>
                <w:color w:val="auto"/>
                <w:highlight w:val="none"/>
              </w:rPr>
            </w:pPr>
          </w:p>
        </w:tc>
        <w:tc>
          <w:tcPr>
            <w:tcW w:w="683" w:type="dxa"/>
            <w:vAlign w:val="center"/>
          </w:tcPr>
          <w:p w14:paraId="1AD4EE09">
            <w:pPr>
              <w:jc w:val="center"/>
              <w:rPr>
                <w:color w:val="auto"/>
                <w:highlight w:val="none"/>
              </w:rPr>
            </w:pPr>
          </w:p>
        </w:tc>
        <w:tc>
          <w:tcPr>
            <w:tcW w:w="876" w:type="dxa"/>
            <w:vAlign w:val="center"/>
          </w:tcPr>
          <w:p w14:paraId="2594CB83">
            <w:pPr>
              <w:jc w:val="center"/>
              <w:rPr>
                <w:color w:val="auto"/>
                <w:highlight w:val="none"/>
              </w:rPr>
            </w:pPr>
          </w:p>
        </w:tc>
      </w:tr>
    </w:tbl>
    <w:p w14:paraId="0DA30F67">
      <w:pPr>
        <w:rPr>
          <w:color w:val="auto"/>
          <w:highlight w:val="none"/>
        </w:rPr>
      </w:pPr>
    </w:p>
    <w:p w14:paraId="23C738DB">
      <w:pPr>
        <w:rPr>
          <w:color w:val="auto"/>
          <w:highlight w:val="none"/>
        </w:rPr>
      </w:pPr>
      <w:r>
        <w:rPr>
          <w:rFonts w:hint="eastAsia"/>
          <w:color w:val="auto"/>
          <w:highlight w:val="none"/>
        </w:rPr>
        <w:t>附件三：</w:t>
      </w:r>
    </w:p>
    <w:p w14:paraId="69C2E18A">
      <w:pPr>
        <w:rPr>
          <w:color w:val="auto"/>
          <w:highlight w:val="none"/>
        </w:rPr>
      </w:pPr>
    </w:p>
    <w:p w14:paraId="2F5E62EF">
      <w:pPr>
        <w:jc w:val="center"/>
        <w:rPr>
          <w:b/>
          <w:color w:val="auto"/>
          <w:highlight w:val="none"/>
        </w:rPr>
      </w:pPr>
      <w:r>
        <w:rPr>
          <w:rFonts w:hint="eastAsia"/>
          <w:b/>
          <w:color w:val="auto"/>
          <w:highlight w:val="none"/>
        </w:rPr>
        <w:t>拟投入本标段的劳动力计划表</w:t>
      </w:r>
    </w:p>
    <w:p w14:paraId="43C2F60E">
      <w:pPr>
        <w:jc w:val="right"/>
        <w:rPr>
          <w:color w:val="auto"/>
          <w:highlight w:val="none"/>
        </w:rPr>
      </w:pPr>
      <w:r>
        <w:rPr>
          <w:rFonts w:hint="eastAsia"/>
          <w:color w:val="auto"/>
          <w:highlight w:val="none"/>
        </w:rPr>
        <w:t>单位：人</w:t>
      </w:r>
    </w:p>
    <w:tbl>
      <w:tblPr>
        <w:tblStyle w:val="2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59"/>
        <w:gridCol w:w="1168"/>
        <w:gridCol w:w="1168"/>
        <w:gridCol w:w="1168"/>
        <w:gridCol w:w="1168"/>
        <w:gridCol w:w="1168"/>
        <w:gridCol w:w="1168"/>
        <w:gridCol w:w="1005"/>
      </w:tblGrid>
      <w:tr w14:paraId="1D46F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9" w:type="dxa"/>
            <w:vAlign w:val="center"/>
          </w:tcPr>
          <w:p w14:paraId="60BFD630">
            <w:pPr>
              <w:jc w:val="center"/>
              <w:rPr>
                <w:color w:val="auto"/>
                <w:highlight w:val="none"/>
              </w:rPr>
            </w:pPr>
            <w:r>
              <w:rPr>
                <w:rFonts w:hint="eastAsia"/>
                <w:color w:val="auto"/>
                <w:highlight w:val="none"/>
              </w:rPr>
              <w:t>工种</w:t>
            </w:r>
          </w:p>
        </w:tc>
        <w:tc>
          <w:tcPr>
            <w:tcW w:w="8013" w:type="dxa"/>
            <w:gridSpan w:val="7"/>
            <w:vAlign w:val="center"/>
          </w:tcPr>
          <w:p w14:paraId="50449E7A">
            <w:pPr>
              <w:jc w:val="center"/>
              <w:rPr>
                <w:color w:val="auto"/>
                <w:highlight w:val="none"/>
              </w:rPr>
            </w:pPr>
            <w:r>
              <w:rPr>
                <w:rFonts w:hint="eastAsia"/>
                <w:color w:val="auto"/>
                <w:highlight w:val="none"/>
              </w:rPr>
              <w:t>按工程施工阶段投入劳动力情况</w:t>
            </w:r>
          </w:p>
        </w:tc>
      </w:tr>
      <w:tr w14:paraId="14DEF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9" w:type="dxa"/>
            <w:vAlign w:val="center"/>
          </w:tcPr>
          <w:p w14:paraId="3D53E3C4">
            <w:pPr>
              <w:jc w:val="center"/>
              <w:rPr>
                <w:color w:val="auto"/>
                <w:highlight w:val="none"/>
              </w:rPr>
            </w:pPr>
          </w:p>
        </w:tc>
        <w:tc>
          <w:tcPr>
            <w:tcW w:w="1168" w:type="dxa"/>
            <w:vAlign w:val="center"/>
          </w:tcPr>
          <w:p w14:paraId="2DD9CEFE">
            <w:pPr>
              <w:jc w:val="center"/>
              <w:rPr>
                <w:color w:val="auto"/>
                <w:highlight w:val="none"/>
              </w:rPr>
            </w:pPr>
          </w:p>
        </w:tc>
        <w:tc>
          <w:tcPr>
            <w:tcW w:w="1168" w:type="dxa"/>
            <w:vAlign w:val="center"/>
          </w:tcPr>
          <w:p w14:paraId="0E43A1EE">
            <w:pPr>
              <w:jc w:val="center"/>
              <w:rPr>
                <w:color w:val="auto"/>
                <w:highlight w:val="none"/>
              </w:rPr>
            </w:pPr>
          </w:p>
        </w:tc>
        <w:tc>
          <w:tcPr>
            <w:tcW w:w="1168" w:type="dxa"/>
            <w:vAlign w:val="center"/>
          </w:tcPr>
          <w:p w14:paraId="53C27DCE">
            <w:pPr>
              <w:jc w:val="center"/>
              <w:rPr>
                <w:color w:val="auto"/>
                <w:highlight w:val="none"/>
              </w:rPr>
            </w:pPr>
          </w:p>
        </w:tc>
        <w:tc>
          <w:tcPr>
            <w:tcW w:w="1168" w:type="dxa"/>
            <w:vAlign w:val="center"/>
          </w:tcPr>
          <w:p w14:paraId="247FC011">
            <w:pPr>
              <w:jc w:val="center"/>
              <w:rPr>
                <w:color w:val="auto"/>
                <w:highlight w:val="none"/>
              </w:rPr>
            </w:pPr>
          </w:p>
        </w:tc>
        <w:tc>
          <w:tcPr>
            <w:tcW w:w="1168" w:type="dxa"/>
            <w:vAlign w:val="center"/>
          </w:tcPr>
          <w:p w14:paraId="3FF7A52A">
            <w:pPr>
              <w:jc w:val="center"/>
              <w:rPr>
                <w:color w:val="auto"/>
                <w:highlight w:val="none"/>
              </w:rPr>
            </w:pPr>
          </w:p>
        </w:tc>
        <w:tc>
          <w:tcPr>
            <w:tcW w:w="1168" w:type="dxa"/>
            <w:vAlign w:val="center"/>
          </w:tcPr>
          <w:p w14:paraId="64E0C876">
            <w:pPr>
              <w:jc w:val="center"/>
              <w:rPr>
                <w:color w:val="auto"/>
                <w:highlight w:val="none"/>
              </w:rPr>
            </w:pPr>
          </w:p>
        </w:tc>
        <w:tc>
          <w:tcPr>
            <w:tcW w:w="1005" w:type="dxa"/>
            <w:vAlign w:val="center"/>
          </w:tcPr>
          <w:p w14:paraId="194D6EE9">
            <w:pPr>
              <w:jc w:val="center"/>
              <w:rPr>
                <w:color w:val="auto"/>
                <w:highlight w:val="none"/>
              </w:rPr>
            </w:pPr>
          </w:p>
        </w:tc>
      </w:tr>
      <w:tr w14:paraId="3514F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9" w:type="dxa"/>
            <w:vAlign w:val="center"/>
          </w:tcPr>
          <w:p w14:paraId="6A3DFF63">
            <w:pPr>
              <w:jc w:val="center"/>
              <w:rPr>
                <w:color w:val="auto"/>
                <w:highlight w:val="none"/>
              </w:rPr>
            </w:pPr>
          </w:p>
        </w:tc>
        <w:tc>
          <w:tcPr>
            <w:tcW w:w="1168" w:type="dxa"/>
            <w:vAlign w:val="center"/>
          </w:tcPr>
          <w:p w14:paraId="287BDB8D">
            <w:pPr>
              <w:jc w:val="center"/>
              <w:rPr>
                <w:color w:val="auto"/>
                <w:highlight w:val="none"/>
              </w:rPr>
            </w:pPr>
          </w:p>
        </w:tc>
        <w:tc>
          <w:tcPr>
            <w:tcW w:w="1168" w:type="dxa"/>
            <w:vAlign w:val="center"/>
          </w:tcPr>
          <w:p w14:paraId="48BBD47E">
            <w:pPr>
              <w:jc w:val="center"/>
              <w:rPr>
                <w:color w:val="auto"/>
                <w:highlight w:val="none"/>
              </w:rPr>
            </w:pPr>
          </w:p>
        </w:tc>
        <w:tc>
          <w:tcPr>
            <w:tcW w:w="1168" w:type="dxa"/>
            <w:vAlign w:val="center"/>
          </w:tcPr>
          <w:p w14:paraId="75A78A15">
            <w:pPr>
              <w:jc w:val="center"/>
              <w:rPr>
                <w:color w:val="auto"/>
                <w:highlight w:val="none"/>
              </w:rPr>
            </w:pPr>
          </w:p>
        </w:tc>
        <w:tc>
          <w:tcPr>
            <w:tcW w:w="1168" w:type="dxa"/>
            <w:vAlign w:val="center"/>
          </w:tcPr>
          <w:p w14:paraId="01F5D447">
            <w:pPr>
              <w:jc w:val="center"/>
              <w:rPr>
                <w:color w:val="auto"/>
                <w:highlight w:val="none"/>
              </w:rPr>
            </w:pPr>
          </w:p>
        </w:tc>
        <w:tc>
          <w:tcPr>
            <w:tcW w:w="1168" w:type="dxa"/>
            <w:vAlign w:val="center"/>
          </w:tcPr>
          <w:p w14:paraId="142EF930">
            <w:pPr>
              <w:jc w:val="center"/>
              <w:rPr>
                <w:color w:val="auto"/>
                <w:highlight w:val="none"/>
              </w:rPr>
            </w:pPr>
          </w:p>
        </w:tc>
        <w:tc>
          <w:tcPr>
            <w:tcW w:w="1168" w:type="dxa"/>
            <w:vAlign w:val="center"/>
          </w:tcPr>
          <w:p w14:paraId="34259FA8">
            <w:pPr>
              <w:jc w:val="center"/>
              <w:rPr>
                <w:color w:val="auto"/>
                <w:highlight w:val="none"/>
              </w:rPr>
            </w:pPr>
          </w:p>
        </w:tc>
        <w:tc>
          <w:tcPr>
            <w:tcW w:w="1005" w:type="dxa"/>
            <w:vAlign w:val="center"/>
          </w:tcPr>
          <w:p w14:paraId="18AB4488">
            <w:pPr>
              <w:jc w:val="center"/>
              <w:rPr>
                <w:color w:val="auto"/>
                <w:highlight w:val="none"/>
              </w:rPr>
            </w:pPr>
          </w:p>
        </w:tc>
      </w:tr>
    </w:tbl>
    <w:p w14:paraId="1735FBA1">
      <w:pPr>
        <w:rPr>
          <w:color w:val="auto"/>
          <w:highlight w:val="none"/>
        </w:rPr>
      </w:pPr>
    </w:p>
    <w:p w14:paraId="4B79607D">
      <w:pPr>
        <w:rPr>
          <w:color w:val="auto"/>
          <w:highlight w:val="none"/>
        </w:rPr>
      </w:pPr>
      <w:r>
        <w:rPr>
          <w:rFonts w:hint="eastAsia"/>
          <w:color w:val="auto"/>
          <w:highlight w:val="none"/>
        </w:rPr>
        <w:t>附件四：</w:t>
      </w:r>
    </w:p>
    <w:p w14:paraId="13B199F2">
      <w:pPr>
        <w:rPr>
          <w:color w:val="auto"/>
          <w:highlight w:val="none"/>
        </w:rPr>
      </w:pPr>
    </w:p>
    <w:p w14:paraId="11B9FEA4">
      <w:pPr>
        <w:jc w:val="center"/>
        <w:rPr>
          <w:b/>
          <w:color w:val="auto"/>
          <w:highlight w:val="none"/>
        </w:rPr>
      </w:pPr>
      <w:r>
        <w:rPr>
          <w:rFonts w:hint="eastAsia"/>
          <w:b/>
          <w:color w:val="auto"/>
          <w:highlight w:val="none"/>
        </w:rPr>
        <w:t>计划开工日期、完工日期和施工进度网络图</w:t>
      </w:r>
    </w:p>
    <w:p w14:paraId="5CE37F9D">
      <w:pPr>
        <w:rPr>
          <w:color w:val="auto"/>
          <w:highlight w:val="none"/>
        </w:rPr>
      </w:pPr>
      <w:r>
        <w:rPr>
          <w:rFonts w:hint="eastAsia"/>
          <w:color w:val="auto"/>
          <w:highlight w:val="none"/>
        </w:rPr>
        <w:t>　　1.投标人应递交施工进度网络图或施工进度表，说明按招标文件要求的计划工期进行施工的各个关键日期。</w:t>
      </w:r>
    </w:p>
    <w:p w14:paraId="4DD7E596">
      <w:pPr>
        <w:rPr>
          <w:color w:val="auto"/>
          <w:highlight w:val="none"/>
        </w:rPr>
      </w:pPr>
      <w:r>
        <w:rPr>
          <w:rFonts w:hint="eastAsia"/>
          <w:color w:val="auto"/>
          <w:highlight w:val="none"/>
        </w:rPr>
        <w:t>　　2.施工进度表可采用　　　　　　　　　　网络图</w:t>
      </w:r>
      <w:r>
        <w:rPr>
          <w:rFonts w:hint="eastAsia"/>
          <w:color w:val="auto"/>
          <w:highlight w:val="none"/>
          <w:lang w:eastAsia="zh-CN"/>
        </w:rPr>
        <w:t>（</w:t>
      </w:r>
      <w:r>
        <w:rPr>
          <w:rFonts w:hint="eastAsia"/>
          <w:color w:val="auto"/>
          <w:highlight w:val="none"/>
        </w:rPr>
        <w:t>或横道图</w:t>
      </w:r>
      <w:r>
        <w:rPr>
          <w:rFonts w:hint="eastAsia"/>
          <w:color w:val="auto"/>
          <w:highlight w:val="none"/>
          <w:lang w:eastAsia="zh-CN"/>
        </w:rPr>
        <w:t>）</w:t>
      </w:r>
      <w:r>
        <w:rPr>
          <w:rFonts w:hint="eastAsia"/>
          <w:color w:val="auto"/>
          <w:highlight w:val="none"/>
        </w:rPr>
        <w:t>表示。</w:t>
      </w:r>
    </w:p>
    <w:p w14:paraId="3156CF10">
      <w:pPr>
        <w:rPr>
          <w:color w:val="auto"/>
          <w:highlight w:val="none"/>
        </w:rPr>
      </w:pPr>
    </w:p>
    <w:p w14:paraId="7117D734">
      <w:pPr>
        <w:rPr>
          <w:color w:val="auto"/>
          <w:highlight w:val="none"/>
        </w:rPr>
      </w:pPr>
      <w:r>
        <w:rPr>
          <w:rFonts w:hint="eastAsia"/>
          <w:color w:val="auto"/>
          <w:highlight w:val="none"/>
        </w:rPr>
        <w:t>附件五：</w:t>
      </w:r>
    </w:p>
    <w:p w14:paraId="4B96BBDD">
      <w:pPr>
        <w:jc w:val="center"/>
        <w:rPr>
          <w:b/>
          <w:color w:val="auto"/>
          <w:highlight w:val="none"/>
        </w:rPr>
      </w:pPr>
      <w:r>
        <w:rPr>
          <w:rFonts w:hint="eastAsia"/>
          <w:b/>
          <w:color w:val="auto"/>
          <w:highlight w:val="none"/>
        </w:rPr>
        <w:t>施工总平面图</w:t>
      </w:r>
    </w:p>
    <w:p w14:paraId="0A29CEC1">
      <w:pPr>
        <w:rPr>
          <w:color w:val="auto"/>
          <w:highlight w:val="none"/>
        </w:rPr>
      </w:pPr>
      <w:r>
        <w:rPr>
          <w:rFonts w:hint="eastAsia"/>
          <w:color w:val="auto"/>
          <w:highlight w:val="none"/>
        </w:rPr>
        <w:t>　　投标人应递交一份施工总平面图，绘出现场临时设施布置图及表并附文字说明，说明临时设施、加工车间、现场办公、设备及仓储、供电、供水、卫生、生活、道路、消防等设施的情况和布置。</w:t>
      </w:r>
    </w:p>
    <w:p w14:paraId="541A5BAA">
      <w:pPr>
        <w:rPr>
          <w:color w:val="auto"/>
          <w:highlight w:val="none"/>
        </w:rPr>
      </w:pPr>
    </w:p>
    <w:p w14:paraId="7A3E746E">
      <w:pPr>
        <w:rPr>
          <w:color w:val="auto"/>
          <w:highlight w:val="none"/>
        </w:rPr>
      </w:pPr>
      <w:r>
        <w:rPr>
          <w:rFonts w:hint="eastAsia"/>
          <w:color w:val="auto"/>
          <w:highlight w:val="none"/>
        </w:rPr>
        <w:t>附件六：</w:t>
      </w:r>
    </w:p>
    <w:p w14:paraId="31DF3566">
      <w:pPr>
        <w:jc w:val="center"/>
        <w:rPr>
          <w:b/>
          <w:color w:val="auto"/>
          <w:highlight w:val="none"/>
        </w:rPr>
      </w:pPr>
      <w:r>
        <w:rPr>
          <w:rFonts w:hint="eastAsia"/>
          <w:b/>
          <w:color w:val="auto"/>
          <w:highlight w:val="none"/>
        </w:rPr>
        <w:t>临时用地表</w:t>
      </w:r>
    </w:p>
    <w:tbl>
      <w:tblPr>
        <w:tblStyle w:val="2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27"/>
        <w:gridCol w:w="2336"/>
        <w:gridCol w:w="2336"/>
        <w:gridCol w:w="2173"/>
      </w:tblGrid>
      <w:tr w14:paraId="7BCE4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7" w:type="dxa"/>
            <w:vAlign w:val="center"/>
          </w:tcPr>
          <w:p w14:paraId="6A96B4E1">
            <w:pPr>
              <w:jc w:val="center"/>
              <w:rPr>
                <w:color w:val="auto"/>
                <w:highlight w:val="none"/>
              </w:rPr>
            </w:pPr>
            <w:r>
              <w:rPr>
                <w:rFonts w:hint="eastAsia"/>
                <w:color w:val="auto"/>
                <w:highlight w:val="none"/>
              </w:rPr>
              <w:t>用途</w:t>
            </w:r>
          </w:p>
        </w:tc>
        <w:tc>
          <w:tcPr>
            <w:tcW w:w="2336" w:type="dxa"/>
            <w:vAlign w:val="center"/>
          </w:tcPr>
          <w:p w14:paraId="79292A27">
            <w:pPr>
              <w:jc w:val="center"/>
              <w:rPr>
                <w:rFonts w:hint="eastAsia" w:eastAsia="宋体"/>
                <w:color w:val="auto"/>
                <w:highlight w:val="none"/>
                <w:lang w:eastAsia="zh-CN"/>
              </w:rPr>
            </w:pPr>
            <w:r>
              <w:rPr>
                <w:rFonts w:hint="eastAsia"/>
                <w:color w:val="auto"/>
                <w:highlight w:val="none"/>
              </w:rPr>
              <w:t>面积</w:t>
            </w:r>
            <w:r>
              <w:rPr>
                <w:rFonts w:hint="eastAsia"/>
                <w:color w:val="auto"/>
                <w:highlight w:val="none"/>
                <w:lang w:eastAsia="zh-CN"/>
              </w:rPr>
              <w:t>（</w:t>
            </w:r>
            <w:r>
              <w:rPr>
                <w:rFonts w:hint="eastAsia"/>
                <w:color w:val="auto"/>
                <w:highlight w:val="none"/>
              </w:rPr>
              <w:t>m2</w:t>
            </w:r>
            <w:r>
              <w:rPr>
                <w:rFonts w:hint="eastAsia"/>
                <w:color w:val="auto"/>
                <w:highlight w:val="none"/>
                <w:lang w:eastAsia="zh-CN"/>
              </w:rPr>
              <w:t>）</w:t>
            </w:r>
          </w:p>
        </w:tc>
        <w:tc>
          <w:tcPr>
            <w:tcW w:w="2336" w:type="dxa"/>
            <w:vAlign w:val="center"/>
          </w:tcPr>
          <w:p w14:paraId="64C92C2E">
            <w:pPr>
              <w:jc w:val="center"/>
              <w:rPr>
                <w:color w:val="auto"/>
                <w:highlight w:val="none"/>
              </w:rPr>
            </w:pPr>
            <w:r>
              <w:rPr>
                <w:rFonts w:hint="eastAsia"/>
                <w:color w:val="auto"/>
                <w:highlight w:val="none"/>
              </w:rPr>
              <w:t>位置</w:t>
            </w:r>
          </w:p>
        </w:tc>
        <w:tc>
          <w:tcPr>
            <w:tcW w:w="2173" w:type="dxa"/>
            <w:vAlign w:val="center"/>
          </w:tcPr>
          <w:p w14:paraId="054D9918">
            <w:pPr>
              <w:jc w:val="center"/>
              <w:rPr>
                <w:color w:val="auto"/>
                <w:highlight w:val="none"/>
              </w:rPr>
            </w:pPr>
            <w:r>
              <w:rPr>
                <w:rFonts w:hint="eastAsia"/>
                <w:color w:val="auto"/>
                <w:highlight w:val="none"/>
              </w:rPr>
              <w:t>需用时间</w:t>
            </w:r>
          </w:p>
        </w:tc>
      </w:tr>
      <w:tr w14:paraId="16399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7" w:type="dxa"/>
            <w:vAlign w:val="center"/>
          </w:tcPr>
          <w:p w14:paraId="268B7751">
            <w:pPr>
              <w:jc w:val="center"/>
              <w:rPr>
                <w:color w:val="auto"/>
                <w:highlight w:val="none"/>
              </w:rPr>
            </w:pPr>
          </w:p>
        </w:tc>
        <w:tc>
          <w:tcPr>
            <w:tcW w:w="2336" w:type="dxa"/>
            <w:vAlign w:val="center"/>
          </w:tcPr>
          <w:p w14:paraId="67FED063">
            <w:pPr>
              <w:jc w:val="center"/>
              <w:rPr>
                <w:color w:val="auto"/>
                <w:highlight w:val="none"/>
              </w:rPr>
            </w:pPr>
          </w:p>
        </w:tc>
        <w:tc>
          <w:tcPr>
            <w:tcW w:w="2336" w:type="dxa"/>
            <w:vAlign w:val="center"/>
          </w:tcPr>
          <w:p w14:paraId="55B49229">
            <w:pPr>
              <w:jc w:val="center"/>
              <w:rPr>
                <w:color w:val="auto"/>
                <w:highlight w:val="none"/>
              </w:rPr>
            </w:pPr>
          </w:p>
        </w:tc>
        <w:tc>
          <w:tcPr>
            <w:tcW w:w="2173" w:type="dxa"/>
            <w:vAlign w:val="center"/>
          </w:tcPr>
          <w:p w14:paraId="5DFB88E6">
            <w:pPr>
              <w:jc w:val="center"/>
              <w:rPr>
                <w:color w:val="auto"/>
                <w:highlight w:val="none"/>
              </w:rPr>
            </w:pPr>
          </w:p>
        </w:tc>
      </w:tr>
      <w:tr w14:paraId="78136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7" w:type="dxa"/>
            <w:vAlign w:val="center"/>
          </w:tcPr>
          <w:p w14:paraId="46C600F9">
            <w:pPr>
              <w:jc w:val="center"/>
              <w:rPr>
                <w:color w:val="auto"/>
                <w:highlight w:val="none"/>
              </w:rPr>
            </w:pPr>
          </w:p>
        </w:tc>
        <w:tc>
          <w:tcPr>
            <w:tcW w:w="2336" w:type="dxa"/>
            <w:vAlign w:val="center"/>
          </w:tcPr>
          <w:p w14:paraId="6172311D">
            <w:pPr>
              <w:jc w:val="center"/>
              <w:rPr>
                <w:color w:val="auto"/>
                <w:highlight w:val="none"/>
              </w:rPr>
            </w:pPr>
          </w:p>
        </w:tc>
        <w:tc>
          <w:tcPr>
            <w:tcW w:w="2336" w:type="dxa"/>
            <w:vAlign w:val="center"/>
          </w:tcPr>
          <w:p w14:paraId="0706BCFC">
            <w:pPr>
              <w:jc w:val="center"/>
              <w:rPr>
                <w:color w:val="auto"/>
                <w:highlight w:val="none"/>
              </w:rPr>
            </w:pPr>
          </w:p>
        </w:tc>
        <w:tc>
          <w:tcPr>
            <w:tcW w:w="2173" w:type="dxa"/>
            <w:vAlign w:val="center"/>
          </w:tcPr>
          <w:p w14:paraId="7399ECF6">
            <w:pPr>
              <w:jc w:val="center"/>
              <w:rPr>
                <w:color w:val="auto"/>
                <w:highlight w:val="none"/>
              </w:rPr>
            </w:pPr>
          </w:p>
        </w:tc>
      </w:tr>
      <w:tr w14:paraId="53F42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7" w:type="dxa"/>
            <w:vAlign w:val="center"/>
          </w:tcPr>
          <w:p w14:paraId="311B7E53">
            <w:pPr>
              <w:jc w:val="center"/>
              <w:rPr>
                <w:color w:val="auto"/>
                <w:highlight w:val="none"/>
              </w:rPr>
            </w:pPr>
          </w:p>
        </w:tc>
        <w:tc>
          <w:tcPr>
            <w:tcW w:w="2336" w:type="dxa"/>
            <w:vAlign w:val="center"/>
          </w:tcPr>
          <w:p w14:paraId="0EAB4A2E">
            <w:pPr>
              <w:jc w:val="center"/>
              <w:rPr>
                <w:color w:val="auto"/>
                <w:highlight w:val="none"/>
              </w:rPr>
            </w:pPr>
          </w:p>
        </w:tc>
        <w:tc>
          <w:tcPr>
            <w:tcW w:w="2336" w:type="dxa"/>
            <w:vAlign w:val="center"/>
          </w:tcPr>
          <w:p w14:paraId="3A892779">
            <w:pPr>
              <w:jc w:val="center"/>
              <w:rPr>
                <w:color w:val="auto"/>
                <w:highlight w:val="none"/>
              </w:rPr>
            </w:pPr>
          </w:p>
        </w:tc>
        <w:tc>
          <w:tcPr>
            <w:tcW w:w="2173" w:type="dxa"/>
            <w:vAlign w:val="center"/>
          </w:tcPr>
          <w:p w14:paraId="57D26546">
            <w:pPr>
              <w:jc w:val="center"/>
              <w:rPr>
                <w:color w:val="auto"/>
                <w:highlight w:val="none"/>
              </w:rPr>
            </w:pPr>
          </w:p>
        </w:tc>
      </w:tr>
    </w:tbl>
    <w:p w14:paraId="15576AAA">
      <w:pPr>
        <w:rPr>
          <w:color w:val="auto"/>
          <w:highlight w:val="none"/>
        </w:rPr>
      </w:pPr>
    </w:p>
    <w:p w14:paraId="64D7A6B8">
      <w:pPr>
        <w:rPr>
          <w:color w:val="auto"/>
          <w:highlight w:val="none"/>
        </w:rPr>
      </w:pPr>
    </w:p>
    <w:p w14:paraId="623199A0">
      <w:pPr>
        <w:jc w:val="center"/>
        <w:outlineLvl w:val="2"/>
        <w:rPr>
          <w:rFonts w:ascii="黑体" w:hAnsi="黑体" w:eastAsia="黑体"/>
          <w:b/>
          <w:color w:val="auto"/>
          <w:sz w:val="32"/>
          <w:szCs w:val="32"/>
          <w:highlight w:val="none"/>
        </w:rPr>
      </w:pPr>
      <w:bookmarkStart w:id="1142" w:name="第08章投标文件格式07"/>
      <w:bookmarkEnd w:id="1142"/>
      <w:bookmarkStart w:id="1143" w:name="_Toc2042"/>
      <w:r>
        <w:rPr>
          <w:rFonts w:hint="eastAsia" w:ascii="黑体" w:hAnsi="黑体" w:eastAsia="黑体"/>
          <w:b/>
          <w:color w:val="auto"/>
          <w:sz w:val="32"/>
          <w:szCs w:val="32"/>
          <w:highlight w:val="none"/>
          <w:lang w:val="en-US" w:eastAsia="zh-CN"/>
        </w:rPr>
        <w:t>八</w:t>
      </w:r>
      <w:r>
        <w:rPr>
          <w:rFonts w:hint="eastAsia" w:ascii="黑体" w:hAnsi="黑体" w:eastAsia="黑体"/>
          <w:b/>
          <w:color w:val="auto"/>
          <w:sz w:val="32"/>
          <w:szCs w:val="32"/>
          <w:highlight w:val="none"/>
        </w:rPr>
        <w:t>、项目管理机构表</w:t>
      </w:r>
      <w:bookmarkEnd w:id="1143"/>
    </w:p>
    <w:p w14:paraId="22DB8E7E">
      <w:pPr>
        <w:rPr>
          <w:b/>
          <w:color w:val="auto"/>
          <w:highlight w:val="none"/>
        </w:rPr>
      </w:pPr>
    </w:p>
    <w:p w14:paraId="481EC983">
      <w:pPr>
        <w:rPr>
          <w:b/>
          <w:color w:val="auto"/>
          <w:highlight w:val="none"/>
        </w:rPr>
      </w:pPr>
      <w:r>
        <w:rPr>
          <w:rFonts w:hint="eastAsia"/>
          <w:b/>
          <w:color w:val="auto"/>
          <w:highlight w:val="none"/>
        </w:rPr>
        <w:t>　</w:t>
      </w:r>
      <w:r>
        <w:rPr>
          <w:rFonts w:hint="eastAsia"/>
          <w:color w:val="auto"/>
          <w:highlight w:val="none"/>
        </w:rPr>
        <w:t>　</w:t>
      </w:r>
      <w:r>
        <w:rPr>
          <w:rFonts w:hint="eastAsia"/>
          <w:color w:val="auto"/>
          <w:highlight w:val="none"/>
          <w:lang w:eastAsia="zh-CN"/>
        </w:rPr>
        <w:t>（</w:t>
      </w:r>
      <w:r>
        <w:rPr>
          <w:rFonts w:hint="eastAsia"/>
          <w:color w:val="auto"/>
          <w:highlight w:val="none"/>
        </w:rPr>
        <w:t>一</w:t>
      </w:r>
      <w:r>
        <w:rPr>
          <w:rFonts w:hint="eastAsia"/>
          <w:color w:val="auto"/>
          <w:highlight w:val="none"/>
          <w:lang w:eastAsia="zh-CN"/>
        </w:rPr>
        <w:t>）</w:t>
      </w:r>
      <w:r>
        <w:rPr>
          <w:rFonts w:hint="eastAsia"/>
          <w:color w:val="auto"/>
          <w:highlight w:val="none"/>
        </w:rPr>
        <w:t>项目管理机构组成表</w:t>
      </w:r>
    </w:p>
    <w:tbl>
      <w:tblPr>
        <w:tblStyle w:val="2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9"/>
        <w:gridCol w:w="992"/>
        <w:gridCol w:w="993"/>
        <w:gridCol w:w="1134"/>
        <w:gridCol w:w="708"/>
        <w:gridCol w:w="1276"/>
        <w:gridCol w:w="992"/>
        <w:gridCol w:w="1392"/>
        <w:gridCol w:w="876"/>
      </w:tblGrid>
      <w:tr w14:paraId="3F342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restart"/>
            <w:vAlign w:val="center"/>
          </w:tcPr>
          <w:p w14:paraId="6626BD6E">
            <w:pPr>
              <w:jc w:val="center"/>
              <w:rPr>
                <w:color w:val="auto"/>
                <w:highlight w:val="none"/>
              </w:rPr>
            </w:pPr>
            <w:r>
              <w:rPr>
                <w:rFonts w:hint="eastAsia"/>
                <w:color w:val="auto"/>
                <w:highlight w:val="none"/>
              </w:rPr>
              <w:t>职务</w:t>
            </w:r>
          </w:p>
        </w:tc>
        <w:tc>
          <w:tcPr>
            <w:tcW w:w="992" w:type="dxa"/>
            <w:vMerge w:val="restart"/>
            <w:vAlign w:val="center"/>
          </w:tcPr>
          <w:p w14:paraId="777F36EB">
            <w:pPr>
              <w:jc w:val="center"/>
              <w:rPr>
                <w:color w:val="auto"/>
                <w:highlight w:val="none"/>
              </w:rPr>
            </w:pPr>
            <w:r>
              <w:rPr>
                <w:rFonts w:hint="eastAsia"/>
                <w:color w:val="auto"/>
                <w:highlight w:val="none"/>
              </w:rPr>
              <w:t>姓名</w:t>
            </w:r>
          </w:p>
        </w:tc>
        <w:tc>
          <w:tcPr>
            <w:tcW w:w="993" w:type="dxa"/>
            <w:vMerge w:val="restart"/>
            <w:vAlign w:val="center"/>
          </w:tcPr>
          <w:p w14:paraId="05A4F710">
            <w:pPr>
              <w:jc w:val="center"/>
              <w:rPr>
                <w:color w:val="auto"/>
                <w:highlight w:val="none"/>
              </w:rPr>
            </w:pPr>
            <w:r>
              <w:rPr>
                <w:rFonts w:hint="eastAsia"/>
                <w:color w:val="auto"/>
                <w:highlight w:val="none"/>
              </w:rPr>
              <w:t>职称</w:t>
            </w:r>
          </w:p>
        </w:tc>
        <w:tc>
          <w:tcPr>
            <w:tcW w:w="5502" w:type="dxa"/>
            <w:gridSpan w:val="5"/>
            <w:vAlign w:val="center"/>
          </w:tcPr>
          <w:p w14:paraId="126A9516">
            <w:pPr>
              <w:jc w:val="center"/>
              <w:rPr>
                <w:color w:val="auto"/>
                <w:highlight w:val="none"/>
              </w:rPr>
            </w:pPr>
            <w:r>
              <w:rPr>
                <w:rFonts w:hint="eastAsia"/>
                <w:color w:val="auto"/>
                <w:highlight w:val="none"/>
              </w:rPr>
              <w:t>执业或职业资格证明</w:t>
            </w:r>
          </w:p>
        </w:tc>
        <w:tc>
          <w:tcPr>
            <w:tcW w:w="876" w:type="dxa"/>
            <w:vMerge w:val="restart"/>
            <w:vAlign w:val="center"/>
          </w:tcPr>
          <w:p w14:paraId="57452B7A">
            <w:pPr>
              <w:jc w:val="center"/>
              <w:rPr>
                <w:color w:val="auto"/>
                <w:highlight w:val="none"/>
              </w:rPr>
            </w:pPr>
            <w:r>
              <w:rPr>
                <w:rFonts w:hint="eastAsia"/>
                <w:color w:val="auto"/>
                <w:highlight w:val="none"/>
              </w:rPr>
              <w:t>备注</w:t>
            </w:r>
          </w:p>
        </w:tc>
      </w:tr>
      <w:tr w14:paraId="1229D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vMerge w:val="continue"/>
          </w:tcPr>
          <w:p w14:paraId="3B63CA11">
            <w:pPr>
              <w:rPr>
                <w:color w:val="auto"/>
                <w:highlight w:val="none"/>
              </w:rPr>
            </w:pPr>
          </w:p>
        </w:tc>
        <w:tc>
          <w:tcPr>
            <w:tcW w:w="992" w:type="dxa"/>
            <w:vMerge w:val="continue"/>
          </w:tcPr>
          <w:p w14:paraId="47F6722D">
            <w:pPr>
              <w:rPr>
                <w:color w:val="auto"/>
                <w:highlight w:val="none"/>
              </w:rPr>
            </w:pPr>
          </w:p>
        </w:tc>
        <w:tc>
          <w:tcPr>
            <w:tcW w:w="993" w:type="dxa"/>
            <w:vMerge w:val="continue"/>
          </w:tcPr>
          <w:p w14:paraId="3BB0539C">
            <w:pPr>
              <w:rPr>
                <w:color w:val="auto"/>
                <w:highlight w:val="none"/>
              </w:rPr>
            </w:pPr>
          </w:p>
        </w:tc>
        <w:tc>
          <w:tcPr>
            <w:tcW w:w="1134" w:type="dxa"/>
            <w:vAlign w:val="center"/>
          </w:tcPr>
          <w:p w14:paraId="65EE5A9A">
            <w:pPr>
              <w:jc w:val="center"/>
              <w:rPr>
                <w:color w:val="auto"/>
                <w:highlight w:val="none"/>
              </w:rPr>
            </w:pPr>
            <w:r>
              <w:rPr>
                <w:rFonts w:hint="eastAsia"/>
                <w:color w:val="auto"/>
                <w:highlight w:val="none"/>
              </w:rPr>
              <w:t>证书名称</w:t>
            </w:r>
          </w:p>
        </w:tc>
        <w:tc>
          <w:tcPr>
            <w:tcW w:w="708" w:type="dxa"/>
            <w:vAlign w:val="center"/>
          </w:tcPr>
          <w:p w14:paraId="79C1F24B">
            <w:pPr>
              <w:jc w:val="center"/>
              <w:rPr>
                <w:color w:val="auto"/>
                <w:highlight w:val="none"/>
              </w:rPr>
            </w:pPr>
            <w:r>
              <w:rPr>
                <w:rFonts w:hint="eastAsia"/>
                <w:color w:val="auto"/>
                <w:highlight w:val="none"/>
              </w:rPr>
              <w:t>级别</w:t>
            </w:r>
          </w:p>
        </w:tc>
        <w:tc>
          <w:tcPr>
            <w:tcW w:w="1276" w:type="dxa"/>
            <w:vAlign w:val="center"/>
          </w:tcPr>
          <w:p w14:paraId="5920D826">
            <w:pPr>
              <w:jc w:val="center"/>
              <w:rPr>
                <w:color w:val="auto"/>
                <w:highlight w:val="none"/>
              </w:rPr>
            </w:pPr>
            <w:r>
              <w:rPr>
                <w:rFonts w:hint="eastAsia"/>
                <w:color w:val="auto"/>
                <w:highlight w:val="none"/>
              </w:rPr>
              <w:t>证号</w:t>
            </w:r>
          </w:p>
        </w:tc>
        <w:tc>
          <w:tcPr>
            <w:tcW w:w="992" w:type="dxa"/>
            <w:vAlign w:val="center"/>
          </w:tcPr>
          <w:p w14:paraId="2DA1011C">
            <w:pPr>
              <w:jc w:val="center"/>
              <w:rPr>
                <w:color w:val="auto"/>
                <w:highlight w:val="none"/>
              </w:rPr>
            </w:pPr>
            <w:r>
              <w:rPr>
                <w:rFonts w:hint="eastAsia"/>
                <w:color w:val="auto"/>
                <w:highlight w:val="none"/>
              </w:rPr>
              <w:t>专业</w:t>
            </w:r>
          </w:p>
        </w:tc>
        <w:tc>
          <w:tcPr>
            <w:tcW w:w="1392" w:type="dxa"/>
            <w:vAlign w:val="center"/>
          </w:tcPr>
          <w:p w14:paraId="16450732">
            <w:pPr>
              <w:jc w:val="center"/>
              <w:rPr>
                <w:color w:val="auto"/>
                <w:highlight w:val="none"/>
              </w:rPr>
            </w:pPr>
            <w:r>
              <w:rPr>
                <w:rFonts w:hint="eastAsia"/>
                <w:color w:val="auto"/>
                <w:highlight w:val="none"/>
              </w:rPr>
              <w:t>社会保险</w:t>
            </w:r>
          </w:p>
        </w:tc>
        <w:tc>
          <w:tcPr>
            <w:tcW w:w="876" w:type="dxa"/>
            <w:vMerge w:val="continue"/>
          </w:tcPr>
          <w:p w14:paraId="70AC59F1">
            <w:pPr>
              <w:rPr>
                <w:color w:val="auto"/>
                <w:highlight w:val="none"/>
              </w:rPr>
            </w:pPr>
          </w:p>
        </w:tc>
      </w:tr>
      <w:tr w14:paraId="6ED52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325A7954">
            <w:pPr>
              <w:rPr>
                <w:color w:val="auto"/>
                <w:highlight w:val="none"/>
              </w:rPr>
            </w:pPr>
          </w:p>
        </w:tc>
        <w:tc>
          <w:tcPr>
            <w:tcW w:w="992" w:type="dxa"/>
          </w:tcPr>
          <w:p w14:paraId="65B10784">
            <w:pPr>
              <w:rPr>
                <w:color w:val="auto"/>
                <w:highlight w:val="none"/>
              </w:rPr>
            </w:pPr>
          </w:p>
        </w:tc>
        <w:tc>
          <w:tcPr>
            <w:tcW w:w="993" w:type="dxa"/>
          </w:tcPr>
          <w:p w14:paraId="428A4D14">
            <w:pPr>
              <w:rPr>
                <w:color w:val="auto"/>
                <w:highlight w:val="none"/>
              </w:rPr>
            </w:pPr>
          </w:p>
        </w:tc>
        <w:tc>
          <w:tcPr>
            <w:tcW w:w="1134" w:type="dxa"/>
            <w:vAlign w:val="center"/>
          </w:tcPr>
          <w:p w14:paraId="7ED2394E">
            <w:pPr>
              <w:jc w:val="center"/>
              <w:rPr>
                <w:color w:val="auto"/>
                <w:highlight w:val="none"/>
              </w:rPr>
            </w:pPr>
          </w:p>
        </w:tc>
        <w:tc>
          <w:tcPr>
            <w:tcW w:w="708" w:type="dxa"/>
            <w:vAlign w:val="center"/>
          </w:tcPr>
          <w:p w14:paraId="6528740F">
            <w:pPr>
              <w:jc w:val="center"/>
              <w:rPr>
                <w:color w:val="auto"/>
                <w:highlight w:val="none"/>
              </w:rPr>
            </w:pPr>
          </w:p>
        </w:tc>
        <w:tc>
          <w:tcPr>
            <w:tcW w:w="1276" w:type="dxa"/>
            <w:vAlign w:val="center"/>
          </w:tcPr>
          <w:p w14:paraId="16C7727D">
            <w:pPr>
              <w:jc w:val="center"/>
              <w:rPr>
                <w:color w:val="auto"/>
                <w:highlight w:val="none"/>
              </w:rPr>
            </w:pPr>
          </w:p>
        </w:tc>
        <w:tc>
          <w:tcPr>
            <w:tcW w:w="992" w:type="dxa"/>
            <w:vAlign w:val="center"/>
          </w:tcPr>
          <w:p w14:paraId="6169F479">
            <w:pPr>
              <w:jc w:val="center"/>
              <w:rPr>
                <w:color w:val="auto"/>
                <w:highlight w:val="none"/>
              </w:rPr>
            </w:pPr>
          </w:p>
        </w:tc>
        <w:tc>
          <w:tcPr>
            <w:tcW w:w="1392" w:type="dxa"/>
            <w:vAlign w:val="center"/>
          </w:tcPr>
          <w:p w14:paraId="6181C35E">
            <w:pPr>
              <w:jc w:val="center"/>
              <w:rPr>
                <w:color w:val="auto"/>
                <w:highlight w:val="none"/>
              </w:rPr>
            </w:pPr>
          </w:p>
        </w:tc>
        <w:tc>
          <w:tcPr>
            <w:tcW w:w="876" w:type="dxa"/>
          </w:tcPr>
          <w:p w14:paraId="76D51A75">
            <w:pPr>
              <w:rPr>
                <w:color w:val="auto"/>
                <w:highlight w:val="none"/>
              </w:rPr>
            </w:pPr>
          </w:p>
        </w:tc>
      </w:tr>
      <w:tr w14:paraId="2A359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02AEB551">
            <w:pPr>
              <w:rPr>
                <w:color w:val="auto"/>
                <w:highlight w:val="none"/>
              </w:rPr>
            </w:pPr>
          </w:p>
        </w:tc>
        <w:tc>
          <w:tcPr>
            <w:tcW w:w="992" w:type="dxa"/>
          </w:tcPr>
          <w:p w14:paraId="2ECAEEDB">
            <w:pPr>
              <w:rPr>
                <w:color w:val="auto"/>
                <w:highlight w:val="none"/>
              </w:rPr>
            </w:pPr>
          </w:p>
        </w:tc>
        <w:tc>
          <w:tcPr>
            <w:tcW w:w="993" w:type="dxa"/>
          </w:tcPr>
          <w:p w14:paraId="27A227B2">
            <w:pPr>
              <w:rPr>
                <w:color w:val="auto"/>
                <w:highlight w:val="none"/>
              </w:rPr>
            </w:pPr>
          </w:p>
        </w:tc>
        <w:tc>
          <w:tcPr>
            <w:tcW w:w="1134" w:type="dxa"/>
            <w:vAlign w:val="center"/>
          </w:tcPr>
          <w:p w14:paraId="4653210A">
            <w:pPr>
              <w:jc w:val="center"/>
              <w:rPr>
                <w:color w:val="auto"/>
                <w:highlight w:val="none"/>
              </w:rPr>
            </w:pPr>
          </w:p>
        </w:tc>
        <w:tc>
          <w:tcPr>
            <w:tcW w:w="708" w:type="dxa"/>
            <w:vAlign w:val="center"/>
          </w:tcPr>
          <w:p w14:paraId="72CE49C6">
            <w:pPr>
              <w:jc w:val="center"/>
              <w:rPr>
                <w:color w:val="auto"/>
                <w:highlight w:val="none"/>
              </w:rPr>
            </w:pPr>
          </w:p>
        </w:tc>
        <w:tc>
          <w:tcPr>
            <w:tcW w:w="1276" w:type="dxa"/>
            <w:vAlign w:val="center"/>
          </w:tcPr>
          <w:p w14:paraId="0FBD10C2">
            <w:pPr>
              <w:jc w:val="center"/>
              <w:rPr>
                <w:color w:val="auto"/>
                <w:highlight w:val="none"/>
              </w:rPr>
            </w:pPr>
          </w:p>
        </w:tc>
        <w:tc>
          <w:tcPr>
            <w:tcW w:w="992" w:type="dxa"/>
            <w:vAlign w:val="center"/>
          </w:tcPr>
          <w:p w14:paraId="4BE6ECF0">
            <w:pPr>
              <w:jc w:val="center"/>
              <w:rPr>
                <w:color w:val="auto"/>
                <w:highlight w:val="none"/>
              </w:rPr>
            </w:pPr>
          </w:p>
        </w:tc>
        <w:tc>
          <w:tcPr>
            <w:tcW w:w="1392" w:type="dxa"/>
            <w:vAlign w:val="center"/>
          </w:tcPr>
          <w:p w14:paraId="55B86FBF">
            <w:pPr>
              <w:jc w:val="center"/>
              <w:rPr>
                <w:color w:val="auto"/>
                <w:highlight w:val="none"/>
              </w:rPr>
            </w:pPr>
          </w:p>
        </w:tc>
        <w:tc>
          <w:tcPr>
            <w:tcW w:w="876" w:type="dxa"/>
          </w:tcPr>
          <w:p w14:paraId="1F5959B2">
            <w:pPr>
              <w:rPr>
                <w:color w:val="auto"/>
                <w:highlight w:val="none"/>
              </w:rPr>
            </w:pPr>
          </w:p>
        </w:tc>
      </w:tr>
      <w:tr w14:paraId="673F4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625E7D83">
            <w:pPr>
              <w:rPr>
                <w:color w:val="auto"/>
                <w:highlight w:val="none"/>
              </w:rPr>
            </w:pPr>
          </w:p>
        </w:tc>
        <w:tc>
          <w:tcPr>
            <w:tcW w:w="992" w:type="dxa"/>
          </w:tcPr>
          <w:p w14:paraId="1587E6F5">
            <w:pPr>
              <w:rPr>
                <w:color w:val="auto"/>
                <w:highlight w:val="none"/>
              </w:rPr>
            </w:pPr>
          </w:p>
        </w:tc>
        <w:tc>
          <w:tcPr>
            <w:tcW w:w="993" w:type="dxa"/>
          </w:tcPr>
          <w:p w14:paraId="0109D35A">
            <w:pPr>
              <w:rPr>
                <w:color w:val="auto"/>
                <w:highlight w:val="none"/>
              </w:rPr>
            </w:pPr>
          </w:p>
        </w:tc>
        <w:tc>
          <w:tcPr>
            <w:tcW w:w="1134" w:type="dxa"/>
            <w:vAlign w:val="center"/>
          </w:tcPr>
          <w:p w14:paraId="1EB2A74D">
            <w:pPr>
              <w:jc w:val="center"/>
              <w:rPr>
                <w:color w:val="auto"/>
                <w:highlight w:val="none"/>
              </w:rPr>
            </w:pPr>
          </w:p>
        </w:tc>
        <w:tc>
          <w:tcPr>
            <w:tcW w:w="708" w:type="dxa"/>
            <w:vAlign w:val="center"/>
          </w:tcPr>
          <w:p w14:paraId="13D1E508">
            <w:pPr>
              <w:jc w:val="center"/>
              <w:rPr>
                <w:color w:val="auto"/>
                <w:highlight w:val="none"/>
              </w:rPr>
            </w:pPr>
          </w:p>
        </w:tc>
        <w:tc>
          <w:tcPr>
            <w:tcW w:w="1276" w:type="dxa"/>
            <w:vAlign w:val="center"/>
          </w:tcPr>
          <w:p w14:paraId="71563666">
            <w:pPr>
              <w:jc w:val="center"/>
              <w:rPr>
                <w:color w:val="auto"/>
                <w:highlight w:val="none"/>
              </w:rPr>
            </w:pPr>
          </w:p>
        </w:tc>
        <w:tc>
          <w:tcPr>
            <w:tcW w:w="992" w:type="dxa"/>
            <w:vAlign w:val="center"/>
          </w:tcPr>
          <w:p w14:paraId="66951FD4">
            <w:pPr>
              <w:jc w:val="center"/>
              <w:rPr>
                <w:color w:val="auto"/>
                <w:highlight w:val="none"/>
              </w:rPr>
            </w:pPr>
          </w:p>
        </w:tc>
        <w:tc>
          <w:tcPr>
            <w:tcW w:w="1392" w:type="dxa"/>
            <w:vAlign w:val="center"/>
          </w:tcPr>
          <w:p w14:paraId="0AC92CB6">
            <w:pPr>
              <w:jc w:val="center"/>
              <w:rPr>
                <w:color w:val="auto"/>
                <w:highlight w:val="none"/>
              </w:rPr>
            </w:pPr>
          </w:p>
        </w:tc>
        <w:tc>
          <w:tcPr>
            <w:tcW w:w="876" w:type="dxa"/>
          </w:tcPr>
          <w:p w14:paraId="047455FF">
            <w:pPr>
              <w:rPr>
                <w:color w:val="auto"/>
                <w:highlight w:val="none"/>
              </w:rPr>
            </w:pPr>
          </w:p>
        </w:tc>
      </w:tr>
      <w:tr w14:paraId="10029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17DDF55E">
            <w:pPr>
              <w:rPr>
                <w:color w:val="auto"/>
                <w:highlight w:val="none"/>
              </w:rPr>
            </w:pPr>
          </w:p>
        </w:tc>
        <w:tc>
          <w:tcPr>
            <w:tcW w:w="992" w:type="dxa"/>
          </w:tcPr>
          <w:p w14:paraId="523E4DE7">
            <w:pPr>
              <w:rPr>
                <w:color w:val="auto"/>
                <w:highlight w:val="none"/>
              </w:rPr>
            </w:pPr>
          </w:p>
        </w:tc>
        <w:tc>
          <w:tcPr>
            <w:tcW w:w="993" w:type="dxa"/>
          </w:tcPr>
          <w:p w14:paraId="2DF0D9CA">
            <w:pPr>
              <w:rPr>
                <w:color w:val="auto"/>
                <w:highlight w:val="none"/>
              </w:rPr>
            </w:pPr>
          </w:p>
        </w:tc>
        <w:tc>
          <w:tcPr>
            <w:tcW w:w="1134" w:type="dxa"/>
            <w:vAlign w:val="center"/>
          </w:tcPr>
          <w:p w14:paraId="62FCB9BF">
            <w:pPr>
              <w:jc w:val="center"/>
              <w:rPr>
                <w:color w:val="auto"/>
                <w:highlight w:val="none"/>
              </w:rPr>
            </w:pPr>
          </w:p>
        </w:tc>
        <w:tc>
          <w:tcPr>
            <w:tcW w:w="708" w:type="dxa"/>
            <w:vAlign w:val="center"/>
          </w:tcPr>
          <w:p w14:paraId="0A860AB3">
            <w:pPr>
              <w:jc w:val="center"/>
              <w:rPr>
                <w:color w:val="auto"/>
                <w:highlight w:val="none"/>
              </w:rPr>
            </w:pPr>
          </w:p>
        </w:tc>
        <w:tc>
          <w:tcPr>
            <w:tcW w:w="1276" w:type="dxa"/>
            <w:vAlign w:val="center"/>
          </w:tcPr>
          <w:p w14:paraId="6C397B5F">
            <w:pPr>
              <w:jc w:val="center"/>
              <w:rPr>
                <w:color w:val="auto"/>
                <w:highlight w:val="none"/>
              </w:rPr>
            </w:pPr>
          </w:p>
        </w:tc>
        <w:tc>
          <w:tcPr>
            <w:tcW w:w="992" w:type="dxa"/>
            <w:vAlign w:val="center"/>
          </w:tcPr>
          <w:p w14:paraId="4184E4E5">
            <w:pPr>
              <w:jc w:val="center"/>
              <w:rPr>
                <w:color w:val="auto"/>
                <w:highlight w:val="none"/>
              </w:rPr>
            </w:pPr>
          </w:p>
        </w:tc>
        <w:tc>
          <w:tcPr>
            <w:tcW w:w="1392" w:type="dxa"/>
            <w:vAlign w:val="center"/>
          </w:tcPr>
          <w:p w14:paraId="68FC1284">
            <w:pPr>
              <w:jc w:val="center"/>
              <w:rPr>
                <w:color w:val="auto"/>
                <w:highlight w:val="none"/>
              </w:rPr>
            </w:pPr>
          </w:p>
        </w:tc>
        <w:tc>
          <w:tcPr>
            <w:tcW w:w="876" w:type="dxa"/>
          </w:tcPr>
          <w:p w14:paraId="6ECE492E">
            <w:pPr>
              <w:rPr>
                <w:color w:val="auto"/>
                <w:highlight w:val="none"/>
              </w:rPr>
            </w:pPr>
          </w:p>
        </w:tc>
      </w:tr>
      <w:tr w14:paraId="622F7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6B9BD3F5">
            <w:pPr>
              <w:rPr>
                <w:color w:val="auto"/>
                <w:highlight w:val="none"/>
              </w:rPr>
            </w:pPr>
          </w:p>
        </w:tc>
        <w:tc>
          <w:tcPr>
            <w:tcW w:w="992" w:type="dxa"/>
          </w:tcPr>
          <w:p w14:paraId="41F0BBE7">
            <w:pPr>
              <w:rPr>
                <w:color w:val="auto"/>
                <w:highlight w:val="none"/>
              </w:rPr>
            </w:pPr>
          </w:p>
        </w:tc>
        <w:tc>
          <w:tcPr>
            <w:tcW w:w="993" w:type="dxa"/>
          </w:tcPr>
          <w:p w14:paraId="7614A6D3">
            <w:pPr>
              <w:rPr>
                <w:color w:val="auto"/>
                <w:highlight w:val="none"/>
              </w:rPr>
            </w:pPr>
          </w:p>
        </w:tc>
        <w:tc>
          <w:tcPr>
            <w:tcW w:w="1134" w:type="dxa"/>
            <w:vAlign w:val="center"/>
          </w:tcPr>
          <w:p w14:paraId="561A07D1">
            <w:pPr>
              <w:jc w:val="center"/>
              <w:rPr>
                <w:color w:val="auto"/>
                <w:highlight w:val="none"/>
              </w:rPr>
            </w:pPr>
          </w:p>
        </w:tc>
        <w:tc>
          <w:tcPr>
            <w:tcW w:w="708" w:type="dxa"/>
            <w:vAlign w:val="center"/>
          </w:tcPr>
          <w:p w14:paraId="59FBA8E1">
            <w:pPr>
              <w:jc w:val="center"/>
              <w:rPr>
                <w:color w:val="auto"/>
                <w:highlight w:val="none"/>
              </w:rPr>
            </w:pPr>
          </w:p>
        </w:tc>
        <w:tc>
          <w:tcPr>
            <w:tcW w:w="1276" w:type="dxa"/>
            <w:vAlign w:val="center"/>
          </w:tcPr>
          <w:p w14:paraId="28B71E9F">
            <w:pPr>
              <w:jc w:val="center"/>
              <w:rPr>
                <w:color w:val="auto"/>
                <w:highlight w:val="none"/>
              </w:rPr>
            </w:pPr>
          </w:p>
        </w:tc>
        <w:tc>
          <w:tcPr>
            <w:tcW w:w="992" w:type="dxa"/>
            <w:vAlign w:val="center"/>
          </w:tcPr>
          <w:p w14:paraId="4CF1377E">
            <w:pPr>
              <w:jc w:val="center"/>
              <w:rPr>
                <w:color w:val="auto"/>
                <w:highlight w:val="none"/>
              </w:rPr>
            </w:pPr>
          </w:p>
        </w:tc>
        <w:tc>
          <w:tcPr>
            <w:tcW w:w="1392" w:type="dxa"/>
            <w:vAlign w:val="center"/>
          </w:tcPr>
          <w:p w14:paraId="4B42B3FF">
            <w:pPr>
              <w:jc w:val="center"/>
              <w:rPr>
                <w:color w:val="auto"/>
                <w:highlight w:val="none"/>
              </w:rPr>
            </w:pPr>
          </w:p>
        </w:tc>
        <w:tc>
          <w:tcPr>
            <w:tcW w:w="876" w:type="dxa"/>
          </w:tcPr>
          <w:p w14:paraId="603E14A0">
            <w:pPr>
              <w:rPr>
                <w:color w:val="auto"/>
                <w:highlight w:val="none"/>
              </w:rPr>
            </w:pPr>
          </w:p>
        </w:tc>
      </w:tr>
      <w:tr w14:paraId="1B95C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0A681C70">
            <w:pPr>
              <w:rPr>
                <w:color w:val="auto"/>
                <w:highlight w:val="none"/>
              </w:rPr>
            </w:pPr>
          </w:p>
        </w:tc>
        <w:tc>
          <w:tcPr>
            <w:tcW w:w="992" w:type="dxa"/>
          </w:tcPr>
          <w:p w14:paraId="366DECF5">
            <w:pPr>
              <w:rPr>
                <w:color w:val="auto"/>
                <w:highlight w:val="none"/>
              </w:rPr>
            </w:pPr>
          </w:p>
        </w:tc>
        <w:tc>
          <w:tcPr>
            <w:tcW w:w="993" w:type="dxa"/>
          </w:tcPr>
          <w:p w14:paraId="1DE1D6DF">
            <w:pPr>
              <w:rPr>
                <w:color w:val="auto"/>
                <w:highlight w:val="none"/>
              </w:rPr>
            </w:pPr>
          </w:p>
        </w:tc>
        <w:tc>
          <w:tcPr>
            <w:tcW w:w="1134" w:type="dxa"/>
            <w:vAlign w:val="center"/>
          </w:tcPr>
          <w:p w14:paraId="141131F5">
            <w:pPr>
              <w:jc w:val="center"/>
              <w:rPr>
                <w:color w:val="auto"/>
                <w:highlight w:val="none"/>
              </w:rPr>
            </w:pPr>
          </w:p>
        </w:tc>
        <w:tc>
          <w:tcPr>
            <w:tcW w:w="708" w:type="dxa"/>
            <w:vAlign w:val="center"/>
          </w:tcPr>
          <w:p w14:paraId="0BC502AE">
            <w:pPr>
              <w:jc w:val="center"/>
              <w:rPr>
                <w:color w:val="auto"/>
                <w:highlight w:val="none"/>
              </w:rPr>
            </w:pPr>
          </w:p>
        </w:tc>
        <w:tc>
          <w:tcPr>
            <w:tcW w:w="1276" w:type="dxa"/>
            <w:vAlign w:val="center"/>
          </w:tcPr>
          <w:p w14:paraId="2F6ADE21">
            <w:pPr>
              <w:jc w:val="center"/>
              <w:rPr>
                <w:color w:val="auto"/>
                <w:highlight w:val="none"/>
              </w:rPr>
            </w:pPr>
          </w:p>
        </w:tc>
        <w:tc>
          <w:tcPr>
            <w:tcW w:w="992" w:type="dxa"/>
            <w:vAlign w:val="center"/>
          </w:tcPr>
          <w:p w14:paraId="20E90B1A">
            <w:pPr>
              <w:jc w:val="center"/>
              <w:rPr>
                <w:color w:val="auto"/>
                <w:highlight w:val="none"/>
              </w:rPr>
            </w:pPr>
          </w:p>
        </w:tc>
        <w:tc>
          <w:tcPr>
            <w:tcW w:w="1392" w:type="dxa"/>
            <w:vAlign w:val="center"/>
          </w:tcPr>
          <w:p w14:paraId="0C8418CE">
            <w:pPr>
              <w:jc w:val="center"/>
              <w:rPr>
                <w:color w:val="auto"/>
                <w:highlight w:val="none"/>
              </w:rPr>
            </w:pPr>
          </w:p>
        </w:tc>
        <w:tc>
          <w:tcPr>
            <w:tcW w:w="876" w:type="dxa"/>
          </w:tcPr>
          <w:p w14:paraId="6E8A78E6">
            <w:pPr>
              <w:rPr>
                <w:color w:val="auto"/>
                <w:highlight w:val="none"/>
              </w:rPr>
            </w:pPr>
          </w:p>
        </w:tc>
      </w:tr>
      <w:tr w14:paraId="7EF38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1A61AFA6">
            <w:pPr>
              <w:rPr>
                <w:color w:val="auto"/>
                <w:highlight w:val="none"/>
              </w:rPr>
            </w:pPr>
          </w:p>
        </w:tc>
        <w:tc>
          <w:tcPr>
            <w:tcW w:w="992" w:type="dxa"/>
          </w:tcPr>
          <w:p w14:paraId="080F4C27">
            <w:pPr>
              <w:rPr>
                <w:color w:val="auto"/>
                <w:highlight w:val="none"/>
              </w:rPr>
            </w:pPr>
          </w:p>
        </w:tc>
        <w:tc>
          <w:tcPr>
            <w:tcW w:w="993" w:type="dxa"/>
          </w:tcPr>
          <w:p w14:paraId="7F7E9937">
            <w:pPr>
              <w:rPr>
                <w:color w:val="auto"/>
                <w:highlight w:val="none"/>
              </w:rPr>
            </w:pPr>
          </w:p>
        </w:tc>
        <w:tc>
          <w:tcPr>
            <w:tcW w:w="1134" w:type="dxa"/>
            <w:vAlign w:val="center"/>
          </w:tcPr>
          <w:p w14:paraId="38F7C085">
            <w:pPr>
              <w:jc w:val="center"/>
              <w:rPr>
                <w:color w:val="auto"/>
                <w:highlight w:val="none"/>
              </w:rPr>
            </w:pPr>
          </w:p>
        </w:tc>
        <w:tc>
          <w:tcPr>
            <w:tcW w:w="708" w:type="dxa"/>
            <w:vAlign w:val="center"/>
          </w:tcPr>
          <w:p w14:paraId="48ACD722">
            <w:pPr>
              <w:jc w:val="center"/>
              <w:rPr>
                <w:color w:val="auto"/>
                <w:highlight w:val="none"/>
              </w:rPr>
            </w:pPr>
          </w:p>
        </w:tc>
        <w:tc>
          <w:tcPr>
            <w:tcW w:w="1276" w:type="dxa"/>
            <w:vAlign w:val="center"/>
          </w:tcPr>
          <w:p w14:paraId="3C3C9493">
            <w:pPr>
              <w:jc w:val="center"/>
              <w:rPr>
                <w:color w:val="auto"/>
                <w:highlight w:val="none"/>
              </w:rPr>
            </w:pPr>
          </w:p>
        </w:tc>
        <w:tc>
          <w:tcPr>
            <w:tcW w:w="992" w:type="dxa"/>
            <w:vAlign w:val="center"/>
          </w:tcPr>
          <w:p w14:paraId="11965013">
            <w:pPr>
              <w:jc w:val="center"/>
              <w:rPr>
                <w:color w:val="auto"/>
                <w:highlight w:val="none"/>
              </w:rPr>
            </w:pPr>
          </w:p>
        </w:tc>
        <w:tc>
          <w:tcPr>
            <w:tcW w:w="1392" w:type="dxa"/>
            <w:vAlign w:val="center"/>
          </w:tcPr>
          <w:p w14:paraId="4332DB04">
            <w:pPr>
              <w:jc w:val="center"/>
              <w:rPr>
                <w:color w:val="auto"/>
                <w:highlight w:val="none"/>
              </w:rPr>
            </w:pPr>
          </w:p>
        </w:tc>
        <w:tc>
          <w:tcPr>
            <w:tcW w:w="876" w:type="dxa"/>
          </w:tcPr>
          <w:p w14:paraId="4F19DD5B">
            <w:pPr>
              <w:rPr>
                <w:color w:val="auto"/>
                <w:highlight w:val="none"/>
              </w:rPr>
            </w:pPr>
          </w:p>
        </w:tc>
      </w:tr>
      <w:tr w14:paraId="3DC3A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36BE63AF">
            <w:pPr>
              <w:rPr>
                <w:color w:val="auto"/>
                <w:highlight w:val="none"/>
              </w:rPr>
            </w:pPr>
          </w:p>
        </w:tc>
        <w:tc>
          <w:tcPr>
            <w:tcW w:w="992" w:type="dxa"/>
          </w:tcPr>
          <w:p w14:paraId="711DEBDC">
            <w:pPr>
              <w:rPr>
                <w:color w:val="auto"/>
                <w:highlight w:val="none"/>
              </w:rPr>
            </w:pPr>
          </w:p>
        </w:tc>
        <w:tc>
          <w:tcPr>
            <w:tcW w:w="993" w:type="dxa"/>
          </w:tcPr>
          <w:p w14:paraId="67F9F81C">
            <w:pPr>
              <w:rPr>
                <w:color w:val="auto"/>
                <w:highlight w:val="none"/>
              </w:rPr>
            </w:pPr>
          </w:p>
        </w:tc>
        <w:tc>
          <w:tcPr>
            <w:tcW w:w="1134" w:type="dxa"/>
            <w:vAlign w:val="center"/>
          </w:tcPr>
          <w:p w14:paraId="042AC346">
            <w:pPr>
              <w:jc w:val="center"/>
              <w:rPr>
                <w:color w:val="auto"/>
                <w:highlight w:val="none"/>
              </w:rPr>
            </w:pPr>
          </w:p>
        </w:tc>
        <w:tc>
          <w:tcPr>
            <w:tcW w:w="708" w:type="dxa"/>
            <w:vAlign w:val="center"/>
          </w:tcPr>
          <w:p w14:paraId="712E4035">
            <w:pPr>
              <w:jc w:val="center"/>
              <w:rPr>
                <w:color w:val="auto"/>
                <w:highlight w:val="none"/>
              </w:rPr>
            </w:pPr>
          </w:p>
        </w:tc>
        <w:tc>
          <w:tcPr>
            <w:tcW w:w="1276" w:type="dxa"/>
            <w:vAlign w:val="center"/>
          </w:tcPr>
          <w:p w14:paraId="445FCE61">
            <w:pPr>
              <w:jc w:val="center"/>
              <w:rPr>
                <w:color w:val="auto"/>
                <w:highlight w:val="none"/>
              </w:rPr>
            </w:pPr>
          </w:p>
        </w:tc>
        <w:tc>
          <w:tcPr>
            <w:tcW w:w="992" w:type="dxa"/>
            <w:vAlign w:val="center"/>
          </w:tcPr>
          <w:p w14:paraId="4387231F">
            <w:pPr>
              <w:jc w:val="center"/>
              <w:rPr>
                <w:color w:val="auto"/>
                <w:highlight w:val="none"/>
              </w:rPr>
            </w:pPr>
          </w:p>
        </w:tc>
        <w:tc>
          <w:tcPr>
            <w:tcW w:w="1392" w:type="dxa"/>
            <w:vAlign w:val="center"/>
          </w:tcPr>
          <w:p w14:paraId="537D519F">
            <w:pPr>
              <w:jc w:val="center"/>
              <w:rPr>
                <w:color w:val="auto"/>
                <w:highlight w:val="none"/>
              </w:rPr>
            </w:pPr>
          </w:p>
        </w:tc>
        <w:tc>
          <w:tcPr>
            <w:tcW w:w="876" w:type="dxa"/>
          </w:tcPr>
          <w:p w14:paraId="3A00145C">
            <w:pPr>
              <w:rPr>
                <w:color w:val="auto"/>
                <w:highlight w:val="none"/>
              </w:rPr>
            </w:pPr>
          </w:p>
        </w:tc>
      </w:tr>
      <w:tr w14:paraId="47D1F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0EABA506">
            <w:pPr>
              <w:rPr>
                <w:color w:val="auto"/>
                <w:highlight w:val="none"/>
              </w:rPr>
            </w:pPr>
          </w:p>
        </w:tc>
        <w:tc>
          <w:tcPr>
            <w:tcW w:w="992" w:type="dxa"/>
          </w:tcPr>
          <w:p w14:paraId="660576D8">
            <w:pPr>
              <w:rPr>
                <w:color w:val="auto"/>
                <w:highlight w:val="none"/>
              </w:rPr>
            </w:pPr>
          </w:p>
        </w:tc>
        <w:tc>
          <w:tcPr>
            <w:tcW w:w="993" w:type="dxa"/>
          </w:tcPr>
          <w:p w14:paraId="3A455AA2">
            <w:pPr>
              <w:rPr>
                <w:color w:val="auto"/>
                <w:highlight w:val="none"/>
              </w:rPr>
            </w:pPr>
          </w:p>
        </w:tc>
        <w:tc>
          <w:tcPr>
            <w:tcW w:w="1134" w:type="dxa"/>
            <w:vAlign w:val="center"/>
          </w:tcPr>
          <w:p w14:paraId="5ECB3189">
            <w:pPr>
              <w:jc w:val="center"/>
              <w:rPr>
                <w:color w:val="auto"/>
                <w:highlight w:val="none"/>
              </w:rPr>
            </w:pPr>
          </w:p>
        </w:tc>
        <w:tc>
          <w:tcPr>
            <w:tcW w:w="708" w:type="dxa"/>
            <w:vAlign w:val="center"/>
          </w:tcPr>
          <w:p w14:paraId="005DDDCA">
            <w:pPr>
              <w:jc w:val="center"/>
              <w:rPr>
                <w:color w:val="auto"/>
                <w:highlight w:val="none"/>
              </w:rPr>
            </w:pPr>
          </w:p>
        </w:tc>
        <w:tc>
          <w:tcPr>
            <w:tcW w:w="1276" w:type="dxa"/>
            <w:vAlign w:val="center"/>
          </w:tcPr>
          <w:p w14:paraId="3B4656EF">
            <w:pPr>
              <w:jc w:val="center"/>
              <w:rPr>
                <w:color w:val="auto"/>
                <w:highlight w:val="none"/>
              </w:rPr>
            </w:pPr>
          </w:p>
        </w:tc>
        <w:tc>
          <w:tcPr>
            <w:tcW w:w="992" w:type="dxa"/>
            <w:vAlign w:val="center"/>
          </w:tcPr>
          <w:p w14:paraId="298ACCCA">
            <w:pPr>
              <w:jc w:val="center"/>
              <w:rPr>
                <w:color w:val="auto"/>
                <w:highlight w:val="none"/>
              </w:rPr>
            </w:pPr>
          </w:p>
        </w:tc>
        <w:tc>
          <w:tcPr>
            <w:tcW w:w="1392" w:type="dxa"/>
            <w:vAlign w:val="center"/>
          </w:tcPr>
          <w:p w14:paraId="6C921973">
            <w:pPr>
              <w:jc w:val="center"/>
              <w:rPr>
                <w:color w:val="auto"/>
                <w:highlight w:val="none"/>
              </w:rPr>
            </w:pPr>
          </w:p>
        </w:tc>
        <w:tc>
          <w:tcPr>
            <w:tcW w:w="876" w:type="dxa"/>
          </w:tcPr>
          <w:p w14:paraId="5C828ECA">
            <w:pPr>
              <w:rPr>
                <w:color w:val="auto"/>
                <w:highlight w:val="none"/>
              </w:rPr>
            </w:pPr>
          </w:p>
        </w:tc>
      </w:tr>
      <w:tr w14:paraId="1B87A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7A695025">
            <w:pPr>
              <w:rPr>
                <w:color w:val="auto"/>
                <w:highlight w:val="none"/>
              </w:rPr>
            </w:pPr>
          </w:p>
        </w:tc>
        <w:tc>
          <w:tcPr>
            <w:tcW w:w="992" w:type="dxa"/>
          </w:tcPr>
          <w:p w14:paraId="5F2957A4">
            <w:pPr>
              <w:rPr>
                <w:color w:val="auto"/>
                <w:highlight w:val="none"/>
              </w:rPr>
            </w:pPr>
          </w:p>
        </w:tc>
        <w:tc>
          <w:tcPr>
            <w:tcW w:w="993" w:type="dxa"/>
          </w:tcPr>
          <w:p w14:paraId="12CCC40A">
            <w:pPr>
              <w:rPr>
                <w:color w:val="auto"/>
                <w:highlight w:val="none"/>
              </w:rPr>
            </w:pPr>
          </w:p>
        </w:tc>
        <w:tc>
          <w:tcPr>
            <w:tcW w:w="1134" w:type="dxa"/>
            <w:vAlign w:val="center"/>
          </w:tcPr>
          <w:p w14:paraId="3C21061A">
            <w:pPr>
              <w:jc w:val="center"/>
              <w:rPr>
                <w:color w:val="auto"/>
                <w:highlight w:val="none"/>
              </w:rPr>
            </w:pPr>
          </w:p>
        </w:tc>
        <w:tc>
          <w:tcPr>
            <w:tcW w:w="708" w:type="dxa"/>
            <w:vAlign w:val="center"/>
          </w:tcPr>
          <w:p w14:paraId="14AA1C29">
            <w:pPr>
              <w:jc w:val="center"/>
              <w:rPr>
                <w:color w:val="auto"/>
                <w:highlight w:val="none"/>
              </w:rPr>
            </w:pPr>
          </w:p>
        </w:tc>
        <w:tc>
          <w:tcPr>
            <w:tcW w:w="1276" w:type="dxa"/>
            <w:vAlign w:val="center"/>
          </w:tcPr>
          <w:p w14:paraId="117C4004">
            <w:pPr>
              <w:jc w:val="center"/>
              <w:rPr>
                <w:color w:val="auto"/>
                <w:highlight w:val="none"/>
              </w:rPr>
            </w:pPr>
          </w:p>
        </w:tc>
        <w:tc>
          <w:tcPr>
            <w:tcW w:w="992" w:type="dxa"/>
            <w:vAlign w:val="center"/>
          </w:tcPr>
          <w:p w14:paraId="74ACDDDB">
            <w:pPr>
              <w:jc w:val="center"/>
              <w:rPr>
                <w:color w:val="auto"/>
                <w:highlight w:val="none"/>
              </w:rPr>
            </w:pPr>
          </w:p>
        </w:tc>
        <w:tc>
          <w:tcPr>
            <w:tcW w:w="1392" w:type="dxa"/>
            <w:vAlign w:val="center"/>
          </w:tcPr>
          <w:p w14:paraId="06667DB4">
            <w:pPr>
              <w:jc w:val="center"/>
              <w:rPr>
                <w:color w:val="auto"/>
                <w:highlight w:val="none"/>
              </w:rPr>
            </w:pPr>
          </w:p>
        </w:tc>
        <w:tc>
          <w:tcPr>
            <w:tcW w:w="876" w:type="dxa"/>
          </w:tcPr>
          <w:p w14:paraId="05497ADF">
            <w:pPr>
              <w:rPr>
                <w:color w:val="auto"/>
                <w:highlight w:val="none"/>
              </w:rPr>
            </w:pPr>
          </w:p>
        </w:tc>
      </w:tr>
    </w:tbl>
    <w:p w14:paraId="0F529C3B">
      <w:pPr>
        <w:rPr>
          <w:color w:val="auto"/>
          <w:highlight w:val="none"/>
        </w:rPr>
      </w:pPr>
    </w:p>
    <w:p w14:paraId="7F58EB4E">
      <w:pPr>
        <w:rPr>
          <w:b/>
          <w:color w:val="auto"/>
          <w:highlight w:val="none"/>
        </w:rPr>
      </w:pPr>
      <w:r>
        <w:rPr>
          <w:rFonts w:hint="eastAsia"/>
          <w:b/>
          <w:color w:val="auto"/>
          <w:highlight w:val="none"/>
        </w:rPr>
        <w:t>　</w:t>
      </w:r>
      <w:r>
        <w:rPr>
          <w:rFonts w:hint="eastAsia"/>
          <w:color w:val="auto"/>
          <w:highlight w:val="none"/>
        </w:rPr>
        <w:t>　</w:t>
      </w:r>
      <w:r>
        <w:rPr>
          <w:rFonts w:hint="eastAsia"/>
          <w:color w:val="auto"/>
          <w:highlight w:val="none"/>
          <w:lang w:eastAsia="zh-CN"/>
        </w:rPr>
        <w:t>（</w:t>
      </w:r>
      <w:r>
        <w:rPr>
          <w:rFonts w:hint="eastAsia"/>
          <w:color w:val="auto"/>
          <w:highlight w:val="none"/>
        </w:rPr>
        <w:t>二</w:t>
      </w:r>
      <w:r>
        <w:rPr>
          <w:rFonts w:hint="eastAsia"/>
          <w:color w:val="auto"/>
          <w:highlight w:val="none"/>
          <w:lang w:eastAsia="zh-CN"/>
        </w:rPr>
        <w:t>）</w:t>
      </w:r>
      <w:r>
        <w:rPr>
          <w:rFonts w:hint="eastAsia"/>
          <w:color w:val="auto"/>
          <w:highlight w:val="none"/>
        </w:rPr>
        <w:t>主要人员简历表</w:t>
      </w:r>
    </w:p>
    <w:tbl>
      <w:tblPr>
        <w:tblStyle w:val="2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49"/>
        <w:gridCol w:w="1557"/>
        <w:gridCol w:w="1557"/>
        <w:gridCol w:w="1557"/>
        <w:gridCol w:w="1557"/>
        <w:gridCol w:w="1395"/>
      </w:tblGrid>
      <w:tr w14:paraId="1A10B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9" w:type="dxa"/>
            <w:vAlign w:val="center"/>
          </w:tcPr>
          <w:p w14:paraId="0693186A">
            <w:pPr>
              <w:jc w:val="center"/>
              <w:rPr>
                <w:color w:val="auto"/>
                <w:highlight w:val="none"/>
              </w:rPr>
            </w:pPr>
            <w:r>
              <w:rPr>
                <w:rFonts w:hint="eastAsia"/>
                <w:color w:val="auto"/>
                <w:highlight w:val="none"/>
              </w:rPr>
              <w:t>姓名</w:t>
            </w:r>
          </w:p>
        </w:tc>
        <w:tc>
          <w:tcPr>
            <w:tcW w:w="1557" w:type="dxa"/>
            <w:vAlign w:val="center"/>
          </w:tcPr>
          <w:p w14:paraId="328E7E6A">
            <w:pPr>
              <w:jc w:val="center"/>
              <w:rPr>
                <w:color w:val="auto"/>
                <w:highlight w:val="none"/>
              </w:rPr>
            </w:pPr>
          </w:p>
        </w:tc>
        <w:tc>
          <w:tcPr>
            <w:tcW w:w="1557" w:type="dxa"/>
            <w:vAlign w:val="center"/>
          </w:tcPr>
          <w:p w14:paraId="2D4655D1">
            <w:pPr>
              <w:jc w:val="center"/>
              <w:rPr>
                <w:color w:val="auto"/>
                <w:highlight w:val="none"/>
              </w:rPr>
            </w:pPr>
            <w:r>
              <w:rPr>
                <w:rFonts w:hint="eastAsia"/>
                <w:color w:val="auto"/>
                <w:highlight w:val="none"/>
              </w:rPr>
              <w:t>年龄</w:t>
            </w:r>
          </w:p>
        </w:tc>
        <w:tc>
          <w:tcPr>
            <w:tcW w:w="1557" w:type="dxa"/>
            <w:vAlign w:val="center"/>
          </w:tcPr>
          <w:p w14:paraId="28BBE247">
            <w:pPr>
              <w:jc w:val="center"/>
              <w:rPr>
                <w:color w:val="auto"/>
                <w:highlight w:val="none"/>
              </w:rPr>
            </w:pPr>
          </w:p>
        </w:tc>
        <w:tc>
          <w:tcPr>
            <w:tcW w:w="1557" w:type="dxa"/>
            <w:vAlign w:val="center"/>
          </w:tcPr>
          <w:p w14:paraId="14CF8FD2">
            <w:pPr>
              <w:jc w:val="center"/>
              <w:rPr>
                <w:color w:val="auto"/>
                <w:highlight w:val="none"/>
              </w:rPr>
            </w:pPr>
            <w:r>
              <w:rPr>
                <w:rFonts w:hint="eastAsia"/>
                <w:color w:val="auto"/>
                <w:highlight w:val="none"/>
              </w:rPr>
              <w:t>学历</w:t>
            </w:r>
          </w:p>
        </w:tc>
        <w:tc>
          <w:tcPr>
            <w:tcW w:w="1395" w:type="dxa"/>
            <w:vAlign w:val="center"/>
          </w:tcPr>
          <w:p w14:paraId="76D6A639">
            <w:pPr>
              <w:jc w:val="center"/>
              <w:rPr>
                <w:color w:val="auto"/>
                <w:highlight w:val="none"/>
              </w:rPr>
            </w:pPr>
          </w:p>
        </w:tc>
      </w:tr>
      <w:tr w14:paraId="6B0FB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9" w:type="dxa"/>
            <w:vAlign w:val="center"/>
          </w:tcPr>
          <w:p w14:paraId="1D9FBA46">
            <w:pPr>
              <w:jc w:val="center"/>
              <w:rPr>
                <w:color w:val="auto"/>
                <w:highlight w:val="none"/>
              </w:rPr>
            </w:pPr>
            <w:r>
              <w:rPr>
                <w:rFonts w:hint="eastAsia"/>
                <w:color w:val="auto"/>
                <w:highlight w:val="none"/>
              </w:rPr>
              <w:t>执业资格</w:t>
            </w:r>
          </w:p>
        </w:tc>
        <w:tc>
          <w:tcPr>
            <w:tcW w:w="4671" w:type="dxa"/>
            <w:gridSpan w:val="3"/>
            <w:vAlign w:val="center"/>
          </w:tcPr>
          <w:p w14:paraId="0336E954">
            <w:pPr>
              <w:jc w:val="center"/>
              <w:rPr>
                <w:color w:val="auto"/>
                <w:highlight w:val="none"/>
              </w:rPr>
            </w:pPr>
          </w:p>
        </w:tc>
        <w:tc>
          <w:tcPr>
            <w:tcW w:w="1557" w:type="dxa"/>
            <w:vAlign w:val="center"/>
          </w:tcPr>
          <w:p w14:paraId="2A3164C5">
            <w:pPr>
              <w:jc w:val="center"/>
              <w:rPr>
                <w:color w:val="auto"/>
                <w:highlight w:val="none"/>
              </w:rPr>
            </w:pPr>
            <w:r>
              <w:rPr>
                <w:rFonts w:hint="eastAsia"/>
                <w:color w:val="auto"/>
                <w:highlight w:val="none"/>
              </w:rPr>
              <w:t>安全生产考核合格证书</w:t>
            </w:r>
          </w:p>
        </w:tc>
        <w:tc>
          <w:tcPr>
            <w:tcW w:w="1395" w:type="dxa"/>
            <w:vAlign w:val="center"/>
          </w:tcPr>
          <w:p w14:paraId="462EFAB8">
            <w:pPr>
              <w:jc w:val="center"/>
              <w:rPr>
                <w:color w:val="auto"/>
                <w:highlight w:val="none"/>
              </w:rPr>
            </w:pPr>
          </w:p>
        </w:tc>
      </w:tr>
      <w:tr w14:paraId="7B54E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9" w:type="dxa"/>
            <w:vAlign w:val="center"/>
          </w:tcPr>
          <w:p w14:paraId="57971240">
            <w:pPr>
              <w:jc w:val="center"/>
              <w:rPr>
                <w:color w:val="auto"/>
                <w:highlight w:val="none"/>
              </w:rPr>
            </w:pPr>
            <w:r>
              <w:rPr>
                <w:rFonts w:hint="eastAsia"/>
                <w:color w:val="auto"/>
                <w:highlight w:val="none"/>
              </w:rPr>
              <w:t>职称</w:t>
            </w:r>
          </w:p>
        </w:tc>
        <w:tc>
          <w:tcPr>
            <w:tcW w:w="1557" w:type="dxa"/>
            <w:vAlign w:val="center"/>
          </w:tcPr>
          <w:p w14:paraId="7C7258CD">
            <w:pPr>
              <w:jc w:val="center"/>
              <w:rPr>
                <w:color w:val="auto"/>
                <w:highlight w:val="none"/>
              </w:rPr>
            </w:pPr>
          </w:p>
        </w:tc>
        <w:tc>
          <w:tcPr>
            <w:tcW w:w="1557" w:type="dxa"/>
            <w:vAlign w:val="center"/>
          </w:tcPr>
          <w:p w14:paraId="1BBED080">
            <w:pPr>
              <w:jc w:val="center"/>
              <w:rPr>
                <w:color w:val="auto"/>
                <w:highlight w:val="none"/>
              </w:rPr>
            </w:pPr>
            <w:r>
              <w:rPr>
                <w:rFonts w:hint="eastAsia"/>
                <w:color w:val="auto"/>
                <w:highlight w:val="none"/>
              </w:rPr>
              <w:t>职务</w:t>
            </w:r>
          </w:p>
        </w:tc>
        <w:tc>
          <w:tcPr>
            <w:tcW w:w="1557" w:type="dxa"/>
            <w:vAlign w:val="center"/>
          </w:tcPr>
          <w:p w14:paraId="696786F7">
            <w:pPr>
              <w:jc w:val="center"/>
              <w:rPr>
                <w:color w:val="auto"/>
                <w:highlight w:val="none"/>
              </w:rPr>
            </w:pPr>
          </w:p>
        </w:tc>
        <w:tc>
          <w:tcPr>
            <w:tcW w:w="1557" w:type="dxa"/>
            <w:vAlign w:val="center"/>
          </w:tcPr>
          <w:p w14:paraId="3BFB88D7">
            <w:pPr>
              <w:jc w:val="center"/>
              <w:rPr>
                <w:color w:val="auto"/>
                <w:highlight w:val="none"/>
              </w:rPr>
            </w:pPr>
            <w:r>
              <w:rPr>
                <w:rFonts w:hint="eastAsia"/>
                <w:color w:val="auto"/>
                <w:highlight w:val="none"/>
              </w:rPr>
              <w:t>拟在本合同任职</w:t>
            </w:r>
          </w:p>
        </w:tc>
        <w:tc>
          <w:tcPr>
            <w:tcW w:w="1395" w:type="dxa"/>
            <w:vAlign w:val="center"/>
          </w:tcPr>
          <w:p w14:paraId="17D89BA0">
            <w:pPr>
              <w:jc w:val="center"/>
              <w:rPr>
                <w:color w:val="auto"/>
                <w:highlight w:val="none"/>
              </w:rPr>
            </w:pPr>
          </w:p>
        </w:tc>
      </w:tr>
      <w:tr w14:paraId="6CCAF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9" w:type="dxa"/>
            <w:vAlign w:val="center"/>
          </w:tcPr>
          <w:p w14:paraId="414749B8">
            <w:pPr>
              <w:jc w:val="center"/>
              <w:rPr>
                <w:color w:val="auto"/>
                <w:highlight w:val="none"/>
              </w:rPr>
            </w:pPr>
            <w:r>
              <w:rPr>
                <w:rFonts w:hint="eastAsia"/>
                <w:color w:val="auto"/>
                <w:highlight w:val="none"/>
              </w:rPr>
              <w:t>毕业学校</w:t>
            </w:r>
          </w:p>
        </w:tc>
        <w:tc>
          <w:tcPr>
            <w:tcW w:w="7623" w:type="dxa"/>
            <w:gridSpan w:val="5"/>
            <w:vAlign w:val="center"/>
          </w:tcPr>
          <w:p w14:paraId="62757A24">
            <w:pPr>
              <w:jc w:val="center"/>
              <w:rPr>
                <w:color w:val="auto"/>
                <w:highlight w:val="none"/>
              </w:rPr>
            </w:pPr>
            <w:r>
              <w:rPr>
                <w:rFonts w:hint="eastAsia"/>
                <w:color w:val="auto"/>
                <w:highlight w:val="none"/>
              </w:rPr>
              <w:t>　　　　年毕业于　　　学校　　　专业</w:t>
            </w:r>
          </w:p>
        </w:tc>
      </w:tr>
      <w:tr w14:paraId="2EB27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72" w:type="dxa"/>
            <w:gridSpan w:val="6"/>
            <w:vAlign w:val="center"/>
          </w:tcPr>
          <w:p w14:paraId="54363ECA">
            <w:pPr>
              <w:jc w:val="center"/>
              <w:rPr>
                <w:color w:val="auto"/>
                <w:highlight w:val="none"/>
              </w:rPr>
            </w:pPr>
            <w:r>
              <w:rPr>
                <w:rFonts w:hint="eastAsia"/>
                <w:color w:val="auto"/>
                <w:highlight w:val="none"/>
              </w:rPr>
              <w:t>主要施工管理经历</w:t>
            </w:r>
          </w:p>
        </w:tc>
      </w:tr>
      <w:tr w14:paraId="7BAAF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9" w:type="dxa"/>
            <w:vAlign w:val="center"/>
          </w:tcPr>
          <w:p w14:paraId="6FB370F0">
            <w:pPr>
              <w:jc w:val="center"/>
              <w:rPr>
                <w:color w:val="auto"/>
                <w:highlight w:val="none"/>
              </w:rPr>
            </w:pPr>
            <w:r>
              <w:rPr>
                <w:rFonts w:hint="eastAsia"/>
                <w:color w:val="auto"/>
                <w:highlight w:val="none"/>
              </w:rPr>
              <w:t>时间</w:t>
            </w:r>
          </w:p>
        </w:tc>
        <w:tc>
          <w:tcPr>
            <w:tcW w:w="4671" w:type="dxa"/>
            <w:gridSpan w:val="3"/>
            <w:vAlign w:val="center"/>
          </w:tcPr>
          <w:p w14:paraId="3BC5B4C4">
            <w:pPr>
              <w:jc w:val="center"/>
              <w:rPr>
                <w:color w:val="auto"/>
                <w:highlight w:val="none"/>
              </w:rPr>
            </w:pPr>
            <w:r>
              <w:rPr>
                <w:rFonts w:hint="eastAsia"/>
                <w:color w:val="auto"/>
                <w:highlight w:val="none"/>
              </w:rPr>
              <w:t>参加过的类似项目</w:t>
            </w:r>
          </w:p>
        </w:tc>
        <w:tc>
          <w:tcPr>
            <w:tcW w:w="1557" w:type="dxa"/>
            <w:vAlign w:val="center"/>
          </w:tcPr>
          <w:p w14:paraId="6EBA4D68">
            <w:pPr>
              <w:jc w:val="center"/>
              <w:rPr>
                <w:color w:val="auto"/>
                <w:highlight w:val="none"/>
              </w:rPr>
            </w:pPr>
            <w:r>
              <w:rPr>
                <w:rFonts w:hint="eastAsia"/>
                <w:color w:val="auto"/>
                <w:highlight w:val="none"/>
              </w:rPr>
              <w:t>担任职务</w:t>
            </w:r>
          </w:p>
        </w:tc>
        <w:tc>
          <w:tcPr>
            <w:tcW w:w="1395" w:type="dxa"/>
            <w:vAlign w:val="center"/>
          </w:tcPr>
          <w:p w14:paraId="53C82CC3">
            <w:pPr>
              <w:jc w:val="center"/>
              <w:rPr>
                <w:color w:val="auto"/>
                <w:highlight w:val="none"/>
              </w:rPr>
            </w:pPr>
            <w:r>
              <w:rPr>
                <w:rFonts w:hint="eastAsia"/>
                <w:color w:val="auto"/>
                <w:highlight w:val="none"/>
              </w:rPr>
              <w:t>发包人及联系电话</w:t>
            </w:r>
          </w:p>
        </w:tc>
      </w:tr>
      <w:tr w14:paraId="45651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9" w:type="dxa"/>
            <w:vAlign w:val="center"/>
          </w:tcPr>
          <w:p w14:paraId="65099C9C">
            <w:pPr>
              <w:jc w:val="center"/>
              <w:rPr>
                <w:color w:val="auto"/>
                <w:highlight w:val="none"/>
              </w:rPr>
            </w:pPr>
          </w:p>
        </w:tc>
        <w:tc>
          <w:tcPr>
            <w:tcW w:w="4671" w:type="dxa"/>
            <w:gridSpan w:val="3"/>
            <w:vAlign w:val="center"/>
          </w:tcPr>
          <w:p w14:paraId="6282E68A">
            <w:pPr>
              <w:jc w:val="center"/>
              <w:rPr>
                <w:color w:val="auto"/>
                <w:highlight w:val="none"/>
              </w:rPr>
            </w:pPr>
          </w:p>
        </w:tc>
        <w:tc>
          <w:tcPr>
            <w:tcW w:w="1557" w:type="dxa"/>
            <w:vAlign w:val="center"/>
          </w:tcPr>
          <w:p w14:paraId="4E57F2F3">
            <w:pPr>
              <w:jc w:val="center"/>
              <w:rPr>
                <w:color w:val="auto"/>
                <w:highlight w:val="none"/>
              </w:rPr>
            </w:pPr>
          </w:p>
        </w:tc>
        <w:tc>
          <w:tcPr>
            <w:tcW w:w="1395" w:type="dxa"/>
            <w:vAlign w:val="center"/>
          </w:tcPr>
          <w:p w14:paraId="5ED51615">
            <w:pPr>
              <w:jc w:val="center"/>
              <w:rPr>
                <w:color w:val="auto"/>
                <w:highlight w:val="none"/>
              </w:rPr>
            </w:pPr>
          </w:p>
        </w:tc>
      </w:tr>
      <w:tr w14:paraId="12A94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9" w:type="dxa"/>
            <w:vAlign w:val="center"/>
          </w:tcPr>
          <w:p w14:paraId="3B32AA09">
            <w:pPr>
              <w:jc w:val="center"/>
              <w:rPr>
                <w:color w:val="auto"/>
                <w:highlight w:val="none"/>
              </w:rPr>
            </w:pPr>
          </w:p>
        </w:tc>
        <w:tc>
          <w:tcPr>
            <w:tcW w:w="4671" w:type="dxa"/>
            <w:gridSpan w:val="3"/>
            <w:vAlign w:val="center"/>
          </w:tcPr>
          <w:p w14:paraId="4BE55870">
            <w:pPr>
              <w:jc w:val="center"/>
              <w:rPr>
                <w:color w:val="auto"/>
                <w:highlight w:val="none"/>
              </w:rPr>
            </w:pPr>
          </w:p>
        </w:tc>
        <w:tc>
          <w:tcPr>
            <w:tcW w:w="1557" w:type="dxa"/>
            <w:vAlign w:val="center"/>
          </w:tcPr>
          <w:p w14:paraId="3398812E">
            <w:pPr>
              <w:jc w:val="center"/>
              <w:rPr>
                <w:color w:val="auto"/>
                <w:highlight w:val="none"/>
              </w:rPr>
            </w:pPr>
          </w:p>
        </w:tc>
        <w:tc>
          <w:tcPr>
            <w:tcW w:w="1395" w:type="dxa"/>
            <w:vAlign w:val="center"/>
          </w:tcPr>
          <w:p w14:paraId="5C811AD1">
            <w:pPr>
              <w:jc w:val="center"/>
              <w:rPr>
                <w:color w:val="auto"/>
                <w:highlight w:val="none"/>
              </w:rPr>
            </w:pPr>
          </w:p>
        </w:tc>
      </w:tr>
      <w:tr w14:paraId="1E50D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9" w:type="dxa"/>
            <w:vAlign w:val="center"/>
          </w:tcPr>
          <w:p w14:paraId="22E85D15">
            <w:pPr>
              <w:jc w:val="center"/>
              <w:rPr>
                <w:color w:val="auto"/>
                <w:highlight w:val="none"/>
              </w:rPr>
            </w:pPr>
          </w:p>
        </w:tc>
        <w:tc>
          <w:tcPr>
            <w:tcW w:w="4671" w:type="dxa"/>
            <w:gridSpan w:val="3"/>
            <w:vAlign w:val="center"/>
          </w:tcPr>
          <w:p w14:paraId="7A8889FB">
            <w:pPr>
              <w:jc w:val="center"/>
              <w:rPr>
                <w:color w:val="auto"/>
                <w:highlight w:val="none"/>
              </w:rPr>
            </w:pPr>
          </w:p>
        </w:tc>
        <w:tc>
          <w:tcPr>
            <w:tcW w:w="1557" w:type="dxa"/>
            <w:vAlign w:val="center"/>
          </w:tcPr>
          <w:p w14:paraId="237E730F">
            <w:pPr>
              <w:jc w:val="center"/>
              <w:rPr>
                <w:color w:val="auto"/>
                <w:highlight w:val="none"/>
              </w:rPr>
            </w:pPr>
          </w:p>
        </w:tc>
        <w:tc>
          <w:tcPr>
            <w:tcW w:w="1395" w:type="dxa"/>
            <w:vAlign w:val="center"/>
          </w:tcPr>
          <w:p w14:paraId="71612800">
            <w:pPr>
              <w:jc w:val="center"/>
              <w:rPr>
                <w:color w:val="auto"/>
                <w:highlight w:val="none"/>
              </w:rPr>
            </w:pPr>
          </w:p>
        </w:tc>
      </w:tr>
      <w:tr w14:paraId="414DE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9" w:type="dxa"/>
            <w:vAlign w:val="center"/>
          </w:tcPr>
          <w:p w14:paraId="79488204">
            <w:pPr>
              <w:jc w:val="center"/>
              <w:rPr>
                <w:color w:val="auto"/>
                <w:highlight w:val="none"/>
              </w:rPr>
            </w:pPr>
          </w:p>
        </w:tc>
        <w:tc>
          <w:tcPr>
            <w:tcW w:w="4671" w:type="dxa"/>
            <w:gridSpan w:val="3"/>
            <w:vAlign w:val="center"/>
          </w:tcPr>
          <w:p w14:paraId="651DCA58">
            <w:pPr>
              <w:jc w:val="center"/>
              <w:rPr>
                <w:color w:val="auto"/>
                <w:highlight w:val="none"/>
              </w:rPr>
            </w:pPr>
          </w:p>
        </w:tc>
        <w:tc>
          <w:tcPr>
            <w:tcW w:w="1557" w:type="dxa"/>
            <w:vAlign w:val="center"/>
          </w:tcPr>
          <w:p w14:paraId="50ABA36C">
            <w:pPr>
              <w:jc w:val="center"/>
              <w:rPr>
                <w:color w:val="auto"/>
                <w:highlight w:val="none"/>
              </w:rPr>
            </w:pPr>
          </w:p>
        </w:tc>
        <w:tc>
          <w:tcPr>
            <w:tcW w:w="1395" w:type="dxa"/>
            <w:vAlign w:val="center"/>
          </w:tcPr>
          <w:p w14:paraId="4B8189A1">
            <w:pPr>
              <w:jc w:val="center"/>
              <w:rPr>
                <w:color w:val="auto"/>
                <w:highlight w:val="none"/>
              </w:rPr>
            </w:pPr>
          </w:p>
        </w:tc>
      </w:tr>
      <w:tr w14:paraId="33ABA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9" w:type="dxa"/>
            <w:vAlign w:val="center"/>
          </w:tcPr>
          <w:p w14:paraId="1B3C8256">
            <w:pPr>
              <w:jc w:val="center"/>
              <w:rPr>
                <w:color w:val="auto"/>
                <w:highlight w:val="none"/>
              </w:rPr>
            </w:pPr>
          </w:p>
        </w:tc>
        <w:tc>
          <w:tcPr>
            <w:tcW w:w="4671" w:type="dxa"/>
            <w:gridSpan w:val="3"/>
            <w:vAlign w:val="center"/>
          </w:tcPr>
          <w:p w14:paraId="60D19E8B">
            <w:pPr>
              <w:jc w:val="center"/>
              <w:rPr>
                <w:color w:val="auto"/>
                <w:highlight w:val="none"/>
              </w:rPr>
            </w:pPr>
          </w:p>
        </w:tc>
        <w:tc>
          <w:tcPr>
            <w:tcW w:w="1557" w:type="dxa"/>
            <w:vAlign w:val="center"/>
          </w:tcPr>
          <w:p w14:paraId="3622551C">
            <w:pPr>
              <w:jc w:val="center"/>
              <w:rPr>
                <w:color w:val="auto"/>
                <w:highlight w:val="none"/>
              </w:rPr>
            </w:pPr>
          </w:p>
        </w:tc>
        <w:tc>
          <w:tcPr>
            <w:tcW w:w="1395" w:type="dxa"/>
            <w:vAlign w:val="center"/>
          </w:tcPr>
          <w:p w14:paraId="03377FDA">
            <w:pPr>
              <w:jc w:val="center"/>
              <w:rPr>
                <w:color w:val="auto"/>
                <w:highlight w:val="none"/>
              </w:rPr>
            </w:pPr>
          </w:p>
        </w:tc>
      </w:tr>
      <w:tr w14:paraId="6B11B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9" w:type="dxa"/>
            <w:vAlign w:val="center"/>
          </w:tcPr>
          <w:p w14:paraId="7BA1689B">
            <w:pPr>
              <w:jc w:val="center"/>
              <w:rPr>
                <w:color w:val="auto"/>
                <w:highlight w:val="none"/>
              </w:rPr>
            </w:pPr>
          </w:p>
        </w:tc>
        <w:tc>
          <w:tcPr>
            <w:tcW w:w="4671" w:type="dxa"/>
            <w:gridSpan w:val="3"/>
            <w:vAlign w:val="center"/>
          </w:tcPr>
          <w:p w14:paraId="3EA7F95E">
            <w:pPr>
              <w:jc w:val="center"/>
              <w:rPr>
                <w:color w:val="auto"/>
                <w:highlight w:val="none"/>
              </w:rPr>
            </w:pPr>
          </w:p>
        </w:tc>
        <w:tc>
          <w:tcPr>
            <w:tcW w:w="1557" w:type="dxa"/>
            <w:vAlign w:val="center"/>
          </w:tcPr>
          <w:p w14:paraId="60A3D330">
            <w:pPr>
              <w:jc w:val="center"/>
              <w:rPr>
                <w:color w:val="auto"/>
                <w:highlight w:val="none"/>
              </w:rPr>
            </w:pPr>
          </w:p>
        </w:tc>
        <w:tc>
          <w:tcPr>
            <w:tcW w:w="1395" w:type="dxa"/>
            <w:vAlign w:val="center"/>
          </w:tcPr>
          <w:p w14:paraId="0C7268C1">
            <w:pPr>
              <w:jc w:val="center"/>
              <w:rPr>
                <w:color w:val="auto"/>
                <w:highlight w:val="none"/>
              </w:rPr>
            </w:pPr>
          </w:p>
        </w:tc>
      </w:tr>
    </w:tbl>
    <w:p w14:paraId="512CE403">
      <w:pPr>
        <w:rPr>
          <w:color w:val="auto"/>
          <w:highlight w:val="none"/>
        </w:rPr>
      </w:pPr>
      <w:r>
        <w:rPr>
          <w:rFonts w:hint="eastAsia"/>
          <w:color w:val="auto"/>
          <w:highlight w:val="none"/>
        </w:rPr>
        <w:t>　　注</w:t>
      </w:r>
      <w:r>
        <w:rPr>
          <w:rFonts w:hint="eastAsia"/>
          <w:color w:val="auto"/>
          <w:highlight w:val="none"/>
          <w:lang w:eastAsia="zh-CN"/>
        </w:rPr>
        <w:t>：</w:t>
      </w:r>
      <w:r>
        <w:rPr>
          <w:rFonts w:hint="eastAsia"/>
          <w:color w:val="auto"/>
          <w:highlight w:val="none"/>
          <w:lang w:val="en-US" w:eastAsia="zh-CN"/>
        </w:rPr>
        <w:t>1、</w:t>
      </w:r>
      <w:r>
        <w:rPr>
          <w:rFonts w:hint="eastAsia"/>
          <w:color w:val="auto"/>
          <w:highlight w:val="none"/>
        </w:rPr>
        <w:t>主要人员指项目经理、技术负责人、安全管理人员</w:t>
      </w:r>
      <w:r>
        <w:rPr>
          <w:rFonts w:hint="eastAsia"/>
          <w:color w:val="auto"/>
          <w:highlight w:val="none"/>
          <w:lang w:eastAsia="zh-CN"/>
        </w:rPr>
        <w:t>（</w:t>
      </w:r>
      <w:r>
        <w:rPr>
          <w:rFonts w:hint="eastAsia"/>
          <w:color w:val="auto"/>
          <w:highlight w:val="none"/>
        </w:rPr>
        <w:t>专职安全生产管理人员</w:t>
      </w:r>
      <w:r>
        <w:rPr>
          <w:rFonts w:hint="eastAsia"/>
          <w:color w:val="auto"/>
          <w:highlight w:val="none"/>
          <w:lang w:eastAsia="zh-CN"/>
        </w:rPr>
        <w:t>）</w:t>
      </w:r>
      <w:r>
        <w:rPr>
          <w:rFonts w:hint="eastAsia"/>
          <w:color w:val="auto"/>
          <w:highlight w:val="none"/>
        </w:rPr>
        <w:t>、质量管理人员、财务负责人及其它主要人员。</w:t>
      </w:r>
    </w:p>
    <w:p w14:paraId="648E94B4">
      <w:pPr>
        <w:rPr>
          <w:rFonts w:hint="default" w:eastAsia="宋体"/>
          <w:color w:val="auto"/>
          <w:highlight w:val="none"/>
          <w:lang w:val="en-US" w:eastAsia="zh-CN"/>
        </w:rPr>
      </w:pPr>
      <w:r>
        <w:rPr>
          <w:rFonts w:hint="eastAsia"/>
          <w:color w:val="auto"/>
          <w:highlight w:val="none"/>
          <w:lang w:val="en-US" w:eastAsia="zh-CN"/>
        </w:rPr>
        <w:t xml:space="preserve">        2、第三章有评分要求的主要人员提供类似项目，其余不做要求。</w:t>
      </w:r>
    </w:p>
    <w:p w14:paraId="72C91597">
      <w:pPr>
        <w:rPr>
          <w:color w:val="auto"/>
          <w:highlight w:val="none"/>
        </w:rPr>
      </w:pPr>
      <w:r>
        <w:rPr>
          <w:color w:val="auto"/>
          <w:highlight w:val="none"/>
        </w:rPr>
        <w:br w:type="page"/>
      </w:r>
    </w:p>
    <w:p w14:paraId="6E8D1B7A">
      <w:pPr>
        <w:jc w:val="center"/>
        <w:outlineLvl w:val="2"/>
        <w:rPr>
          <w:rFonts w:hint="eastAsia" w:ascii="黑体" w:hAnsi="黑体" w:eastAsia="黑体"/>
          <w:b/>
          <w:color w:val="auto"/>
          <w:sz w:val="32"/>
          <w:szCs w:val="32"/>
          <w:highlight w:val="none"/>
          <w:lang w:val="en-US" w:eastAsia="zh-CN"/>
        </w:rPr>
      </w:pPr>
      <w:bookmarkStart w:id="1144" w:name="第08章投标文件格式08"/>
      <w:bookmarkEnd w:id="1144"/>
      <w:bookmarkStart w:id="1145" w:name="_Toc7180"/>
      <w:r>
        <w:rPr>
          <w:rFonts w:hint="eastAsia" w:ascii="黑体" w:hAnsi="黑体" w:eastAsia="黑体"/>
          <w:b/>
          <w:color w:val="auto"/>
          <w:sz w:val="32"/>
          <w:szCs w:val="32"/>
          <w:highlight w:val="none"/>
          <w:lang w:val="en-US" w:eastAsia="zh-CN"/>
        </w:rPr>
        <w:t>九、拟分包项目情况表</w:t>
      </w:r>
      <w:bookmarkEnd w:id="1145"/>
    </w:p>
    <w:p w14:paraId="4B7BAA0E">
      <w:pPr>
        <w:rPr>
          <w:color w:val="auto"/>
          <w:highlight w:val="none"/>
        </w:rPr>
      </w:pPr>
    </w:p>
    <w:tbl>
      <w:tblPr>
        <w:tblStyle w:val="2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27"/>
        <w:gridCol w:w="2336"/>
        <w:gridCol w:w="2336"/>
        <w:gridCol w:w="2173"/>
      </w:tblGrid>
      <w:tr w14:paraId="40D1A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7" w:type="dxa"/>
            <w:vAlign w:val="center"/>
          </w:tcPr>
          <w:p w14:paraId="3E7A1B41">
            <w:pPr>
              <w:jc w:val="center"/>
              <w:rPr>
                <w:color w:val="auto"/>
                <w:highlight w:val="none"/>
              </w:rPr>
            </w:pPr>
            <w:r>
              <w:rPr>
                <w:rFonts w:hint="eastAsia"/>
                <w:color w:val="auto"/>
                <w:highlight w:val="none"/>
              </w:rPr>
              <w:t>分包人名称</w:t>
            </w:r>
          </w:p>
        </w:tc>
        <w:tc>
          <w:tcPr>
            <w:tcW w:w="2336" w:type="dxa"/>
            <w:vAlign w:val="center"/>
          </w:tcPr>
          <w:p w14:paraId="250F3377">
            <w:pPr>
              <w:jc w:val="center"/>
              <w:rPr>
                <w:color w:val="auto"/>
                <w:highlight w:val="none"/>
              </w:rPr>
            </w:pPr>
          </w:p>
        </w:tc>
        <w:tc>
          <w:tcPr>
            <w:tcW w:w="2336" w:type="dxa"/>
            <w:vAlign w:val="center"/>
          </w:tcPr>
          <w:p w14:paraId="1F796141">
            <w:pPr>
              <w:jc w:val="center"/>
              <w:rPr>
                <w:color w:val="auto"/>
                <w:highlight w:val="none"/>
              </w:rPr>
            </w:pPr>
            <w:r>
              <w:rPr>
                <w:rFonts w:hint="eastAsia"/>
                <w:color w:val="auto"/>
                <w:highlight w:val="none"/>
              </w:rPr>
              <w:t>地址</w:t>
            </w:r>
          </w:p>
        </w:tc>
        <w:tc>
          <w:tcPr>
            <w:tcW w:w="2173" w:type="dxa"/>
            <w:vAlign w:val="center"/>
          </w:tcPr>
          <w:p w14:paraId="4917A739">
            <w:pPr>
              <w:jc w:val="center"/>
              <w:rPr>
                <w:color w:val="auto"/>
                <w:highlight w:val="none"/>
              </w:rPr>
            </w:pPr>
          </w:p>
        </w:tc>
      </w:tr>
      <w:tr w14:paraId="18A49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7" w:type="dxa"/>
            <w:vAlign w:val="center"/>
          </w:tcPr>
          <w:p w14:paraId="02F5604F">
            <w:pPr>
              <w:jc w:val="center"/>
              <w:rPr>
                <w:color w:val="auto"/>
                <w:highlight w:val="none"/>
              </w:rPr>
            </w:pPr>
            <w:r>
              <w:rPr>
                <w:rFonts w:hint="eastAsia"/>
                <w:color w:val="auto"/>
                <w:highlight w:val="none"/>
              </w:rPr>
              <w:t>法定代表人</w:t>
            </w:r>
          </w:p>
        </w:tc>
        <w:tc>
          <w:tcPr>
            <w:tcW w:w="2336" w:type="dxa"/>
            <w:vAlign w:val="center"/>
          </w:tcPr>
          <w:p w14:paraId="618A29D9">
            <w:pPr>
              <w:jc w:val="center"/>
              <w:rPr>
                <w:color w:val="auto"/>
                <w:highlight w:val="none"/>
              </w:rPr>
            </w:pPr>
          </w:p>
        </w:tc>
        <w:tc>
          <w:tcPr>
            <w:tcW w:w="2336" w:type="dxa"/>
            <w:vAlign w:val="center"/>
          </w:tcPr>
          <w:p w14:paraId="27D3D7FF">
            <w:pPr>
              <w:jc w:val="center"/>
              <w:rPr>
                <w:color w:val="auto"/>
                <w:highlight w:val="none"/>
              </w:rPr>
            </w:pPr>
            <w:r>
              <w:rPr>
                <w:rFonts w:hint="eastAsia"/>
                <w:color w:val="auto"/>
                <w:highlight w:val="none"/>
              </w:rPr>
              <w:t>电话</w:t>
            </w:r>
          </w:p>
        </w:tc>
        <w:tc>
          <w:tcPr>
            <w:tcW w:w="2173" w:type="dxa"/>
            <w:vAlign w:val="center"/>
          </w:tcPr>
          <w:p w14:paraId="45A4804D">
            <w:pPr>
              <w:jc w:val="center"/>
              <w:rPr>
                <w:color w:val="auto"/>
                <w:highlight w:val="none"/>
              </w:rPr>
            </w:pPr>
          </w:p>
        </w:tc>
      </w:tr>
      <w:tr w14:paraId="1E697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7" w:type="dxa"/>
            <w:vAlign w:val="center"/>
          </w:tcPr>
          <w:p w14:paraId="4DDC8962">
            <w:pPr>
              <w:jc w:val="center"/>
              <w:rPr>
                <w:color w:val="auto"/>
                <w:highlight w:val="none"/>
              </w:rPr>
            </w:pPr>
            <w:r>
              <w:rPr>
                <w:rFonts w:hint="eastAsia"/>
                <w:color w:val="auto"/>
                <w:highlight w:val="none"/>
              </w:rPr>
              <w:t>营业执照号码</w:t>
            </w:r>
          </w:p>
        </w:tc>
        <w:tc>
          <w:tcPr>
            <w:tcW w:w="2336" w:type="dxa"/>
            <w:vAlign w:val="center"/>
          </w:tcPr>
          <w:p w14:paraId="396CB8BA">
            <w:pPr>
              <w:jc w:val="center"/>
              <w:rPr>
                <w:color w:val="auto"/>
                <w:highlight w:val="none"/>
              </w:rPr>
            </w:pPr>
          </w:p>
        </w:tc>
        <w:tc>
          <w:tcPr>
            <w:tcW w:w="2336" w:type="dxa"/>
            <w:vAlign w:val="center"/>
          </w:tcPr>
          <w:p w14:paraId="479C0F05">
            <w:pPr>
              <w:jc w:val="center"/>
              <w:rPr>
                <w:color w:val="auto"/>
                <w:highlight w:val="none"/>
              </w:rPr>
            </w:pPr>
            <w:r>
              <w:rPr>
                <w:rFonts w:hint="eastAsia"/>
                <w:color w:val="auto"/>
                <w:highlight w:val="none"/>
              </w:rPr>
              <w:t>资质等级</w:t>
            </w:r>
          </w:p>
        </w:tc>
        <w:tc>
          <w:tcPr>
            <w:tcW w:w="2173" w:type="dxa"/>
            <w:vAlign w:val="center"/>
          </w:tcPr>
          <w:p w14:paraId="364D9E23">
            <w:pPr>
              <w:jc w:val="center"/>
              <w:rPr>
                <w:color w:val="auto"/>
                <w:highlight w:val="none"/>
              </w:rPr>
            </w:pPr>
          </w:p>
        </w:tc>
      </w:tr>
      <w:tr w14:paraId="3F432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7" w:type="dxa"/>
            <w:vAlign w:val="center"/>
          </w:tcPr>
          <w:p w14:paraId="06089CC7">
            <w:pPr>
              <w:jc w:val="center"/>
              <w:rPr>
                <w:color w:val="auto"/>
                <w:highlight w:val="none"/>
              </w:rPr>
            </w:pPr>
            <w:r>
              <w:rPr>
                <w:rFonts w:hint="eastAsia"/>
                <w:color w:val="auto"/>
                <w:highlight w:val="none"/>
              </w:rPr>
              <w:t>拟分包的工程项目</w:t>
            </w:r>
          </w:p>
        </w:tc>
        <w:tc>
          <w:tcPr>
            <w:tcW w:w="2336" w:type="dxa"/>
            <w:vAlign w:val="center"/>
          </w:tcPr>
          <w:p w14:paraId="7843DA25">
            <w:pPr>
              <w:jc w:val="center"/>
              <w:rPr>
                <w:color w:val="auto"/>
                <w:highlight w:val="none"/>
              </w:rPr>
            </w:pPr>
            <w:r>
              <w:rPr>
                <w:rFonts w:hint="eastAsia"/>
                <w:color w:val="auto"/>
                <w:highlight w:val="none"/>
              </w:rPr>
              <w:t>主要内容</w:t>
            </w:r>
          </w:p>
        </w:tc>
        <w:tc>
          <w:tcPr>
            <w:tcW w:w="2336" w:type="dxa"/>
            <w:vAlign w:val="center"/>
          </w:tcPr>
          <w:p w14:paraId="26617122">
            <w:pPr>
              <w:jc w:val="center"/>
              <w:rPr>
                <w:rFonts w:hint="eastAsia" w:eastAsia="宋体"/>
                <w:color w:val="auto"/>
                <w:highlight w:val="none"/>
                <w:lang w:eastAsia="zh-CN"/>
              </w:rPr>
            </w:pPr>
            <w:r>
              <w:rPr>
                <w:rFonts w:hint="eastAsia"/>
                <w:color w:val="auto"/>
                <w:highlight w:val="none"/>
              </w:rPr>
              <w:t>预计造价</w:t>
            </w:r>
            <w:r>
              <w:rPr>
                <w:rFonts w:hint="eastAsia"/>
                <w:color w:val="auto"/>
                <w:highlight w:val="none"/>
                <w:lang w:eastAsia="zh-CN"/>
              </w:rPr>
              <w:t>（</w:t>
            </w:r>
            <w:r>
              <w:rPr>
                <w:rFonts w:hint="eastAsia"/>
                <w:color w:val="auto"/>
                <w:highlight w:val="none"/>
              </w:rPr>
              <w:t>万元</w:t>
            </w:r>
            <w:r>
              <w:rPr>
                <w:rFonts w:hint="eastAsia"/>
                <w:color w:val="auto"/>
                <w:highlight w:val="none"/>
                <w:lang w:eastAsia="zh-CN"/>
              </w:rPr>
              <w:t>）</w:t>
            </w:r>
          </w:p>
        </w:tc>
        <w:tc>
          <w:tcPr>
            <w:tcW w:w="2173" w:type="dxa"/>
            <w:vAlign w:val="center"/>
          </w:tcPr>
          <w:p w14:paraId="79FF0FC0">
            <w:pPr>
              <w:jc w:val="center"/>
              <w:rPr>
                <w:color w:val="auto"/>
                <w:highlight w:val="none"/>
              </w:rPr>
            </w:pPr>
            <w:r>
              <w:rPr>
                <w:rFonts w:hint="eastAsia"/>
                <w:color w:val="auto"/>
                <w:highlight w:val="none"/>
              </w:rPr>
              <w:t>已经做过的类似项目</w:t>
            </w:r>
          </w:p>
        </w:tc>
      </w:tr>
      <w:tr w14:paraId="1611B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7" w:type="dxa"/>
            <w:vAlign w:val="center"/>
          </w:tcPr>
          <w:p w14:paraId="6A11390D">
            <w:pPr>
              <w:jc w:val="center"/>
              <w:rPr>
                <w:color w:val="auto"/>
                <w:highlight w:val="none"/>
              </w:rPr>
            </w:pPr>
          </w:p>
        </w:tc>
        <w:tc>
          <w:tcPr>
            <w:tcW w:w="2336" w:type="dxa"/>
            <w:vAlign w:val="center"/>
          </w:tcPr>
          <w:p w14:paraId="3DEE75BE">
            <w:pPr>
              <w:jc w:val="center"/>
              <w:rPr>
                <w:color w:val="auto"/>
                <w:highlight w:val="none"/>
              </w:rPr>
            </w:pPr>
          </w:p>
        </w:tc>
        <w:tc>
          <w:tcPr>
            <w:tcW w:w="2336" w:type="dxa"/>
            <w:vAlign w:val="center"/>
          </w:tcPr>
          <w:p w14:paraId="68755214">
            <w:pPr>
              <w:jc w:val="center"/>
              <w:rPr>
                <w:color w:val="auto"/>
                <w:highlight w:val="none"/>
              </w:rPr>
            </w:pPr>
          </w:p>
        </w:tc>
        <w:tc>
          <w:tcPr>
            <w:tcW w:w="2173" w:type="dxa"/>
            <w:vMerge w:val="restart"/>
            <w:vAlign w:val="center"/>
          </w:tcPr>
          <w:p w14:paraId="39DF4561">
            <w:pPr>
              <w:jc w:val="center"/>
              <w:rPr>
                <w:color w:val="auto"/>
                <w:highlight w:val="none"/>
              </w:rPr>
            </w:pPr>
          </w:p>
        </w:tc>
      </w:tr>
      <w:tr w14:paraId="3CE5C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7" w:type="dxa"/>
            <w:vAlign w:val="center"/>
          </w:tcPr>
          <w:p w14:paraId="0123791F">
            <w:pPr>
              <w:jc w:val="center"/>
              <w:rPr>
                <w:color w:val="auto"/>
                <w:highlight w:val="none"/>
              </w:rPr>
            </w:pPr>
          </w:p>
        </w:tc>
        <w:tc>
          <w:tcPr>
            <w:tcW w:w="2336" w:type="dxa"/>
            <w:vAlign w:val="center"/>
          </w:tcPr>
          <w:p w14:paraId="3A88D49A">
            <w:pPr>
              <w:jc w:val="center"/>
              <w:rPr>
                <w:color w:val="auto"/>
                <w:highlight w:val="none"/>
              </w:rPr>
            </w:pPr>
          </w:p>
        </w:tc>
        <w:tc>
          <w:tcPr>
            <w:tcW w:w="2336" w:type="dxa"/>
            <w:vAlign w:val="center"/>
          </w:tcPr>
          <w:p w14:paraId="4D2FFBEB">
            <w:pPr>
              <w:jc w:val="center"/>
              <w:rPr>
                <w:color w:val="auto"/>
                <w:highlight w:val="none"/>
              </w:rPr>
            </w:pPr>
          </w:p>
        </w:tc>
        <w:tc>
          <w:tcPr>
            <w:tcW w:w="2173" w:type="dxa"/>
            <w:vMerge w:val="continue"/>
          </w:tcPr>
          <w:p w14:paraId="0F0C8466">
            <w:pPr>
              <w:rPr>
                <w:color w:val="auto"/>
                <w:highlight w:val="none"/>
              </w:rPr>
            </w:pPr>
          </w:p>
        </w:tc>
      </w:tr>
    </w:tbl>
    <w:p w14:paraId="5ADB193C">
      <w:pPr>
        <w:rPr>
          <w:color w:val="auto"/>
          <w:highlight w:val="none"/>
        </w:rPr>
      </w:pPr>
    </w:p>
    <w:p w14:paraId="3F24D866">
      <w:pPr>
        <w:rPr>
          <w:color w:val="auto"/>
          <w:highlight w:val="none"/>
        </w:rPr>
      </w:pPr>
      <w:r>
        <w:rPr>
          <w:color w:val="auto"/>
          <w:highlight w:val="none"/>
        </w:rPr>
        <w:br w:type="page"/>
      </w:r>
    </w:p>
    <w:p w14:paraId="53A31570">
      <w:pPr>
        <w:keepNext w:val="0"/>
        <w:keepLines w:val="0"/>
        <w:pageBreakBefore w:val="0"/>
        <w:widowControl w:val="0"/>
        <w:numPr>
          <w:ilvl w:val="0"/>
          <w:numId w:val="2"/>
        </w:numPr>
        <w:kinsoku/>
        <w:wordWrap/>
        <w:overflowPunct/>
        <w:topLinePunct w:val="0"/>
        <w:autoSpaceDE/>
        <w:autoSpaceDN/>
        <w:bidi w:val="0"/>
        <w:adjustRightInd/>
        <w:snapToGrid/>
        <w:jc w:val="center"/>
        <w:textAlignment w:val="auto"/>
        <w:outlineLvl w:val="2"/>
        <w:rPr>
          <w:rFonts w:hint="eastAsia" w:ascii="黑体" w:hAnsi="黑体" w:eastAsia="黑体"/>
          <w:b/>
          <w:color w:val="auto"/>
          <w:sz w:val="32"/>
          <w:szCs w:val="32"/>
          <w:highlight w:val="none"/>
          <w:lang w:val="en-US" w:eastAsia="zh-CN"/>
        </w:rPr>
      </w:pPr>
      <w:bookmarkStart w:id="1146" w:name="第08章投标文件格式09"/>
      <w:bookmarkEnd w:id="1146"/>
      <w:bookmarkStart w:id="1147" w:name="_Hlt269103346"/>
      <w:bookmarkStart w:id="1148" w:name="_Toc19144"/>
      <w:r>
        <w:rPr>
          <w:rFonts w:hint="eastAsia" w:ascii="黑体" w:hAnsi="黑体" w:eastAsia="黑体"/>
          <w:b/>
          <w:color w:val="auto"/>
          <w:sz w:val="32"/>
          <w:szCs w:val="32"/>
          <w:highlight w:val="none"/>
          <w:lang w:val="en-US" w:eastAsia="zh-CN"/>
        </w:rPr>
        <w:t>资格审查资料</w:t>
      </w:r>
      <w:bookmarkEnd w:id="1147"/>
      <w:bookmarkEnd w:id="1148"/>
    </w:p>
    <w:p w14:paraId="04BF41BA">
      <w:pPr>
        <w:numPr>
          <w:ilvl w:val="0"/>
          <w:numId w:val="0"/>
        </w:numPr>
        <w:bidi w:val="0"/>
        <w:rPr>
          <w:rFonts w:hint="eastAsia"/>
          <w:color w:val="auto"/>
          <w:highlight w:val="none"/>
        </w:rPr>
      </w:pPr>
      <w:r>
        <w:rPr>
          <w:rFonts w:hint="eastAsia"/>
          <w:color w:val="auto"/>
          <w:highlight w:val="none"/>
          <w:lang w:eastAsia="zh-CN"/>
        </w:rPr>
        <w:t>（</w:t>
      </w:r>
      <w:r>
        <w:rPr>
          <w:rFonts w:hint="eastAsia"/>
          <w:color w:val="auto"/>
          <w:highlight w:val="none"/>
        </w:rPr>
        <w:t>一</w:t>
      </w:r>
      <w:r>
        <w:rPr>
          <w:rFonts w:hint="eastAsia"/>
          <w:color w:val="auto"/>
          <w:highlight w:val="none"/>
          <w:lang w:eastAsia="zh-CN"/>
        </w:rPr>
        <w:t>）</w:t>
      </w:r>
      <w:r>
        <w:rPr>
          <w:rFonts w:hint="eastAsia"/>
          <w:color w:val="auto"/>
          <w:highlight w:val="none"/>
        </w:rPr>
        <w:t>投标人基本情况表</w:t>
      </w:r>
    </w:p>
    <w:tbl>
      <w:tblPr>
        <w:tblStyle w:val="2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4"/>
        <w:gridCol w:w="1004"/>
        <w:gridCol w:w="1502"/>
        <w:gridCol w:w="936"/>
        <w:gridCol w:w="415"/>
        <w:gridCol w:w="1350"/>
        <w:gridCol w:w="1350"/>
        <w:gridCol w:w="1188"/>
      </w:tblGrid>
      <w:tr w14:paraId="62F98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trPr>
        <w:tc>
          <w:tcPr>
            <w:tcW w:w="2438" w:type="dxa"/>
            <w:gridSpan w:val="2"/>
            <w:vAlign w:val="center"/>
          </w:tcPr>
          <w:p w14:paraId="2A19E85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highlight w:val="none"/>
              </w:rPr>
            </w:pPr>
            <w:r>
              <w:rPr>
                <w:rFonts w:hint="eastAsia"/>
                <w:color w:val="auto"/>
                <w:highlight w:val="none"/>
              </w:rPr>
              <w:t>投标人名称</w:t>
            </w:r>
          </w:p>
        </w:tc>
        <w:tc>
          <w:tcPr>
            <w:tcW w:w="6741" w:type="dxa"/>
            <w:gridSpan w:val="6"/>
            <w:vAlign w:val="center"/>
          </w:tcPr>
          <w:p w14:paraId="72A913C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highlight w:val="none"/>
              </w:rPr>
            </w:pPr>
          </w:p>
        </w:tc>
      </w:tr>
      <w:tr w14:paraId="3115E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2438" w:type="dxa"/>
            <w:gridSpan w:val="2"/>
            <w:vAlign w:val="center"/>
          </w:tcPr>
          <w:p w14:paraId="0BE7E72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highlight w:val="none"/>
              </w:rPr>
            </w:pPr>
            <w:r>
              <w:rPr>
                <w:rFonts w:hint="eastAsia"/>
                <w:color w:val="auto"/>
                <w:highlight w:val="none"/>
              </w:rPr>
              <w:t>注册地址</w:t>
            </w:r>
          </w:p>
        </w:tc>
        <w:tc>
          <w:tcPr>
            <w:tcW w:w="2853" w:type="dxa"/>
            <w:gridSpan w:val="3"/>
            <w:vAlign w:val="center"/>
          </w:tcPr>
          <w:p w14:paraId="65A6BA3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highlight w:val="none"/>
              </w:rPr>
            </w:pPr>
          </w:p>
        </w:tc>
        <w:tc>
          <w:tcPr>
            <w:tcW w:w="1350" w:type="dxa"/>
            <w:vAlign w:val="center"/>
          </w:tcPr>
          <w:p w14:paraId="0CFD6E0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highlight w:val="none"/>
              </w:rPr>
            </w:pPr>
            <w:r>
              <w:rPr>
                <w:rFonts w:hint="eastAsia"/>
                <w:color w:val="auto"/>
                <w:highlight w:val="none"/>
              </w:rPr>
              <w:t>邮政编码</w:t>
            </w:r>
          </w:p>
        </w:tc>
        <w:tc>
          <w:tcPr>
            <w:tcW w:w="2538" w:type="dxa"/>
            <w:gridSpan w:val="2"/>
            <w:vAlign w:val="center"/>
          </w:tcPr>
          <w:p w14:paraId="69B7C83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highlight w:val="none"/>
              </w:rPr>
            </w:pPr>
          </w:p>
        </w:tc>
      </w:tr>
      <w:tr w14:paraId="58EA8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trPr>
        <w:tc>
          <w:tcPr>
            <w:tcW w:w="2438" w:type="dxa"/>
            <w:gridSpan w:val="2"/>
            <w:vMerge w:val="restart"/>
            <w:vAlign w:val="center"/>
          </w:tcPr>
          <w:p w14:paraId="4FD7FD9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highlight w:val="none"/>
              </w:rPr>
            </w:pPr>
            <w:r>
              <w:rPr>
                <w:rFonts w:hint="eastAsia"/>
                <w:color w:val="auto"/>
                <w:highlight w:val="none"/>
              </w:rPr>
              <w:t>联系方式</w:t>
            </w:r>
          </w:p>
        </w:tc>
        <w:tc>
          <w:tcPr>
            <w:tcW w:w="1502" w:type="dxa"/>
            <w:vAlign w:val="center"/>
          </w:tcPr>
          <w:p w14:paraId="7D22CCC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highlight w:val="none"/>
              </w:rPr>
            </w:pPr>
            <w:r>
              <w:rPr>
                <w:rFonts w:hint="eastAsia"/>
                <w:color w:val="auto"/>
                <w:highlight w:val="none"/>
              </w:rPr>
              <w:t>联系人</w:t>
            </w:r>
          </w:p>
        </w:tc>
        <w:tc>
          <w:tcPr>
            <w:tcW w:w="1351" w:type="dxa"/>
            <w:gridSpan w:val="2"/>
            <w:vAlign w:val="center"/>
          </w:tcPr>
          <w:p w14:paraId="2B71A68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highlight w:val="none"/>
              </w:rPr>
            </w:pPr>
          </w:p>
        </w:tc>
        <w:tc>
          <w:tcPr>
            <w:tcW w:w="1350" w:type="dxa"/>
            <w:vAlign w:val="center"/>
          </w:tcPr>
          <w:p w14:paraId="2C79573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highlight w:val="none"/>
              </w:rPr>
            </w:pPr>
            <w:r>
              <w:rPr>
                <w:rFonts w:hint="eastAsia"/>
                <w:color w:val="auto"/>
                <w:highlight w:val="none"/>
              </w:rPr>
              <w:t>电话</w:t>
            </w:r>
          </w:p>
        </w:tc>
        <w:tc>
          <w:tcPr>
            <w:tcW w:w="2538" w:type="dxa"/>
            <w:gridSpan w:val="2"/>
            <w:vAlign w:val="center"/>
          </w:tcPr>
          <w:p w14:paraId="6D734FB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highlight w:val="none"/>
              </w:rPr>
            </w:pPr>
          </w:p>
        </w:tc>
      </w:tr>
      <w:tr w14:paraId="5B881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trPr>
        <w:tc>
          <w:tcPr>
            <w:tcW w:w="2438" w:type="dxa"/>
            <w:gridSpan w:val="2"/>
            <w:vMerge w:val="continue"/>
            <w:vAlign w:val="center"/>
          </w:tcPr>
          <w:p w14:paraId="6F1523E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highlight w:val="none"/>
              </w:rPr>
            </w:pPr>
          </w:p>
        </w:tc>
        <w:tc>
          <w:tcPr>
            <w:tcW w:w="1502" w:type="dxa"/>
            <w:vAlign w:val="center"/>
          </w:tcPr>
          <w:p w14:paraId="17EB747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highlight w:val="none"/>
              </w:rPr>
            </w:pPr>
            <w:r>
              <w:rPr>
                <w:rFonts w:hint="eastAsia"/>
                <w:color w:val="auto"/>
                <w:highlight w:val="none"/>
              </w:rPr>
              <w:t>传真</w:t>
            </w:r>
          </w:p>
        </w:tc>
        <w:tc>
          <w:tcPr>
            <w:tcW w:w="1351" w:type="dxa"/>
            <w:gridSpan w:val="2"/>
            <w:vAlign w:val="center"/>
          </w:tcPr>
          <w:p w14:paraId="10F9AF8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highlight w:val="none"/>
              </w:rPr>
            </w:pPr>
          </w:p>
        </w:tc>
        <w:tc>
          <w:tcPr>
            <w:tcW w:w="1350" w:type="dxa"/>
            <w:vAlign w:val="center"/>
          </w:tcPr>
          <w:p w14:paraId="5E35347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highlight w:val="none"/>
              </w:rPr>
            </w:pPr>
            <w:r>
              <w:rPr>
                <w:rFonts w:hint="eastAsia"/>
                <w:color w:val="auto"/>
                <w:highlight w:val="none"/>
              </w:rPr>
              <w:t>网址</w:t>
            </w:r>
          </w:p>
        </w:tc>
        <w:tc>
          <w:tcPr>
            <w:tcW w:w="2538" w:type="dxa"/>
            <w:gridSpan w:val="2"/>
            <w:vAlign w:val="center"/>
          </w:tcPr>
          <w:p w14:paraId="0E75608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highlight w:val="none"/>
              </w:rPr>
            </w:pPr>
          </w:p>
        </w:tc>
      </w:tr>
      <w:tr w14:paraId="2D02A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trPr>
        <w:tc>
          <w:tcPr>
            <w:tcW w:w="2438" w:type="dxa"/>
            <w:gridSpan w:val="2"/>
            <w:vAlign w:val="center"/>
          </w:tcPr>
          <w:p w14:paraId="326C2A2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highlight w:val="none"/>
              </w:rPr>
            </w:pPr>
            <w:r>
              <w:rPr>
                <w:rFonts w:hint="eastAsia"/>
                <w:color w:val="auto"/>
                <w:highlight w:val="none"/>
              </w:rPr>
              <w:t>组织结构</w:t>
            </w:r>
          </w:p>
        </w:tc>
        <w:tc>
          <w:tcPr>
            <w:tcW w:w="6741" w:type="dxa"/>
            <w:gridSpan w:val="6"/>
            <w:vAlign w:val="center"/>
          </w:tcPr>
          <w:p w14:paraId="4379C6E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highlight w:val="none"/>
              </w:rPr>
            </w:pPr>
          </w:p>
        </w:tc>
      </w:tr>
      <w:tr w14:paraId="2D691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trPr>
        <w:tc>
          <w:tcPr>
            <w:tcW w:w="1434" w:type="dxa"/>
            <w:vAlign w:val="center"/>
          </w:tcPr>
          <w:p w14:paraId="5659257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highlight w:val="none"/>
              </w:rPr>
            </w:pPr>
            <w:r>
              <w:rPr>
                <w:rFonts w:hint="eastAsia"/>
                <w:color w:val="auto"/>
                <w:highlight w:val="none"/>
              </w:rPr>
              <w:t>法定代表人</w:t>
            </w:r>
          </w:p>
        </w:tc>
        <w:tc>
          <w:tcPr>
            <w:tcW w:w="1004" w:type="dxa"/>
            <w:vAlign w:val="center"/>
          </w:tcPr>
          <w:p w14:paraId="3CB47A3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highlight w:val="none"/>
              </w:rPr>
            </w:pPr>
            <w:r>
              <w:rPr>
                <w:rFonts w:hint="eastAsia"/>
                <w:color w:val="auto"/>
                <w:highlight w:val="none"/>
              </w:rPr>
              <w:t>姓名</w:t>
            </w:r>
          </w:p>
        </w:tc>
        <w:tc>
          <w:tcPr>
            <w:tcW w:w="1502" w:type="dxa"/>
            <w:vAlign w:val="center"/>
          </w:tcPr>
          <w:p w14:paraId="1AC4B07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highlight w:val="none"/>
              </w:rPr>
            </w:pPr>
          </w:p>
        </w:tc>
        <w:tc>
          <w:tcPr>
            <w:tcW w:w="1351" w:type="dxa"/>
            <w:gridSpan w:val="2"/>
            <w:vAlign w:val="center"/>
          </w:tcPr>
          <w:p w14:paraId="78DB547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highlight w:val="none"/>
              </w:rPr>
            </w:pPr>
            <w:r>
              <w:rPr>
                <w:rFonts w:hint="eastAsia"/>
                <w:color w:val="auto"/>
                <w:highlight w:val="none"/>
              </w:rPr>
              <w:t>技术职称</w:t>
            </w:r>
          </w:p>
        </w:tc>
        <w:tc>
          <w:tcPr>
            <w:tcW w:w="1350" w:type="dxa"/>
            <w:vAlign w:val="center"/>
          </w:tcPr>
          <w:p w14:paraId="736543E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highlight w:val="none"/>
              </w:rPr>
            </w:pPr>
          </w:p>
        </w:tc>
        <w:tc>
          <w:tcPr>
            <w:tcW w:w="1350" w:type="dxa"/>
            <w:vAlign w:val="center"/>
          </w:tcPr>
          <w:p w14:paraId="652889D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highlight w:val="none"/>
              </w:rPr>
            </w:pPr>
            <w:r>
              <w:rPr>
                <w:rFonts w:hint="eastAsia"/>
                <w:color w:val="auto"/>
                <w:highlight w:val="none"/>
              </w:rPr>
              <w:t>电话</w:t>
            </w:r>
          </w:p>
        </w:tc>
        <w:tc>
          <w:tcPr>
            <w:tcW w:w="1188" w:type="dxa"/>
            <w:vAlign w:val="center"/>
          </w:tcPr>
          <w:p w14:paraId="7A32048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highlight w:val="none"/>
              </w:rPr>
            </w:pPr>
          </w:p>
        </w:tc>
      </w:tr>
      <w:tr w14:paraId="295FA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trPr>
        <w:tc>
          <w:tcPr>
            <w:tcW w:w="1434" w:type="dxa"/>
            <w:vAlign w:val="center"/>
          </w:tcPr>
          <w:p w14:paraId="36F0EA5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highlight w:val="none"/>
              </w:rPr>
            </w:pPr>
            <w:r>
              <w:rPr>
                <w:rFonts w:hint="eastAsia"/>
                <w:color w:val="auto"/>
                <w:highlight w:val="none"/>
              </w:rPr>
              <w:t>技术负责人</w:t>
            </w:r>
          </w:p>
        </w:tc>
        <w:tc>
          <w:tcPr>
            <w:tcW w:w="1004" w:type="dxa"/>
            <w:vAlign w:val="center"/>
          </w:tcPr>
          <w:p w14:paraId="39B813E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highlight w:val="none"/>
              </w:rPr>
            </w:pPr>
            <w:r>
              <w:rPr>
                <w:rFonts w:hint="eastAsia"/>
                <w:color w:val="auto"/>
                <w:highlight w:val="none"/>
              </w:rPr>
              <w:t>姓名</w:t>
            </w:r>
          </w:p>
        </w:tc>
        <w:tc>
          <w:tcPr>
            <w:tcW w:w="1502" w:type="dxa"/>
            <w:vAlign w:val="center"/>
          </w:tcPr>
          <w:p w14:paraId="75A8BA6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highlight w:val="none"/>
              </w:rPr>
            </w:pPr>
          </w:p>
        </w:tc>
        <w:tc>
          <w:tcPr>
            <w:tcW w:w="1351" w:type="dxa"/>
            <w:gridSpan w:val="2"/>
            <w:vAlign w:val="center"/>
          </w:tcPr>
          <w:p w14:paraId="7FA69E6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highlight w:val="none"/>
              </w:rPr>
            </w:pPr>
            <w:r>
              <w:rPr>
                <w:rFonts w:hint="eastAsia"/>
                <w:color w:val="auto"/>
                <w:highlight w:val="none"/>
              </w:rPr>
              <w:t>技术职称</w:t>
            </w:r>
          </w:p>
        </w:tc>
        <w:tc>
          <w:tcPr>
            <w:tcW w:w="1350" w:type="dxa"/>
            <w:vAlign w:val="center"/>
          </w:tcPr>
          <w:p w14:paraId="57353B3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highlight w:val="none"/>
              </w:rPr>
            </w:pPr>
          </w:p>
        </w:tc>
        <w:tc>
          <w:tcPr>
            <w:tcW w:w="1350" w:type="dxa"/>
            <w:vAlign w:val="center"/>
          </w:tcPr>
          <w:p w14:paraId="2F6AD09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highlight w:val="none"/>
              </w:rPr>
            </w:pPr>
            <w:r>
              <w:rPr>
                <w:rFonts w:hint="eastAsia"/>
                <w:color w:val="auto"/>
                <w:highlight w:val="none"/>
              </w:rPr>
              <w:t>电话</w:t>
            </w:r>
          </w:p>
        </w:tc>
        <w:tc>
          <w:tcPr>
            <w:tcW w:w="1188" w:type="dxa"/>
            <w:vAlign w:val="center"/>
          </w:tcPr>
          <w:p w14:paraId="61D9846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highlight w:val="none"/>
              </w:rPr>
            </w:pPr>
          </w:p>
        </w:tc>
      </w:tr>
      <w:tr w14:paraId="461D7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trPr>
        <w:tc>
          <w:tcPr>
            <w:tcW w:w="2438" w:type="dxa"/>
            <w:gridSpan w:val="2"/>
            <w:vAlign w:val="center"/>
          </w:tcPr>
          <w:p w14:paraId="3972266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highlight w:val="none"/>
              </w:rPr>
            </w:pPr>
            <w:r>
              <w:rPr>
                <w:rFonts w:hint="eastAsia"/>
                <w:color w:val="auto"/>
                <w:highlight w:val="none"/>
              </w:rPr>
              <w:t>成立时间</w:t>
            </w:r>
          </w:p>
        </w:tc>
        <w:tc>
          <w:tcPr>
            <w:tcW w:w="1502" w:type="dxa"/>
            <w:vAlign w:val="center"/>
          </w:tcPr>
          <w:p w14:paraId="27BB7A4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highlight w:val="none"/>
              </w:rPr>
            </w:pPr>
          </w:p>
        </w:tc>
        <w:tc>
          <w:tcPr>
            <w:tcW w:w="2701" w:type="dxa"/>
            <w:gridSpan w:val="3"/>
            <w:vAlign w:val="center"/>
          </w:tcPr>
          <w:p w14:paraId="7646188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highlight w:val="none"/>
              </w:rPr>
            </w:pPr>
            <w:r>
              <w:rPr>
                <w:rFonts w:hint="eastAsia"/>
                <w:color w:val="auto"/>
                <w:highlight w:val="none"/>
              </w:rPr>
              <w:t>员工总人数</w:t>
            </w:r>
          </w:p>
        </w:tc>
        <w:tc>
          <w:tcPr>
            <w:tcW w:w="2538" w:type="dxa"/>
            <w:gridSpan w:val="2"/>
            <w:vAlign w:val="center"/>
          </w:tcPr>
          <w:p w14:paraId="33D23BB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highlight w:val="none"/>
              </w:rPr>
            </w:pPr>
          </w:p>
        </w:tc>
      </w:tr>
      <w:tr w14:paraId="1685C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trPr>
        <w:tc>
          <w:tcPr>
            <w:tcW w:w="2438" w:type="dxa"/>
            <w:gridSpan w:val="2"/>
            <w:vAlign w:val="center"/>
          </w:tcPr>
          <w:p w14:paraId="3B0D228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highlight w:val="none"/>
              </w:rPr>
            </w:pPr>
            <w:r>
              <w:rPr>
                <w:rFonts w:hint="eastAsia"/>
                <w:color w:val="auto"/>
                <w:highlight w:val="none"/>
              </w:rPr>
              <w:t>企业资质等级</w:t>
            </w:r>
          </w:p>
        </w:tc>
        <w:tc>
          <w:tcPr>
            <w:tcW w:w="1502" w:type="dxa"/>
            <w:vAlign w:val="center"/>
          </w:tcPr>
          <w:p w14:paraId="4FDAA29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highlight w:val="none"/>
              </w:rPr>
            </w:pPr>
          </w:p>
        </w:tc>
        <w:tc>
          <w:tcPr>
            <w:tcW w:w="936" w:type="dxa"/>
            <w:vMerge w:val="restart"/>
            <w:vAlign w:val="center"/>
          </w:tcPr>
          <w:p w14:paraId="43F4533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highlight w:val="none"/>
              </w:rPr>
            </w:pPr>
            <w:r>
              <w:rPr>
                <w:rFonts w:hint="eastAsia"/>
                <w:color w:val="auto"/>
                <w:highlight w:val="none"/>
              </w:rPr>
              <w:t>其中</w:t>
            </w:r>
          </w:p>
        </w:tc>
        <w:tc>
          <w:tcPr>
            <w:tcW w:w="1765" w:type="dxa"/>
            <w:gridSpan w:val="2"/>
            <w:vAlign w:val="center"/>
          </w:tcPr>
          <w:p w14:paraId="044E681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highlight w:val="none"/>
              </w:rPr>
            </w:pPr>
            <w:r>
              <w:rPr>
                <w:rFonts w:hint="eastAsia"/>
                <w:color w:val="auto"/>
                <w:highlight w:val="none"/>
              </w:rPr>
              <w:t>项目经理</w:t>
            </w:r>
          </w:p>
        </w:tc>
        <w:tc>
          <w:tcPr>
            <w:tcW w:w="2538" w:type="dxa"/>
            <w:gridSpan w:val="2"/>
            <w:vAlign w:val="center"/>
          </w:tcPr>
          <w:p w14:paraId="4E844CD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highlight w:val="none"/>
              </w:rPr>
            </w:pPr>
          </w:p>
        </w:tc>
      </w:tr>
      <w:tr w14:paraId="7564A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trPr>
        <w:tc>
          <w:tcPr>
            <w:tcW w:w="2438" w:type="dxa"/>
            <w:gridSpan w:val="2"/>
            <w:vAlign w:val="center"/>
          </w:tcPr>
          <w:p w14:paraId="4A441E7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highlight w:val="none"/>
              </w:rPr>
            </w:pPr>
            <w:r>
              <w:rPr>
                <w:rFonts w:hint="eastAsia"/>
                <w:color w:val="auto"/>
                <w:highlight w:val="none"/>
              </w:rPr>
              <w:t>营业执照号</w:t>
            </w:r>
          </w:p>
        </w:tc>
        <w:tc>
          <w:tcPr>
            <w:tcW w:w="1502" w:type="dxa"/>
            <w:vAlign w:val="center"/>
          </w:tcPr>
          <w:p w14:paraId="7389006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highlight w:val="none"/>
              </w:rPr>
            </w:pPr>
          </w:p>
        </w:tc>
        <w:tc>
          <w:tcPr>
            <w:tcW w:w="936" w:type="dxa"/>
            <w:vMerge w:val="continue"/>
            <w:vAlign w:val="center"/>
          </w:tcPr>
          <w:p w14:paraId="13EC3A3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highlight w:val="none"/>
              </w:rPr>
            </w:pPr>
          </w:p>
        </w:tc>
        <w:tc>
          <w:tcPr>
            <w:tcW w:w="1765" w:type="dxa"/>
            <w:gridSpan w:val="2"/>
            <w:vAlign w:val="center"/>
          </w:tcPr>
          <w:p w14:paraId="3E64B38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highlight w:val="none"/>
              </w:rPr>
            </w:pPr>
            <w:r>
              <w:rPr>
                <w:rFonts w:hint="eastAsia"/>
                <w:color w:val="auto"/>
                <w:highlight w:val="none"/>
              </w:rPr>
              <w:t>高级职称人员</w:t>
            </w:r>
          </w:p>
        </w:tc>
        <w:tc>
          <w:tcPr>
            <w:tcW w:w="2538" w:type="dxa"/>
            <w:gridSpan w:val="2"/>
            <w:vAlign w:val="center"/>
          </w:tcPr>
          <w:p w14:paraId="53838D1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highlight w:val="none"/>
              </w:rPr>
            </w:pPr>
          </w:p>
        </w:tc>
      </w:tr>
      <w:tr w14:paraId="22DDE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trPr>
        <w:tc>
          <w:tcPr>
            <w:tcW w:w="2438" w:type="dxa"/>
            <w:gridSpan w:val="2"/>
            <w:vAlign w:val="center"/>
          </w:tcPr>
          <w:p w14:paraId="15EC57C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highlight w:val="none"/>
              </w:rPr>
            </w:pPr>
            <w:r>
              <w:rPr>
                <w:rFonts w:hint="eastAsia"/>
                <w:color w:val="auto"/>
                <w:highlight w:val="none"/>
              </w:rPr>
              <w:t>注册资金</w:t>
            </w:r>
          </w:p>
        </w:tc>
        <w:tc>
          <w:tcPr>
            <w:tcW w:w="1502" w:type="dxa"/>
            <w:vAlign w:val="center"/>
          </w:tcPr>
          <w:p w14:paraId="7077450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highlight w:val="none"/>
              </w:rPr>
            </w:pPr>
          </w:p>
        </w:tc>
        <w:tc>
          <w:tcPr>
            <w:tcW w:w="936" w:type="dxa"/>
            <w:vMerge w:val="continue"/>
            <w:vAlign w:val="center"/>
          </w:tcPr>
          <w:p w14:paraId="4AD596D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highlight w:val="none"/>
              </w:rPr>
            </w:pPr>
          </w:p>
        </w:tc>
        <w:tc>
          <w:tcPr>
            <w:tcW w:w="1765" w:type="dxa"/>
            <w:gridSpan w:val="2"/>
            <w:vAlign w:val="center"/>
          </w:tcPr>
          <w:p w14:paraId="7901069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highlight w:val="none"/>
              </w:rPr>
            </w:pPr>
            <w:r>
              <w:rPr>
                <w:rFonts w:hint="eastAsia"/>
                <w:color w:val="auto"/>
                <w:highlight w:val="none"/>
              </w:rPr>
              <w:t>中级职称人员</w:t>
            </w:r>
          </w:p>
        </w:tc>
        <w:tc>
          <w:tcPr>
            <w:tcW w:w="2538" w:type="dxa"/>
            <w:gridSpan w:val="2"/>
            <w:vAlign w:val="center"/>
          </w:tcPr>
          <w:p w14:paraId="314A64A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highlight w:val="none"/>
              </w:rPr>
            </w:pPr>
          </w:p>
        </w:tc>
      </w:tr>
      <w:tr w14:paraId="5D8AF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2438" w:type="dxa"/>
            <w:gridSpan w:val="2"/>
            <w:vAlign w:val="center"/>
          </w:tcPr>
          <w:p w14:paraId="41DC02F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highlight w:val="none"/>
              </w:rPr>
            </w:pPr>
            <w:r>
              <w:rPr>
                <w:rFonts w:hint="eastAsia"/>
                <w:color w:val="auto"/>
                <w:highlight w:val="none"/>
              </w:rPr>
              <w:t>开户银行</w:t>
            </w:r>
          </w:p>
        </w:tc>
        <w:tc>
          <w:tcPr>
            <w:tcW w:w="1502" w:type="dxa"/>
            <w:vAlign w:val="center"/>
          </w:tcPr>
          <w:p w14:paraId="3CF5C6F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highlight w:val="none"/>
              </w:rPr>
            </w:pPr>
          </w:p>
        </w:tc>
        <w:tc>
          <w:tcPr>
            <w:tcW w:w="936" w:type="dxa"/>
            <w:vMerge w:val="continue"/>
            <w:vAlign w:val="center"/>
          </w:tcPr>
          <w:p w14:paraId="2CA1F45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highlight w:val="none"/>
              </w:rPr>
            </w:pPr>
          </w:p>
        </w:tc>
        <w:tc>
          <w:tcPr>
            <w:tcW w:w="1765" w:type="dxa"/>
            <w:gridSpan w:val="2"/>
            <w:vAlign w:val="center"/>
          </w:tcPr>
          <w:p w14:paraId="76EE12F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highlight w:val="none"/>
              </w:rPr>
            </w:pPr>
            <w:r>
              <w:rPr>
                <w:rFonts w:hint="eastAsia"/>
                <w:color w:val="auto"/>
                <w:highlight w:val="none"/>
              </w:rPr>
              <w:t>初级职称人员</w:t>
            </w:r>
          </w:p>
        </w:tc>
        <w:tc>
          <w:tcPr>
            <w:tcW w:w="2538" w:type="dxa"/>
            <w:gridSpan w:val="2"/>
            <w:vAlign w:val="center"/>
          </w:tcPr>
          <w:p w14:paraId="6BDF518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highlight w:val="none"/>
              </w:rPr>
            </w:pPr>
          </w:p>
        </w:tc>
      </w:tr>
      <w:tr w14:paraId="3BF60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trPr>
        <w:tc>
          <w:tcPr>
            <w:tcW w:w="2438" w:type="dxa"/>
            <w:gridSpan w:val="2"/>
            <w:vAlign w:val="center"/>
          </w:tcPr>
          <w:p w14:paraId="0E83E60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highlight w:val="none"/>
              </w:rPr>
            </w:pPr>
            <w:r>
              <w:rPr>
                <w:rFonts w:hint="eastAsia"/>
                <w:color w:val="auto"/>
                <w:highlight w:val="none"/>
              </w:rPr>
              <w:t>账号</w:t>
            </w:r>
          </w:p>
        </w:tc>
        <w:tc>
          <w:tcPr>
            <w:tcW w:w="1502" w:type="dxa"/>
            <w:vAlign w:val="center"/>
          </w:tcPr>
          <w:p w14:paraId="4567608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highlight w:val="none"/>
              </w:rPr>
            </w:pPr>
          </w:p>
        </w:tc>
        <w:tc>
          <w:tcPr>
            <w:tcW w:w="936" w:type="dxa"/>
            <w:vMerge w:val="continue"/>
            <w:vAlign w:val="center"/>
          </w:tcPr>
          <w:p w14:paraId="247120D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highlight w:val="none"/>
              </w:rPr>
            </w:pPr>
          </w:p>
        </w:tc>
        <w:tc>
          <w:tcPr>
            <w:tcW w:w="1765" w:type="dxa"/>
            <w:gridSpan w:val="2"/>
            <w:vAlign w:val="center"/>
          </w:tcPr>
          <w:p w14:paraId="1579738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highlight w:val="none"/>
              </w:rPr>
            </w:pPr>
            <w:r>
              <w:rPr>
                <w:rFonts w:hint="eastAsia"/>
                <w:color w:val="auto"/>
                <w:highlight w:val="none"/>
              </w:rPr>
              <w:t>技工</w:t>
            </w:r>
          </w:p>
        </w:tc>
        <w:tc>
          <w:tcPr>
            <w:tcW w:w="2538" w:type="dxa"/>
            <w:gridSpan w:val="2"/>
            <w:vAlign w:val="center"/>
          </w:tcPr>
          <w:p w14:paraId="3CD09C3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highlight w:val="none"/>
              </w:rPr>
            </w:pPr>
          </w:p>
        </w:tc>
      </w:tr>
      <w:tr w14:paraId="25E3B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2438" w:type="dxa"/>
            <w:gridSpan w:val="2"/>
            <w:vAlign w:val="center"/>
          </w:tcPr>
          <w:p w14:paraId="708A11F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highlight w:val="none"/>
              </w:rPr>
            </w:pPr>
            <w:r>
              <w:rPr>
                <w:rFonts w:hint="eastAsia"/>
                <w:color w:val="auto"/>
                <w:highlight w:val="none"/>
              </w:rPr>
              <w:t>经营范围</w:t>
            </w:r>
          </w:p>
        </w:tc>
        <w:tc>
          <w:tcPr>
            <w:tcW w:w="6741" w:type="dxa"/>
            <w:gridSpan w:val="6"/>
            <w:vAlign w:val="center"/>
          </w:tcPr>
          <w:p w14:paraId="3D5C1F1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highlight w:val="none"/>
              </w:rPr>
            </w:pPr>
          </w:p>
        </w:tc>
      </w:tr>
      <w:tr w14:paraId="4AA0F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trPr>
        <w:tc>
          <w:tcPr>
            <w:tcW w:w="2438" w:type="dxa"/>
            <w:gridSpan w:val="2"/>
            <w:vAlign w:val="center"/>
          </w:tcPr>
          <w:p w14:paraId="67998A9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highlight w:val="none"/>
              </w:rPr>
            </w:pPr>
            <w:r>
              <w:rPr>
                <w:rFonts w:hint="eastAsia"/>
                <w:color w:val="auto"/>
                <w:highlight w:val="none"/>
              </w:rPr>
              <w:t>备注</w:t>
            </w:r>
          </w:p>
        </w:tc>
        <w:tc>
          <w:tcPr>
            <w:tcW w:w="6741" w:type="dxa"/>
            <w:gridSpan w:val="6"/>
            <w:vAlign w:val="center"/>
          </w:tcPr>
          <w:p w14:paraId="157F3FA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color w:val="auto"/>
                <w:highlight w:val="none"/>
              </w:rPr>
            </w:pPr>
          </w:p>
        </w:tc>
      </w:tr>
    </w:tbl>
    <w:p w14:paraId="33DB2FD4">
      <w:pPr>
        <w:rPr>
          <w:color w:val="auto"/>
          <w:highlight w:val="none"/>
        </w:rPr>
      </w:pPr>
      <w:r>
        <w:rPr>
          <w:rFonts w:hint="eastAsia"/>
          <w:color w:val="auto"/>
          <w:highlight w:val="none"/>
        </w:rPr>
        <w:t>　　注　相关材料复印件在“十、原件的复印件”中提供。</w:t>
      </w:r>
    </w:p>
    <w:p w14:paraId="4867AF5F">
      <w:pPr>
        <w:rPr>
          <w:i/>
          <w:iCs/>
          <w:color w:val="auto"/>
          <w:highlight w:val="none"/>
        </w:rPr>
      </w:pPr>
    </w:p>
    <w:p w14:paraId="20B7178B">
      <w:pPr>
        <w:numPr>
          <w:ilvl w:val="0"/>
          <w:numId w:val="0"/>
        </w:numPr>
        <w:bidi w:val="0"/>
        <w:rPr>
          <w:rFonts w:hint="eastAsia"/>
          <w:color w:val="auto"/>
          <w:highlight w:val="none"/>
        </w:rPr>
      </w:pPr>
      <w:r>
        <w:rPr>
          <w:rFonts w:hint="eastAsia"/>
          <w:color w:val="auto"/>
          <w:highlight w:val="none"/>
        </w:rPr>
        <w:t>　　</w:t>
      </w:r>
      <w:r>
        <w:rPr>
          <w:rFonts w:hint="eastAsia"/>
          <w:color w:val="auto"/>
          <w:highlight w:val="none"/>
          <w:lang w:eastAsia="zh-CN"/>
        </w:rPr>
        <w:t>（</w:t>
      </w:r>
      <w:r>
        <w:rPr>
          <w:rFonts w:hint="eastAsia"/>
          <w:color w:val="auto"/>
          <w:highlight w:val="none"/>
        </w:rPr>
        <w:t>二</w:t>
      </w:r>
      <w:r>
        <w:rPr>
          <w:rFonts w:hint="eastAsia"/>
          <w:color w:val="auto"/>
          <w:highlight w:val="none"/>
          <w:lang w:eastAsia="zh-CN"/>
        </w:rPr>
        <w:t>）</w:t>
      </w:r>
      <w:r>
        <w:rPr>
          <w:rFonts w:hint="eastAsia"/>
          <w:color w:val="auto"/>
          <w:highlight w:val="none"/>
        </w:rPr>
        <w:t>近</w:t>
      </w:r>
      <w:r>
        <w:rPr>
          <w:rFonts w:hint="eastAsia"/>
          <w:color w:val="auto"/>
          <w:highlight w:val="none"/>
          <w:lang w:val="en-US" w:eastAsia="zh-CN"/>
        </w:rPr>
        <w:t xml:space="preserve">  </w:t>
      </w:r>
      <w:r>
        <w:rPr>
          <w:rFonts w:hint="eastAsia"/>
          <w:color w:val="auto"/>
          <w:highlight w:val="none"/>
        </w:rPr>
        <w:t>年财务状况</w:t>
      </w:r>
    </w:p>
    <w:p w14:paraId="1088C3E4">
      <w:pPr>
        <w:jc w:val="center"/>
        <w:rPr>
          <w:rFonts w:hint="eastAsia" w:eastAsia="宋体"/>
          <w:color w:val="auto"/>
          <w:highlight w:val="none"/>
          <w:lang w:eastAsia="zh-CN"/>
        </w:rPr>
      </w:pPr>
      <w:r>
        <w:rPr>
          <w:rFonts w:hint="eastAsia"/>
          <w:color w:val="auto"/>
          <w:highlight w:val="none"/>
          <w:lang w:eastAsia="zh-CN"/>
        </w:rPr>
        <w:t>（</w:t>
      </w:r>
      <w:r>
        <w:rPr>
          <w:rFonts w:hint="eastAsia"/>
          <w:color w:val="auto"/>
          <w:highlight w:val="none"/>
        </w:rPr>
        <w:t>近</w:t>
      </w:r>
      <w:r>
        <w:rPr>
          <w:rFonts w:hint="eastAsia"/>
          <w:color w:val="auto"/>
          <w:highlight w:val="none"/>
          <w:u w:val="single"/>
          <w:lang w:val="en-US" w:eastAsia="zh-CN"/>
        </w:rPr>
        <w:t xml:space="preserve">   </w:t>
      </w:r>
      <w:r>
        <w:rPr>
          <w:rFonts w:hint="eastAsia"/>
          <w:color w:val="auto"/>
          <w:highlight w:val="none"/>
        </w:rPr>
        <w:t>年指　　　　年　　月至　　　　年　　月</w:t>
      </w:r>
      <w:r>
        <w:rPr>
          <w:rFonts w:hint="eastAsia"/>
          <w:color w:val="auto"/>
          <w:highlight w:val="none"/>
          <w:lang w:eastAsia="zh-CN"/>
        </w:rPr>
        <w:t>）</w:t>
      </w:r>
    </w:p>
    <w:p w14:paraId="456148B4">
      <w:pPr>
        <w:jc w:val="left"/>
        <w:rPr>
          <w:rFonts w:hint="eastAsia"/>
          <w:color w:val="auto"/>
          <w:highlight w:val="none"/>
        </w:rPr>
      </w:pPr>
      <w:r>
        <w:rPr>
          <w:rFonts w:hint="eastAsia"/>
          <w:color w:val="auto"/>
          <w:highlight w:val="none"/>
        </w:rPr>
        <w:t>　　1.财务状况表</w:t>
      </w:r>
    </w:p>
    <w:p w14:paraId="1A6E35EB">
      <w:pPr>
        <w:jc w:val="center"/>
        <w:rPr>
          <w:b/>
          <w:color w:val="auto"/>
          <w:highlight w:val="none"/>
        </w:rPr>
      </w:pPr>
      <w:r>
        <w:rPr>
          <w:rFonts w:hint="eastAsia"/>
          <w:b/>
          <w:color w:val="auto"/>
          <w:highlight w:val="none"/>
        </w:rPr>
        <w:t>财务状况表</w:t>
      </w:r>
    </w:p>
    <w:tbl>
      <w:tblPr>
        <w:tblStyle w:val="2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73"/>
        <w:gridCol w:w="1881"/>
        <w:gridCol w:w="1882"/>
        <w:gridCol w:w="1882"/>
        <w:gridCol w:w="1719"/>
      </w:tblGrid>
      <w:tr w14:paraId="14881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1773" w:type="dxa"/>
            <w:vAlign w:val="center"/>
          </w:tcPr>
          <w:p w14:paraId="1CA0441D">
            <w:pPr>
              <w:jc w:val="center"/>
              <w:rPr>
                <w:color w:val="auto"/>
                <w:highlight w:val="none"/>
              </w:rPr>
            </w:pPr>
            <w:r>
              <w:rPr>
                <w:rFonts w:hint="eastAsia"/>
                <w:color w:val="auto"/>
                <w:highlight w:val="none"/>
              </w:rPr>
              <w:t>名称</w:t>
            </w:r>
          </w:p>
        </w:tc>
        <w:tc>
          <w:tcPr>
            <w:tcW w:w="1881" w:type="dxa"/>
            <w:vAlign w:val="center"/>
          </w:tcPr>
          <w:p w14:paraId="76F4661D">
            <w:pPr>
              <w:jc w:val="center"/>
              <w:rPr>
                <w:color w:val="auto"/>
                <w:highlight w:val="none"/>
              </w:rPr>
            </w:pPr>
            <w:r>
              <w:rPr>
                <w:rFonts w:hint="eastAsia"/>
                <w:color w:val="auto"/>
                <w:highlight w:val="none"/>
              </w:rPr>
              <w:t>单位</w:t>
            </w:r>
          </w:p>
        </w:tc>
        <w:tc>
          <w:tcPr>
            <w:tcW w:w="1882" w:type="dxa"/>
            <w:vAlign w:val="center"/>
          </w:tcPr>
          <w:p w14:paraId="1BDF0751">
            <w:pPr>
              <w:jc w:val="center"/>
              <w:rPr>
                <w:color w:val="auto"/>
                <w:highlight w:val="none"/>
              </w:rPr>
            </w:pPr>
            <w:r>
              <w:rPr>
                <w:rFonts w:hint="eastAsia"/>
                <w:color w:val="auto"/>
                <w:highlight w:val="none"/>
              </w:rPr>
              <w:t>　　年</w:t>
            </w:r>
          </w:p>
        </w:tc>
        <w:tc>
          <w:tcPr>
            <w:tcW w:w="1882" w:type="dxa"/>
            <w:vAlign w:val="center"/>
          </w:tcPr>
          <w:p w14:paraId="07BE4847">
            <w:pPr>
              <w:jc w:val="center"/>
              <w:rPr>
                <w:color w:val="auto"/>
                <w:highlight w:val="none"/>
              </w:rPr>
            </w:pPr>
            <w:r>
              <w:rPr>
                <w:rFonts w:hint="eastAsia"/>
                <w:color w:val="auto"/>
                <w:highlight w:val="none"/>
              </w:rPr>
              <w:t>　　年</w:t>
            </w:r>
          </w:p>
        </w:tc>
        <w:tc>
          <w:tcPr>
            <w:tcW w:w="1719" w:type="dxa"/>
            <w:vAlign w:val="center"/>
          </w:tcPr>
          <w:p w14:paraId="6062AC5B">
            <w:pPr>
              <w:jc w:val="center"/>
              <w:rPr>
                <w:color w:val="auto"/>
                <w:highlight w:val="none"/>
              </w:rPr>
            </w:pPr>
            <w:r>
              <w:rPr>
                <w:rFonts w:hint="eastAsia"/>
                <w:color w:val="auto"/>
                <w:highlight w:val="none"/>
              </w:rPr>
              <w:t>　　年</w:t>
            </w:r>
          </w:p>
        </w:tc>
      </w:tr>
      <w:tr w14:paraId="6E2F9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1773" w:type="dxa"/>
            <w:vAlign w:val="center"/>
          </w:tcPr>
          <w:p w14:paraId="4BBC010A">
            <w:pPr>
              <w:jc w:val="center"/>
              <w:rPr>
                <w:color w:val="auto"/>
                <w:highlight w:val="none"/>
              </w:rPr>
            </w:pPr>
            <w:r>
              <w:rPr>
                <w:rFonts w:hint="eastAsia"/>
                <w:color w:val="auto"/>
                <w:highlight w:val="none"/>
              </w:rPr>
              <w:t>一、注册资金</w:t>
            </w:r>
          </w:p>
        </w:tc>
        <w:tc>
          <w:tcPr>
            <w:tcW w:w="1881" w:type="dxa"/>
            <w:vAlign w:val="center"/>
          </w:tcPr>
          <w:p w14:paraId="1081DB27">
            <w:pPr>
              <w:jc w:val="center"/>
              <w:rPr>
                <w:color w:val="auto"/>
                <w:highlight w:val="none"/>
              </w:rPr>
            </w:pPr>
          </w:p>
        </w:tc>
        <w:tc>
          <w:tcPr>
            <w:tcW w:w="1882" w:type="dxa"/>
            <w:vAlign w:val="center"/>
          </w:tcPr>
          <w:p w14:paraId="0536D9B6">
            <w:pPr>
              <w:jc w:val="center"/>
              <w:rPr>
                <w:color w:val="auto"/>
                <w:highlight w:val="none"/>
              </w:rPr>
            </w:pPr>
          </w:p>
        </w:tc>
        <w:tc>
          <w:tcPr>
            <w:tcW w:w="1882" w:type="dxa"/>
            <w:vAlign w:val="center"/>
          </w:tcPr>
          <w:p w14:paraId="3BF0BD4F">
            <w:pPr>
              <w:jc w:val="center"/>
              <w:rPr>
                <w:color w:val="auto"/>
                <w:highlight w:val="none"/>
              </w:rPr>
            </w:pPr>
          </w:p>
        </w:tc>
        <w:tc>
          <w:tcPr>
            <w:tcW w:w="1719" w:type="dxa"/>
            <w:vAlign w:val="center"/>
          </w:tcPr>
          <w:p w14:paraId="127445E3">
            <w:pPr>
              <w:jc w:val="center"/>
              <w:rPr>
                <w:color w:val="auto"/>
                <w:highlight w:val="none"/>
              </w:rPr>
            </w:pPr>
          </w:p>
        </w:tc>
      </w:tr>
      <w:tr w14:paraId="09150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1773" w:type="dxa"/>
            <w:vAlign w:val="center"/>
          </w:tcPr>
          <w:p w14:paraId="4A427A68">
            <w:pPr>
              <w:jc w:val="center"/>
              <w:rPr>
                <w:color w:val="auto"/>
                <w:highlight w:val="none"/>
              </w:rPr>
            </w:pPr>
            <w:r>
              <w:rPr>
                <w:rFonts w:hint="eastAsia"/>
                <w:color w:val="auto"/>
                <w:highlight w:val="none"/>
              </w:rPr>
              <w:t>二、净资产</w:t>
            </w:r>
          </w:p>
        </w:tc>
        <w:tc>
          <w:tcPr>
            <w:tcW w:w="1881" w:type="dxa"/>
            <w:vAlign w:val="center"/>
          </w:tcPr>
          <w:p w14:paraId="3A295B87">
            <w:pPr>
              <w:jc w:val="center"/>
              <w:rPr>
                <w:color w:val="auto"/>
                <w:highlight w:val="none"/>
              </w:rPr>
            </w:pPr>
          </w:p>
        </w:tc>
        <w:tc>
          <w:tcPr>
            <w:tcW w:w="1882" w:type="dxa"/>
            <w:vAlign w:val="center"/>
          </w:tcPr>
          <w:p w14:paraId="2EA7ECC9">
            <w:pPr>
              <w:jc w:val="center"/>
              <w:rPr>
                <w:color w:val="auto"/>
                <w:highlight w:val="none"/>
              </w:rPr>
            </w:pPr>
          </w:p>
        </w:tc>
        <w:tc>
          <w:tcPr>
            <w:tcW w:w="1882" w:type="dxa"/>
            <w:vAlign w:val="center"/>
          </w:tcPr>
          <w:p w14:paraId="1402106D">
            <w:pPr>
              <w:jc w:val="center"/>
              <w:rPr>
                <w:color w:val="auto"/>
                <w:highlight w:val="none"/>
              </w:rPr>
            </w:pPr>
          </w:p>
        </w:tc>
        <w:tc>
          <w:tcPr>
            <w:tcW w:w="1719" w:type="dxa"/>
            <w:vAlign w:val="center"/>
          </w:tcPr>
          <w:p w14:paraId="33BF018F">
            <w:pPr>
              <w:jc w:val="center"/>
              <w:rPr>
                <w:color w:val="auto"/>
                <w:highlight w:val="none"/>
              </w:rPr>
            </w:pPr>
          </w:p>
        </w:tc>
      </w:tr>
      <w:tr w14:paraId="3986E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1773" w:type="dxa"/>
            <w:vAlign w:val="center"/>
          </w:tcPr>
          <w:p w14:paraId="5B877C9D">
            <w:pPr>
              <w:jc w:val="center"/>
              <w:rPr>
                <w:color w:val="auto"/>
                <w:highlight w:val="none"/>
              </w:rPr>
            </w:pPr>
            <w:r>
              <w:rPr>
                <w:rFonts w:hint="eastAsia"/>
                <w:color w:val="auto"/>
                <w:highlight w:val="none"/>
              </w:rPr>
              <w:t>三、总资产</w:t>
            </w:r>
          </w:p>
        </w:tc>
        <w:tc>
          <w:tcPr>
            <w:tcW w:w="1881" w:type="dxa"/>
            <w:vAlign w:val="center"/>
          </w:tcPr>
          <w:p w14:paraId="47A6B8CC">
            <w:pPr>
              <w:jc w:val="center"/>
              <w:rPr>
                <w:color w:val="auto"/>
                <w:highlight w:val="none"/>
              </w:rPr>
            </w:pPr>
          </w:p>
        </w:tc>
        <w:tc>
          <w:tcPr>
            <w:tcW w:w="1882" w:type="dxa"/>
            <w:vAlign w:val="center"/>
          </w:tcPr>
          <w:p w14:paraId="46DCDB6D">
            <w:pPr>
              <w:jc w:val="center"/>
              <w:rPr>
                <w:color w:val="auto"/>
                <w:highlight w:val="none"/>
              </w:rPr>
            </w:pPr>
          </w:p>
        </w:tc>
        <w:tc>
          <w:tcPr>
            <w:tcW w:w="1882" w:type="dxa"/>
            <w:vAlign w:val="center"/>
          </w:tcPr>
          <w:p w14:paraId="18A1B8F2">
            <w:pPr>
              <w:jc w:val="center"/>
              <w:rPr>
                <w:color w:val="auto"/>
                <w:highlight w:val="none"/>
              </w:rPr>
            </w:pPr>
          </w:p>
        </w:tc>
        <w:tc>
          <w:tcPr>
            <w:tcW w:w="1719" w:type="dxa"/>
            <w:vAlign w:val="center"/>
          </w:tcPr>
          <w:p w14:paraId="320D1B7F">
            <w:pPr>
              <w:jc w:val="center"/>
              <w:rPr>
                <w:color w:val="auto"/>
                <w:highlight w:val="none"/>
              </w:rPr>
            </w:pPr>
          </w:p>
        </w:tc>
      </w:tr>
      <w:tr w14:paraId="2AB2C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1773" w:type="dxa"/>
            <w:vAlign w:val="center"/>
          </w:tcPr>
          <w:p w14:paraId="4D92625A">
            <w:pPr>
              <w:jc w:val="center"/>
              <w:rPr>
                <w:color w:val="auto"/>
                <w:highlight w:val="none"/>
              </w:rPr>
            </w:pPr>
            <w:r>
              <w:rPr>
                <w:rFonts w:hint="eastAsia"/>
                <w:color w:val="auto"/>
                <w:highlight w:val="none"/>
              </w:rPr>
              <w:t>四、固定资产</w:t>
            </w:r>
          </w:p>
        </w:tc>
        <w:tc>
          <w:tcPr>
            <w:tcW w:w="1881" w:type="dxa"/>
            <w:vAlign w:val="center"/>
          </w:tcPr>
          <w:p w14:paraId="574BA3E2">
            <w:pPr>
              <w:jc w:val="center"/>
              <w:rPr>
                <w:color w:val="auto"/>
                <w:highlight w:val="none"/>
              </w:rPr>
            </w:pPr>
          </w:p>
        </w:tc>
        <w:tc>
          <w:tcPr>
            <w:tcW w:w="1882" w:type="dxa"/>
            <w:vAlign w:val="center"/>
          </w:tcPr>
          <w:p w14:paraId="0E942FEB">
            <w:pPr>
              <w:jc w:val="center"/>
              <w:rPr>
                <w:color w:val="auto"/>
                <w:highlight w:val="none"/>
              </w:rPr>
            </w:pPr>
          </w:p>
        </w:tc>
        <w:tc>
          <w:tcPr>
            <w:tcW w:w="1882" w:type="dxa"/>
            <w:vAlign w:val="center"/>
          </w:tcPr>
          <w:p w14:paraId="0B53AD50">
            <w:pPr>
              <w:jc w:val="center"/>
              <w:rPr>
                <w:color w:val="auto"/>
                <w:highlight w:val="none"/>
              </w:rPr>
            </w:pPr>
          </w:p>
        </w:tc>
        <w:tc>
          <w:tcPr>
            <w:tcW w:w="1719" w:type="dxa"/>
            <w:vAlign w:val="center"/>
          </w:tcPr>
          <w:p w14:paraId="39F6A25A">
            <w:pPr>
              <w:jc w:val="center"/>
              <w:rPr>
                <w:color w:val="auto"/>
                <w:highlight w:val="none"/>
              </w:rPr>
            </w:pPr>
          </w:p>
        </w:tc>
      </w:tr>
      <w:tr w14:paraId="374D9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1773" w:type="dxa"/>
            <w:vAlign w:val="center"/>
          </w:tcPr>
          <w:p w14:paraId="19D513A7">
            <w:pPr>
              <w:jc w:val="center"/>
              <w:rPr>
                <w:color w:val="auto"/>
                <w:highlight w:val="none"/>
              </w:rPr>
            </w:pPr>
            <w:r>
              <w:rPr>
                <w:rFonts w:hint="eastAsia"/>
                <w:color w:val="auto"/>
                <w:highlight w:val="none"/>
              </w:rPr>
              <w:t>五、流动资产</w:t>
            </w:r>
          </w:p>
        </w:tc>
        <w:tc>
          <w:tcPr>
            <w:tcW w:w="1881" w:type="dxa"/>
            <w:vAlign w:val="center"/>
          </w:tcPr>
          <w:p w14:paraId="73E2448C">
            <w:pPr>
              <w:jc w:val="center"/>
              <w:rPr>
                <w:color w:val="auto"/>
                <w:highlight w:val="none"/>
              </w:rPr>
            </w:pPr>
          </w:p>
        </w:tc>
        <w:tc>
          <w:tcPr>
            <w:tcW w:w="1882" w:type="dxa"/>
            <w:vAlign w:val="center"/>
          </w:tcPr>
          <w:p w14:paraId="5F157446">
            <w:pPr>
              <w:jc w:val="center"/>
              <w:rPr>
                <w:color w:val="auto"/>
                <w:highlight w:val="none"/>
              </w:rPr>
            </w:pPr>
          </w:p>
        </w:tc>
        <w:tc>
          <w:tcPr>
            <w:tcW w:w="1882" w:type="dxa"/>
            <w:vAlign w:val="center"/>
          </w:tcPr>
          <w:p w14:paraId="4A428BA9">
            <w:pPr>
              <w:jc w:val="center"/>
              <w:rPr>
                <w:color w:val="auto"/>
                <w:highlight w:val="none"/>
              </w:rPr>
            </w:pPr>
          </w:p>
        </w:tc>
        <w:tc>
          <w:tcPr>
            <w:tcW w:w="1719" w:type="dxa"/>
            <w:vAlign w:val="center"/>
          </w:tcPr>
          <w:p w14:paraId="2F4995FC">
            <w:pPr>
              <w:jc w:val="center"/>
              <w:rPr>
                <w:color w:val="auto"/>
                <w:highlight w:val="none"/>
              </w:rPr>
            </w:pPr>
          </w:p>
        </w:tc>
      </w:tr>
      <w:tr w14:paraId="021CD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1773" w:type="dxa"/>
            <w:vAlign w:val="center"/>
          </w:tcPr>
          <w:p w14:paraId="7020FED4">
            <w:pPr>
              <w:jc w:val="center"/>
              <w:rPr>
                <w:color w:val="auto"/>
                <w:highlight w:val="none"/>
              </w:rPr>
            </w:pPr>
            <w:r>
              <w:rPr>
                <w:rFonts w:hint="eastAsia"/>
                <w:color w:val="auto"/>
                <w:highlight w:val="none"/>
              </w:rPr>
              <w:t>六、流动负债</w:t>
            </w:r>
          </w:p>
        </w:tc>
        <w:tc>
          <w:tcPr>
            <w:tcW w:w="1881" w:type="dxa"/>
            <w:vAlign w:val="center"/>
          </w:tcPr>
          <w:p w14:paraId="21EB5D30">
            <w:pPr>
              <w:jc w:val="center"/>
              <w:rPr>
                <w:color w:val="auto"/>
                <w:highlight w:val="none"/>
              </w:rPr>
            </w:pPr>
          </w:p>
        </w:tc>
        <w:tc>
          <w:tcPr>
            <w:tcW w:w="1882" w:type="dxa"/>
            <w:vAlign w:val="center"/>
          </w:tcPr>
          <w:p w14:paraId="271F7BBF">
            <w:pPr>
              <w:jc w:val="center"/>
              <w:rPr>
                <w:color w:val="auto"/>
                <w:highlight w:val="none"/>
              </w:rPr>
            </w:pPr>
          </w:p>
        </w:tc>
        <w:tc>
          <w:tcPr>
            <w:tcW w:w="1882" w:type="dxa"/>
            <w:vAlign w:val="center"/>
          </w:tcPr>
          <w:p w14:paraId="489AEE36">
            <w:pPr>
              <w:jc w:val="center"/>
              <w:rPr>
                <w:color w:val="auto"/>
                <w:highlight w:val="none"/>
              </w:rPr>
            </w:pPr>
          </w:p>
        </w:tc>
        <w:tc>
          <w:tcPr>
            <w:tcW w:w="1719" w:type="dxa"/>
            <w:vAlign w:val="center"/>
          </w:tcPr>
          <w:p w14:paraId="5D6126F9">
            <w:pPr>
              <w:jc w:val="center"/>
              <w:rPr>
                <w:color w:val="auto"/>
                <w:highlight w:val="none"/>
              </w:rPr>
            </w:pPr>
          </w:p>
        </w:tc>
      </w:tr>
      <w:tr w14:paraId="5C744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1773" w:type="dxa"/>
            <w:vAlign w:val="center"/>
          </w:tcPr>
          <w:p w14:paraId="03805B1F">
            <w:pPr>
              <w:jc w:val="center"/>
              <w:rPr>
                <w:color w:val="auto"/>
                <w:highlight w:val="none"/>
              </w:rPr>
            </w:pPr>
            <w:r>
              <w:rPr>
                <w:rFonts w:hint="eastAsia"/>
                <w:color w:val="auto"/>
                <w:highlight w:val="none"/>
              </w:rPr>
              <w:t>七、负债合计</w:t>
            </w:r>
          </w:p>
        </w:tc>
        <w:tc>
          <w:tcPr>
            <w:tcW w:w="1881" w:type="dxa"/>
            <w:vAlign w:val="center"/>
          </w:tcPr>
          <w:p w14:paraId="08F4F4D4">
            <w:pPr>
              <w:jc w:val="center"/>
              <w:rPr>
                <w:color w:val="auto"/>
                <w:highlight w:val="none"/>
              </w:rPr>
            </w:pPr>
          </w:p>
        </w:tc>
        <w:tc>
          <w:tcPr>
            <w:tcW w:w="1882" w:type="dxa"/>
            <w:vAlign w:val="center"/>
          </w:tcPr>
          <w:p w14:paraId="2E904047">
            <w:pPr>
              <w:jc w:val="center"/>
              <w:rPr>
                <w:color w:val="auto"/>
                <w:highlight w:val="none"/>
              </w:rPr>
            </w:pPr>
          </w:p>
        </w:tc>
        <w:tc>
          <w:tcPr>
            <w:tcW w:w="1882" w:type="dxa"/>
            <w:vAlign w:val="center"/>
          </w:tcPr>
          <w:p w14:paraId="53693668">
            <w:pPr>
              <w:jc w:val="center"/>
              <w:rPr>
                <w:color w:val="auto"/>
                <w:highlight w:val="none"/>
              </w:rPr>
            </w:pPr>
          </w:p>
        </w:tc>
        <w:tc>
          <w:tcPr>
            <w:tcW w:w="1719" w:type="dxa"/>
            <w:vAlign w:val="center"/>
          </w:tcPr>
          <w:p w14:paraId="7BA5B2EF">
            <w:pPr>
              <w:jc w:val="center"/>
              <w:rPr>
                <w:color w:val="auto"/>
                <w:highlight w:val="none"/>
              </w:rPr>
            </w:pPr>
          </w:p>
        </w:tc>
      </w:tr>
      <w:tr w14:paraId="37205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1773" w:type="dxa"/>
            <w:vAlign w:val="center"/>
          </w:tcPr>
          <w:p w14:paraId="37846A9D">
            <w:pPr>
              <w:jc w:val="center"/>
              <w:rPr>
                <w:color w:val="auto"/>
                <w:highlight w:val="none"/>
              </w:rPr>
            </w:pPr>
            <w:r>
              <w:rPr>
                <w:rFonts w:hint="eastAsia"/>
                <w:color w:val="auto"/>
                <w:highlight w:val="none"/>
              </w:rPr>
              <w:t>八、营业收入</w:t>
            </w:r>
          </w:p>
        </w:tc>
        <w:tc>
          <w:tcPr>
            <w:tcW w:w="1881" w:type="dxa"/>
            <w:vAlign w:val="center"/>
          </w:tcPr>
          <w:p w14:paraId="7374DAB4">
            <w:pPr>
              <w:jc w:val="center"/>
              <w:rPr>
                <w:color w:val="auto"/>
                <w:highlight w:val="none"/>
              </w:rPr>
            </w:pPr>
          </w:p>
        </w:tc>
        <w:tc>
          <w:tcPr>
            <w:tcW w:w="1882" w:type="dxa"/>
            <w:vAlign w:val="center"/>
          </w:tcPr>
          <w:p w14:paraId="5B429AF1">
            <w:pPr>
              <w:jc w:val="center"/>
              <w:rPr>
                <w:color w:val="auto"/>
                <w:highlight w:val="none"/>
              </w:rPr>
            </w:pPr>
          </w:p>
        </w:tc>
        <w:tc>
          <w:tcPr>
            <w:tcW w:w="1882" w:type="dxa"/>
            <w:vAlign w:val="center"/>
          </w:tcPr>
          <w:p w14:paraId="32DF5701">
            <w:pPr>
              <w:jc w:val="center"/>
              <w:rPr>
                <w:color w:val="auto"/>
                <w:highlight w:val="none"/>
              </w:rPr>
            </w:pPr>
          </w:p>
        </w:tc>
        <w:tc>
          <w:tcPr>
            <w:tcW w:w="1719" w:type="dxa"/>
            <w:vAlign w:val="center"/>
          </w:tcPr>
          <w:p w14:paraId="0C74A504">
            <w:pPr>
              <w:jc w:val="center"/>
              <w:rPr>
                <w:color w:val="auto"/>
                <w:highlight w:val="none"/>
              </w:rPr>
            </w:pPr>
          </w:p>
        </w:tc>
      </w:tr>
      <w:tr w14:paraId="11F34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1773" w:type="dxa"/>
            <w:vAlign w:val="center"/>
          </w:tcPr>
          <w:p w14:paraId="4038CA6F">
            <w:pPr>
              <w:jc w:val="center"/>
              <w:rPr>
                <w:color w:val="auto"/>
                <w:highlight w:val="none"/>
              </w:rPr>
            </w:pPr>
            <w:r>
              <w:rPr>
                <w:rFonts w:hint="eastAsia"/>
                <w:color w:val="auto"/>
                <w:highlight w:val="none"/>
              </w:rPr>
              <w:t>九、净利润</w:t>
            </w:r>
          </w:p>
        </w:tc>
        <w:tc>
          <w:tcPr>
            <w:tcW w:w="1881" w:type="dxa"/>
            <w:vAlign w:val="center"/>
          </w:tcPr>
          <w:p w14:paraId="655FD8ED">
            <w:pPr>
              <w:jc w:val="center"/>
              <w:rPr>
                <w:color w:val="auto"/>
                <w:highlight w:val="none"/>
              </w:rPr>
            </w:pPr>
          </w:p>
        </w:tc>
        <w:tc>
          <w:tcPr>
            <w:tcW w:w="1882" w:type="dxa"/>
            <w:vAlign w:val="center"/>
          </w:tcPr>
          <w:p w14:paraId="36BBBF6D">
            <w:pPr>
              <w:jc w:val="center"/>
              <w:rPr>
                <w:color w:val="auto"/>
                <w:highlight w:val="none"/>
              </w:rPr>
            </w:pPr>
          </w:p>
        </w:tc>
        <w:tc>
          <w:tcPr>
            <w:tcW w:w="1882" w:type="dxa"/>
            <w:vAlign w:val="center"/>
          </w:tcPr>
          <w:p w14:paraId="7F534AFD">
            <w:pPr>
              <w:jc w:val="center"/>
              <w:rPr>
                <w:color w:val="auto"/>
                <w:highlight w:val="none"/>
              </w:rPr>
            </w:pPr>
          </w:p>
        </w:tc>
        <w:tc>
          <w:tcPr>
            <w:tcW w:w="1719" w:type="dxa"/>
            <w:vAlign w:val="center"/>
          </w:tcPr>
          <w:p w14:paraId="6EAB8069">
            <w:pPr>
              <w:jc w:val="center"/>
              <w:rPr>
                <w:color w:val="auto"/>
                <w:highlight w:val="none"/>
              </w:rPr>
            </w:pPr>
          </w:p>
        </w:tc>
      </w:tr>
      <w:tr w14:paraId="04D08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1773" w:type="dxa"/>
            <w:vAlign w:val="center"/>
          </w:tcPr>
          <w:p w14:paraId="58E576D4">
            <w:pPr>
              <w:jc w:val="center"/>
              <w:rPr>
                <w:color w:val="auto"/>
                <w:highlight w:val="none"/>
              </w:rPr>
            </w:pPr>
          </w:p>
        </w:tc>
        <w:tc>
          <w:tcPr>
            <w:tcW w:w="1881" w:type="dxa"/>
            <w:vAlign w:val="center"/>
          </w:tcPr>
          <w:p w14:paraId="7F7A0E1D">
            <w:pPr>
              <w:jc w:val="center"/>
              <w:rPr>
                <w:color w:val="auto"/>
                <w:highlight w:val="none"/>
              </w:rPr>
            </w:pPr>
          </w:p>
        </w:tc>
        <w:tc>
          <w:tcPr>
            <w:tcW w:w="1882" w:type="dxa"/>
            <w:vAlign w:val="center"/>
          </w:tcPr>
          <w:p w14:paraId="5E8581D0">
            <w:pPr>
              <w:jc w:val="center"/>
              <w:rPr>
                <w:color w:val="auto"/>
                <w:highlight w:val="none"/>
              </w:rPr>
            </w:pPr>
          </w:p>
        </w:tc>
        <w:tc>
          <w:tcPr>
            <w:tcW w:w="1882" w:type="dxa"/>
            <w:vAlign w:val="center"/>
          </w:tcPr>
          <w:p w14:paraId="1A79CEFD">
            <w:pPr>
              <w:jc w:val="center"/>
              <w:rPr>
                <w:color w:val="auto"/>
                <w:highlight w:val="none"/>
              </w:rPr>
            </w:pPr>
          </w:p>
        </w:tc>
        <w:tc>
          <w:tcPr>
            <w:tcW w:w="1719" w:type="dxa"/>
            <w:vAlign w:val="center"/>
          </w:tcPr>
          <w:p w14:paraId="009CF6C8">
            <w:pPr>
              <w:jc w:val="center"/>
              <w:rPr>
                <w:color w:val="auto"/>
                <w:highlight w:val="none"/>
              </w:rPr>
            </w:pPr>
          </w:p>
        </w:tc>
      </w:tr>
    </w:tbl>
    <w:p w14:paraId="49193350">
      <w:pPr>
        <w:rPr>
          <w:color w:val="auto"/>
          <w:highlight w:val="none"/>
        </w:rPr>
      </w:pPr>
    </w:p>
    <w:p w14:paraId="08DAF10A">
      <w:pPr>
        <w:rPr>
          <w:rFonts w:hint="eastAsia"/>
          <w:color w:val="auto"/>
          <w:highlight w:val="none"/>
        </w:rPr>
      </w:pPr>
      <w:r>
        <w:rPr>
          <w:rFonts w:hint="eastAsia"/>
          <w:color w:val="auto"/>
          <w:highlight w:val="none"/>
        </w:rPr>
        <w:t>　　</w:t>
      </w:r>
    </w:p>
    <w:p w14:paraId="78076F7C">
      <w:pPr>
        <w:rPr>
          <w:rFonts w:hint="eastAsia"/>
          <w:color w:val="auto"/>
          <w:highlight w:val="none"/>
        </w:rPr>
      </w:pPr>
    </w:p>
    <w:p w14:paraId="3522D0DE">
      <w:pPr>
        <w:rPr>
          <w:rFonts w:hint="eastAsia"/>
          <w:color w:val="auto"/>
          <w:highlight w:val="none"/>
        </w:rPr>
      </w:pPr>
    </w:p>
    <w:p w14:paraId="72987BDD">
      <w:pPr>
        <w:rPr>
          <w:rFonts w:hint="eastAsia"/>
          <w:color w:val="auto"/>
          <w:highlight w:val="none"/>
        </w:rPr>
      </w:pPr>
    </w:p>
    <w:p w14:paraId="06352149">
      <w:pPr>
        <w:rPr>
          <w:rFonts w:hint="eastAsia"/>
          <w:color w:val="auto"/>
          <w:highlight w:val="none"/>
        </w:rPr>
      </w:pPr>
    </w:p>
    <w:p w14:paraId="3EF3649E">
      <w:pPr>
        <w:rPr>
          <w:rFonts w:hint="eastAsia"/>
          <w:color w:val="auto"/>
          <w:highlight w:val="none"/>
        </w:rPr>
      </w:pPr>
    </w:p>
    <w:p w14:paraId="51EEC1A7">
      <w:pPr>
        <w:rPr>
          <w:rFonts w:hint="eastAsia"/>
          <w:color w:val="auto"/>
          <w:highlight w:val="none"/>
        </w:rPr>
      </w:pPr>
    </w:p>
    <w:p w14:paraId="265DCA61">
      <w:pPr>
        <w:rPr>
          <w:rFonts w:hint="eastAsia"/>
          <w:color w:val="auto"/>
          <w:highlight w:val="none"/>
        </w:rPr>
      </w:pPr>
      <w:r>
        <w:rPr>
          <w:rFonts w:hint="eastAsia"/>
          <w:color w:val="auto"/>
          <w:highlight w:val="none"/>
        </w:rPr>
        <w:t>2.拟投入本项目的流动资金函</w:t>
      </w:r>
    </w:p>
    <w:p w14:paraId="3493E420">
      <w:pPr>
        <w:jc w:val="center"/>
        <w:rPr>
          <w:rFonts w:hint="eastAsia" w:eastAsia="宋体"/>
          <w:b/>
          <w:color w:val="auto"/>
          <w:highlight w:val="none"/>
          <w:lang w:eastAsia="zh-CN"/>
        </w:rPr>
      </w:pPr>
      <w:r>
        <w:rPr>
          <w:rFonts w:hint="eastAsia"/>
          <w:b/>
          <w:color w:val="auto"/>
          <w:highlight w:val="none"/>
        </w:rPr>
        <w:t>拟投入本项目的流动资金函</w:t>
      </w:r>
      <w:r>
        <w:rPr>
          <w:rFonts w:hint="eastAsia"/>
          <w:b/>
          <w:color w:val="auto"/>
          <w:highlight w:val="none"/>
          <w:lang w:eastAsia="zh-CN"/>
        </w:rPr>
        <w:t>（</w:t>
      </w:r>
      <w:r>
        <w:rPr>
          <w:rFonts w:hint="eastAsia"/>
          <w:b/>
          <w:color w:val="auto"/>
          <w:highlight w:val="none"/>
        </w:rPr>
        <w:t>格式</w:t>
      </w:r>
      <w:r>
        <w:rPr>
          <w:rFonts w:hint="eastAsia"/>
          <w:b/>
          <w:color w:val="auto"/>
          <w:highlight w:val="none"/>
          <w:lang w:eastAsia="zh-CN"/>
        </w:rPr>
        <w:t>）</w:t>
      </w:r>
    </w:p>
    <w:p w14:paraId="0DAFA044">
      <w:pPr>
        <w:rPr>
          <w:color w:val="auto"/>
          <w:highlight w:val="none"/>
        </w:rPr>
      </w:pPr>
      <w:r>
        <w:rPr>
          <w:rFonts w:hint="eastAsia"/>
          <w:color w:val="auto"/>
          <w:highlight w:val="none"/>
        </w:rPr>
        <w:t>　　　　　　　　　　　　　</w:t>
      </w:r>
      <w:r>
        <w:rPr>
          <w:rFonts w:hint="eastAsia"/>
          <w:color w:val="auto"/>
          <w:highlight w:val="none"/>
          <w:lang w:eastAsia="zh-CN"/>
        </w:rPr>
        <w:t>（</w:t>
      </w:r>
      <w:r>
        <w:rPr>
          <w:rFonts w:hint="eastAsia"/>
          <w:color w:val="auto"/>
          <w:highlight w:val="none"/>
        </w:rPr>
        <w:t>招标人名称</w:t>
      </w:r>
      <w:r>
        <w:rPr>
          <w:rFonts w:hint="eastAsia"/>
          <w:color w:val="auto"/>
          <w:highlight w:val="none"/>
          <w:lang w:eastAsia="zh-CN"/>
        </w:rPr>
        <w:t>）</w:t>
      </w:r>
      <w:r>
        <w:rPr>
          <w:rFonts w:hint="eastAsia"/>
          <w:color w:val="auto"/>
          <w:highlight w:val="none"/>
        </w:rPr>
        <w:t>：</w:t>
      </w:r>
    </w:p>
    <w:p w14:paraId="1BAB1AD9">
      <w:pPr>
        <w:rPr>
          <w:color w:val="auto"/>
          <w:highlight w:val="none"/>
        </w:rPr>
      </w:pPr>
      <w:r>
        <w:rPr>
          <w:rFonts w:hint="eastAsia"/>
          <w:color w:val="auto"/>
          <w:highlight w:val="none"/>
        </w:rPr>
        <w:t>　　我方拟投入　　　　</w:t>
      </w:r>
      <w:r>
        <w:rPr>
          <w:rFonts w:hint="eastAsia"/>
          <w:color w:val="auto"/>
          <w:highlight w:val="none"/>
          <w:lang w:eastAsia="zh-CN"/>
        </w:rPr>
        <w:t>（</w:t>
      </w:r>
      <w:r>
        <w:rPr>
          <w:rFonts w:hint="eastAsia"/>
          <w:color w:val="auto"/>
          <w:highlight w:val="none"/>
        </w:rPr>
        <w:t>项目名称</w:t>
      </w:r>
      <w:r>
        <w:rPr>
          <w:rFonts w:hint="eastAsia"/>
          <w:color w:val="auto"/>
          <w:highlight w:val="none"/>
          <w:lang w:eastAsia="zh-CN"/>
        </w:rPr>
        <w:t>）</w:t>
      </w:r>
      <w:r>
        <w:rPr>
          <w:rFonts w:hint="eastAsia"/>
          <w:color w:val="auto"/>
          <w:highlight w:val="none"/>
        </w:rPr>
        <w:t>　　　　</w:t>
      </w:r>
      <w:r>
        <w:rPr>
          <w:rFonts w:hint="eastAsia"/>
          <w:color w:val="auto"/>
          <w:highlight w:val="none"/>
          <w:lang w:eastAsia="zh-CN"/>
        </w:rPr>
        <w:t>（</w:t>
      </w:r>
      <w:r>
        <w:rPr>
          <w:rFonts w:hint="eastAsia"/>
          <w:color w:val="auto"/>
          <w:highlight w:val="none"/>
        </w:rPr>
        <w:t>标段名称</w:t>
      </w:r>
      <w:r>
        <w:rPr>
          <w:rFonts w:hint="eastAsia"/>
          <w:color w:val="auto"/>
          <w:highlight w:val="none"/>
          <w:lang w:eastAsia="zh-CN"/>
        </w:rPr>
        <w:t>）</w:t>
      </w:r>
      <w:r>
        <w:rPr>
          <w:rFonts w:hint="eastAsia"/>
          <w:color w:val="auto"/>
          <w:highlight w:val="none"/>
        </w:rPr>
        <w:t>的流动资金为　　　　万元，资金来源于　　　　　，资金来源证明文件附后。</w:t>
      </w:r>
    </w:p>
    <w:p w14:paraId="3415A711">
      <w:pPr>
        <w:rPr>
          <w:rFonts w:hint="eastAsia" w:eastAsia="宋体"/>
          <w:color w:val="auto"/>
          <w:highlight w:val="none"/>
          <w:lang w:eastAsia="zh-CN"/>
        </w:rPr>
      </w:pPr>
      <w:r>
        <w:rPr>
          <w:rFonts w:hint="eastAsia"/>
          <w:color w:val="auto"/>
          <w:highlight w:val="none"/>
        </w:rPr>
        <w:t>　　　　　　　　　　　　　　　　　　　　　　　　　投标人：　　　　　　　　</w:t>
      </w:r>
      <w:r>
        <w:rPr>
          <w:rFonts w:hint="eastAsia"/>
          <w:color w:val="auto"/>
          <w:highlight w:val="none"/>
          <w:lang w:eastAsia="zh-CN"/>
        </w:rPr>
        <w:t>（</w:t>
      </w:r>
      <w:r>
        <w:rPr>
          <w:rFonts w:hint="eastAsia"/>
          <w:color w:val="auto"/>
          <w:highlight w:val="none"/>
        </w:rPr>
        <w:t>盖单位章</w:t>
      </w:r>
      <w:r>
        <w:rPr>
          <w:rFonts w:hint="eastAsia"/>
          <w:color w:val="auto"/>
          <w:highlight w:val="none"/>
          <w:lang w:eastAsia="zh-CN"/>
        </w:rPr>
        <w:t>）</w:t>
      </w:r>
    </w:p>
    <w:p w14:paraId="193857F7">
      <w:pPr>
        <w:rPr>
          <w:color w:val="auto"/>
          <w:highlight w:val="none"/>
        </w:rPr>
      </w:pPr>
      <w:r>
        <w:rPr>
          <w:rFonts w:hint="eastAsia"/>
          <w:color w:val="auto"/>
          <w:highlight w:val="none"/>
        </w:rPr>
        <w:t>　　　　　　　　　　　　　　　　　　　　　　　　　　　　　　　　　年　　月　　日</w:t>
      </w:r>
    </w:p>
    <w:p w14:paraId="1680278A">
      <w:pPr>
        <w:ind w:firstLine="420"/>
        <w:rPr>
          <w:rFonts w:hint="eastAsia"/>
          <w:color w:val="auto"/>
          <w:highlight w:val="none"/>
        </w:rPr>
      </w:pPr>
      <w:r>
        <w:rPr>
          <w:rFonts w:hint="eastAsia"/>
          <w:color w:val="auto"/>
          <w:highlight w:val="none"/>
        </w:rPr>
        <w:t>注：相关材料复印件在“十、原件的复印件”中提供。资金来源填写银行存款、银行信贷或其它形式。</w:t>
      </w:r>
    </w:p>
    <w:p w14:paraId="5B468301">
      <w:pPr>
        <w:ind w:firstLine="420"/>
        <w:rPr>
          <w:rFonts w:hint="eastAsia"/>
          <w:color w:val="auto"/>
          <w:highlight w:val="none"/>
          <w:lang w:eastAsia="zh-CN"/>
        </w:rPr>
      </w:pPr>
    </w:p>
    <w:p w14:paraId="7D936BD4">
      <w:pPr>
        <w:ind w:firstLine="420"/>
        <w:rPr>
          <w:b/>
          <w:color w:val="auto"/>
          <w:highlight w:val="none"/>
        </w:rPr>
      </w:pPr>
      <w:r>
        <w:rPr>
          <w:rFonts w:hint="eastAsia"/>
          <w:color w:val="auto"/>
          <w:highlight w:val="none"/>
          <w:lang w:eastAsia="zh-CN"/>
        </w:rPr>
        <w:t>（</w:t>
      </w:r>
      <w:r>
        <w:rPr>
          <w:rFonts w:hint="eastAsia"/>
          <w:color w:val="auto"/>
          <w:highlight w:val="none"/>
        </w:rPr>
        <w:t>三</w:t>
      </w:r>
      <w:r>
        <w:rPr>
          <w:rFonts w:hint="eastAsia"/>
          <w:color w:val="auto"/>
          <w:highlight w:val="none"/>
          <w:lang w:eastAsia="zh-CN"/>
        </w:rPr>
        <w:t>）</w:t>
      </w:r>
      <w:r>
        <w:rPr>
          <w:rFonts w:hint="eastAsia"/>
          <w:color w:val="auto"/>
          <w:highlight w:val="none"/>
        </w:rPr>
        <w:t>近</w:t>
      </w:r>
      <w:r>
        <w:rPr>
          <w:rFonts w:hint="eastAsia"/>
          <w:color w:val="auto"/>
          <w:highlight w:val="none"/>
          <w:lang w:val="en-US" w:eastAsia="zh-CN"/>
        </w:rPr>
        <w:t xml:space="preserve">  </w:t>
      </w:r>
      <w:r>
        <w:rPr>
          <w:rFonts w:hint="eastAsia"/>
          <w:color w:val="auto"/>
          <w:highlight w:val="none"/>
        </w:rPr>
        <w:t>年完成的类似项目情况表</w:t>
      </w:r>
    </w:p>
    <w:p w14:paraId="606D3604">
      <w:pPr>
        <w:jc w:val="center"/>
        <w:rPr>
          <w:rFonts w:hint="eastAsia" w:eastAsia="宋体"/>
          <w:color w:val="auto"/>
          <w:highlight w:val="none"/>
          <w:lang w:eastAsia="zh-CN"/>
        </w:rPr>
      </w:pPr>
      <w:r>
        <w:rPr>
          <w:rFonts w:hint="eastAsia"/>
          <w:color w:val="auto"/>
          <w:highlight w:val="none"/>
          <w:lang w:eastAsia="zh-CN"/>
        </w:rPr>
        <w:t>（</w:t>
      </w:r>
      <w:r>
        <w:rPr>
          <w:rFonts w:hint="eastAsia"/>
          <w:color w:val="auto"/>
          <w:highlight w:val="none"/>
        </w:rPr>
        <w:t>近</w:t>
      </w:r>
      <w:r>
        <w:rPr>
          <w:rFonts w:hint="eastAsia"/>
          <w:color w:val="auto"/>
          <w:highlight w:val="none"/>
          <w:u w:val="single"/>
          <w:lang w:val="en-US" w:eastAsia="zh-CN"/>
        </w:rPr>
        <w:t xml:space="preserve">   </w:t>
      </w:r>
      <w:r>
        <w:rPr>
          <w:rFonts w:hint="eastAsia"/>
          <w:color w:val="auto"/>
          <w:highlight w:val="none"/>
        </w:rPr>
        <w:t>年指　　　　年　　月至　　　　年　　月</w:t>
      </w:r>
      <w:r>
        <w:rPr>
          <w:rFonts w:hint="eastAsia"/>
          <w:color w:val="auto"/>
          <w:highlight w:val="none"/>
          <w:lang w:eastAsia="zh-CN"/>
        </w:rPr>
        <w:t>）</w:t>
      </w:r>
    </w:p>
    <w:tbl>
      <w:tblPr>
        <w:tblStyle w:val="2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10"/>
        <w:gridCol w:w="6662"/>
      </w:tblGrid>
      <w:tr w14:paraId="2BA76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7434F52E">
            <w:pPr>
              <w:jc w:val="center"/>
              <w:rPr>
                <w:color w:val="auto"/>
                <w:highlight w:val="none"/>
              </w:rPr>
            </w:pPr>
            <w:r>
              <w:rPr>
                <w:rFonts w:hint="eastAsia"/>
                <w:color w:val="auto"/>
                <w:highlight w:val="none"/>
              </w:rPr>
              <w:t>合同名称</w:t>
            </w:r>
          </w:p>
        </w:tc>
        <w:tc>
          <w:tcPr>
            <w:tcW w:w="6662" w:type="dxa"/>
          </w:tcPr>
          <w:p w14:paraId="1628173F">
            <w:pPr>
              <w:rPr>
                <w:color w:val="auto"/>
                <w:highlight w:val="none"/>
              </w:rPr>
            </w:pPr>
          </w:p>
        </w:tc>
      </w:tr>
      <w:tr w14:paraId="384AC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2C357DC9">
            <w:pPr>
              <w:jc w:val="center"/>
              <w:rPr>
                <w:color w:val="auto"/>
                <w:highlight w:val="none"/>
              </w:rPr>
            </w:pPr>
            <w:r>
              <w:rPr>
                <w:rFonts w:hint="eastAsia"/>
                <w:color w:val="auto"/>
                <w:highlight w:val="none"/>
              </w:rPr>
              <w:t>合同项目所在地</w:t>
            </w:r>
          </w:p>
        </w:tc>
        <w:tc>
          <w:tcPr>
            <w:tcW w:w="6662" w:type="dxa"/>
          </w:tcPr>
          <w:p w14:paraId="71E4584B">
            <w:pPr>
              <w:rPr>
                <w:color w:val="auto"/>
                <w:highlight w:val="none"/>
              </w:rPr>
            </w:pPr>
          </w:p>
        </w:tc>
      </w:tr>
      <w:tr w14:paraId="4D5C1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08FDEFD7">
            <w:pPr>
              <w:jc w:val="center"/>
              <w:rPr>
                <w:color w:val="auto"/>
                <w:highlight w:val="none"/>
              </w:rPr>
            </w:pPr>
            <w:r>
              <w:rPr>
                <w:rFonts w:hint="eastAsia"/>
                <w:color w:val="auto"/>
                <w:highlight w:val="none"/>
              </w:rPr>
              <w:t>发包人名称</w:t>
            </w:r>
          </w:p>
        </w:tc>
        <w:tc>
          <w:tcPr>
            <w:tcW w:w="6662" w:type="dxa"/>
          </w:tcPr>
          <w:p w14:paraId="34158675">
            <w:pPr>
              <w:rPr>
                <w:color w:val="auto"/>
                <w:highlight w:val="none"/>
              </w:rPr>
            </w:pPr>
          </w:p>
        </w:tc>
      </w:tr>
      <w:tr w14:paraId="5AFCE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10" w:type="dxa"/>
            <w:vAlign w:val="center"/>
          </w:tcPr>
          <w:p w14:paraId="128442A6">
            <w:pPr>
              <w:jc w:val="center"/>
              <w:rPr>
                <w:color w:val="auto"/>
                <w:highlight w:val="none"/>
              </w:rPr>
            </w:pPr>
            <w:r>
              <w:rPr>
                <w:rFonts w:hint="eastAsia"/>
                <w:color w:val="auto"/>
                <w:highlight w:val="none"/>
              </w:rPr>
              <w:t>发包人地址</w:t>
            </w:r>
          </w:p>
        </w:tc>
        <w:tc>
          <w:tcPr>
            <w:tcW w:w="6662" w:type="dxa"/>
          </w:tcPr>
          <w:p w14:paraId="20D73860">
            <w:pPr>
              <w:rPr>
                <w:color w:val="auto"/>
                <w:highlight w:val="none"/>
              </w:rPr>
            </w:pPr>
          </w:p>
        </w:tc>
      </w:tr>
      <w:tr w14:paraId="22943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10" w:type="dxa"/>
            <w:vAlign w:val="center"/>
          </w:tcPr>
          <w:p w14:paraId="50CFDCF5">
            <w:pPr>
              <w:jc w:val="center"/>
              <w:rPr>
                <w:color w:val="auto"/>
                <w:highlight w:val="none"/>
              </w:rPr>
            </w:pPr>
            <w:r>
              <w:rPr>
                <w:rFonts w:hint="eastAsia"/>
                <w:color w:val="auto"/>
                <w:highlight w:val="none"/>
              </w:rPr>
              <w:t>发包人电话</w:t>
            </w:r>
          </w:p>
        </w:tc>
        <w:tc>
          <w:tcPr>
            <w:tcW w:w="6662" w:type="dxa"/>
          </w:tcPr>
          <w:p w14:paraId="4DE94E33">
            <w:pPr>
              <w:rPr>
                <w:color w:val="auto"/>
                <w:highlight w:val="none"/>
              </w:rPr>
            </w:pPr>
          </w:p>
        </w:tc>
      </w:tr>
      <w:tr w14:paraId="15AFE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7BDC5ECB">
            <w:pPr>
              <w:jc w:val="center"/>
              <w:rPr>
                <w:color w:val="auto"/>
                <w:highlight w:val="none"/>
              </w:rPr>
            </w:pPr>
            <w:r>
              <w:rPr>
                <w:rFonts w:hint="eastAsia"/>
                <w:color w:val="auto"/>
                <w:highlight w:val="none"/>
              </w:rPr>
              <w:t>签约合同价</w:t>
            </w:r>
          </w:p>
        </w:tc>
        <w:tc>
          <w:tcPr>
            <w:tcW w:w="6662" w:type="dxa"/>
          </w:tcPr>
          <w:p w14:paraId="40028666">
            <w:pPr>
              <w:rPr>
                <w:color w:val="auto"/>
                <w:highlight w:val="none"/>
              </w:rPr>
            </w:pPr>
          </w:p>
        </w:tc>
      </w:tr>
      <w:tr w14:paraId="43B2D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10" w:type="dxa"/>
            <w:vAlign w:val="center"/>
          </w:tcPr>
          <w:p w14:paraId="5A483E7C">
            <w:pPr>
              <w:jc w:val="center"/>
              <w:rPr>
                <w:color w:val="auto"/>
                <w:highlight w:val="none"/>
              </w:rPr>
            </w:pPr>
            <w:r>
              <w:rPr>
                <w:rFonts w:hint="eastAsia"/>
                <w:color w:val="auto"/>
                <w:highlight w:val="none"/>
              </w:rPr>
              <w:t>开工日期</w:t>
            </w:r>
          </w:p>
        </w:tc>
        <w:tc>
          <w:tcPr>
            <w:tcW w:w="6662" w:type="dxa"/>
          </w:tcPr>
          <w:p w14:paraId="44F8DE0C">
            <w:pPr>
              <w:rPr>
                <w:color w:val="auto"/>
                <w:highlight w:val="none"/>
              </w:rPr>
            </w:pPr>
          </w:p>
        </w:tc>
      </w:tr>
      <w:tr w14:paraId="67497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65F473BD">
            <w:pPr>
              <w:jc w:val="center"/>
              <w:rPr>
                <w:color w:val="auto"/>
                <w:highlight w:val="none"/>
              </w:rPr>
            </w:pPr>
            <w:r>
              <w:rPr>
                <w:rFonts w:hint="eastAsia"/>
                <w:color w:val="auto"/>
                <w:highlight w:val="none"/>
              </w:rPr>
              <w:t>完工日期</w:t>
            </w:r>
          </w:p>
        </w:tc>
        <w:tc>
          <w:tcPr>
            <w:tcW w:w="6662" w:type="dxa"/>
          </w:tcPr>
          <w:p w14:paraId="4B282C5B">
            <w:pPr>
              <w:rPr>
                <w:color w:val="auto"/>
                <w:highlight w:val="none"/>
              </w:rPr>
            </w:pPr>
          </w:p>
        </w:tc>
      </w:tr>
      <w:tr w14:paraId="6A964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10" w:type="dxa"/>
            <w:vAlign w:val="center"/>
          </w:tcPr>
          <w:p w14:paraId="32733177">
            <w:pPr>
              <w:jc w:val="center"/>
              <w:rPr>
                <w:color w:val="auto"/>
                <w:highlight w:val="none"/>
              </w:rPr>
            </w:pPr>
            <w:r>
              <w:rPr>
                <w:rFonts w:hint="eastAsia"/>
                <w:color w:val="auto"/>
                <w:highlight w:val="none"/>
              </w:rPr>
              <w:t>承担的工作</w:t>
            </w:r>
          </w:p>
        </w:tc>
        <w:tc>
          <w:tcPr>
            <w:tcW w:w="6662" w:type="dxa"/>
          </w:tcPr>
          <w:p w14:paraId="38952CF6">
            <w:pPr>
              <w:rPr>
                <w:color w:val="auto"/>
                <w:highlight w:val="none"/>
              </w:rPr>
            </w:pPr>
          </w:p>
        </w:tc>
      </w:tr>
      <w:tr w14:paraId="5359B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10" w:type="dxa"/>
            <w:vAlign w:val="center"/>
          </w:tcPr>
          <w:p w14:paraId="01917581">
            <w:pPr>
              <w:jc w:val="center"/>
              <w:rPr>
                <w:color w:val="auto"/>
                <w:highlight w:val="none"/>
              </w:rPr>
            </w:pPr>
            <w:r>
              <w:rPr>
                <w:rFonts w:hint="eastAsia"/>
                <w:color w:val="auto"/>
                <w:highlight w:val="none"/>
              </w:rPr>
              <w:t>工程质量</w:t>
            </w:r>
          </w:p>
        </w:tc>
        <w:tc>
          <w:tcPr>
            <w:tcW w:w="6662" w:type="dxa"/>
          </w:tcPr>
          <w:p w14:paraId="0F8C78B9">
            <w:pPr>
              <w:rPr>
                <w:color w:val="auto"/>
                <w:highlight w:val="none"/>
              </w:rPr>
            </w:pPr>
          </w:p>
        </w:tc>
      </w:tr>
      <w:tr w14:paraId="3B1A6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088E2F62">
            <w:pPr>
              <w:jc w:val="center"/>
              <w:rPr>
                <w:color w:val="auto"/>
                <w:highlight w:val="none"/>
              </w:rPr>
            </w:pPr>
            <w:r>
              <w:rPr>
                <w:rFonts w:hint="eastAsia"/>
                <w:color w:val="auto"/>
                <w:highlight w:val="none"/>
              </w:rPr>
              <w:t>项目经理</w:t>
            </w:r>
          </w:p>
        </w:tc>
        <w:tc>
          <w:tcPr>
            <w:tcW w:w="6662" w:type="dxa"/>
          </w:tcPr>
          <w:p w14:paraId="39661675">
            <w:pPr>
              <w:rPr>
                <w:color w:val="auto"/>
                <w:highlight w:val="none"/>
              </w:rPr>
            </w:pPr>
          </w:p>
        </w:tc>
      </w:tr>
      <w:tr w14:paraId="115B3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56E00823">
            <w:pPr>
              <w:jc w:val="center"/>
              <w:rPr>
                <w:color w:val="auto"/>
                <w:highlight w:val="none"/>
              </w:rPr>
            </w:pPr>
            <w:r>
              <w:rPr>
                <w:rFonts w:hint="eastAsia"/>
                <w:color w:val="auto"/>
                <w:highlight w:val="none"/>
              </w:rPr>
              <w:t>技术负责人</w:t>
            </w:r>
          </w:p>
        </w:tc>
        <w:tc>
          <w:tcPr>
            <w:tcW w:w="6662" w:type="dxa"/>
          </w:tcPr>
          <w:p w14:paraId="7ACBBBA9">
            <w:pPr>
              <w:rPr>
                <w:color w:val="auto"/>
                <w:highlight w:val="none"/>
              </w:rPr>
            </w:pPr>
          </w:p>
        </w:tc>
      </w:tr>
      <w:tr w14:paraId="2C5B5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209CC838">
            <w:pPr>
              <w:jc w:val="center"/>
              <w:rPr>
                <w:color w:val="auto"/>
                <w:highlight w:val="none"/>
              </w:rPr>
            </w:pPr>
            <w:r>
              <w:rPr>
                <w:rFonts w:hint="eastAsia"/>
                <w:color w:val="auto"/>
                <w:highlight w:val="none"/>
              </w:rPr>
              <w:t>监理人和总监理工程师以及电话</w:t>
            </w:r>
          </w:p>
        </w:tc>
        <w:tc>
          <w:tcPr>
            <w:tcW w:w="6662" w:type="dxa"/>
          </w:tcPr>
          <w:p w14:paraId="18F70DC3">
            <w:pPr>
              <w:rPr>
                <w:color w:val="auto"/>
                <w:highlight w:val="none"/>
              </w:rPr>
            </w:pPr>
          </w:p>
        </w:tc>
      </w:tr>
      <w:tr w14:paraId="13AD0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10" w:type="dxa"/>
            <w:vAlign w:val="center"/>
          </w:tcPr>
          <w:p w14:paraId="38B8E026">
            <w:pPr>
              <w:jc w:val="center"/>
              <w:rPr>
                <w:color w:val="auto"/>
                <w:highlight w:val="none"/>
              </w:rPr>
            </w:pPr>
            <w:r>
              <w:rPr>
                <w:rFonts w:hint="eastAsia"/>
                <w:color w:val="auto"/>
                <w:highlight w:val="none"/>
              </w:rPr>
              <w:t>合同项目描述</w:t>
            </w:r>
          </w:p>
        </w:tc>
        <w:tc>
          <w:tcPr>
            <w:tcW w:w="6662" w:type="dxa"/>
          </w:tcPr>
          <w:p w14:paraId="3C226F4B">
            <w:pPr>
              <w:rPr>
                <w:color w:val="auto"/>
                <w:highlight w:val="none"/>
              </w:rPr>
            </w:pPr>
          </w:p>
        </w:tc>
      </w:tr>
      <w:tr w14:paraId="26D16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29D64653">
            <w:pPr>
              <w:jc w:val="center"/>
              <w:rPr>
                <w:color w:val="auto"/>
                <w:highlight w:val="none"/>
              </w:rPr>
            </w:pPr>
            <w:r>
              <w:rPr>
                <w:rFonts w:hint="eastAsia"/>
                <w:color w:val="auto"/>
                <w:highlight w:val="none"/>
              </w:rPr>
              <w:t>备注</w:t>
            </w:r>
          </w:p>
        </w:tc>
        <w:tc>
          <w:tcPr>
            <w:tcW w:w="6662" w:type="dxa"/>
          </w:tcPr>
          <w:p w14:paraId="1F8E005D">
            <w:pPr>
              <w:rPr>
                <w:color w:val="auto"/>
                <w:highlight w:val="none"/>
              </w:rPr>
            </w:pPr>
            <w:r>
              <w:rPr>
                <w:rFonts w:hint="eastAsia"/>
                <w:color w:val="auto"/>
                <w:highlight w:val="none"/>
              </w:rPr>
              <w:t>　　合同项目描述内容至少包括项目概况、本合同在项目中的地位</w:t>
            </w:r>
            <w:r>
              <w:rPr>
                <w:rFonts w:hint="eastAsia"/>
                <w:color w:val="auto"/>
                <w:highlight w:val="none"/>
                <w:lang w:eastAsia="zh-CN"/>
              </w:rPr>
              <w:t>（</w:t>
            </w:r>
            <w:r>
              <w:rPr>
                <w:rFonts w:hint="eastAsia"/>
                <w:color w:val="auto"/>
                <w:highlight w:val="none"/>
              </w:rPr>
              <w:t>部位、合同价格所占比例</w:t>
            </w:r>
            <w:r>
              <w:rPr>
                <w:rFonts w:hint="eastAsia"/>
                <w:color w:val="auto"/>
                <w:highlight w:val="none"/>
                <w:lang w:eastAsia="zh-CN"/>
              </w:rPr>
              <w:t>）</w:t>
            </w:r>
            <w:r>
              <w:rPr>
                <w:rFonts w:hint="eastAsia"/>
                <w:color w:val="auto"/>
                <w:highlight w:val="none"/>
              </w:rPr>
              <w:t>和合同工程完工验收鉴定书有关验收结论</w:t>
            </w:r>
          </w:p>
        </w:tc>
      </w:tr>
    </w:tbl>
    <w:p w14:paraId="0A568733">
      <w:pPr>
        <w:rPr>
          <w:color w:val="auto"/>
          <w:highlight w:val="none"/>
        </w:rPr>
      </w:pPr>
      <w:r>
        <w:rPr>
          <w:rFonts w:hint="eastAsia"/>
          <w:color w:val="auto"/>
          <w:highlight w:val="none"/>
        </w:rPr>
        <w:t>　　注　相关材料复印件在“十、原件的复印件”中提供。</w:t>
      </w:r>
    </w:p>
    <w:p w14:paraId="4B38FDB8">
      <w:pPr>
        <w:rPr>
          <w:color w:val="auto"/>
          <w:highlight w:val="none"/>
        </w:rPr>
      </w:pPr>
    </w:p>
    <w:p w14:paraId="603B6247">
      <w:pPr>
        <w:ind w:firstLine="420"/>
        <w:rPr>
          <w:rFonts w:hint="eastAsia"/>
          <w:color w:val="auto"/>
          <w:highlight w:val="none"/>
        </w:rPr>
      </w:pPr>
      <w:r>
        <w:rPr>
          <w:rFonts w:hint="eastAsia"/>
          <w:color w:val="auto"/>
          <w:highlight w:val="none"/>
        </w:rPr>
        <w:t>　　</w:t>
      </w:r>
      <w:r>
        <w:rPr>
          <w:rFonts w:hint="eastAsia"/>
          <w:color w:val="auto"/>
          <w:highlight w:val="none"/>
          <w:lang w:eastAsia="zh-CN"/>
        </w:rPr>
        <w:t>（</w:t>
      </w:r>
      <w:r>
        <w:rPr>
          <w:rFonts w:hint="eastAsia"/>
          <w:color w:val="auto"/>
          <w:highlight w:val="none"/>
        </w:rPr>
        <w:t>四</w:t>
      </w:r>
      <w:r>
        <w:rPr>
          <w:rFonts w:hint="eastAsia"/>
          <w:color w:val="auto"/>
          <w:highlight w:val="none"/>
          <w:lang w:eastAsia="zh-CN"/>
        </w:rPr>
        <w:t>）</w:t>
      </w:r>
      <w:r>
        <w:rPr>
          <w:rFonts w:hint="eastAsia"/>
          <w:color w:val="auto"/>
          <w:highlight w:val="none"/>
        </w:rPr>
        <w:t>正在施工的和新承接的项目情况表</w:t>
      </w:r>
    </w:p>
    <w:tbl>
      <w:tblPr>
        <w:tblStyle w:val="2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10"/>
        <w:gridCol w:w="6662"/>
      </w:tblGrid>
      <w:tr w14:paraId="30CE2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48EC4D43">
            <w:pPr>
              <w:jc w:val="center"/>
              <w:rPr>
                <w:color w:val="auto"/>
                <w:highlight w:val="none"/>
              </w:rPr>
            </w:pPr>
            <w:r>
              <w:rPr>
                <w:rFonts w:hint="eastAsia"/>
                <w:color w:val="auto"/>
                <w:highlight w:val="none"/>
              </w:rPr>
              <w:t>合同名称</w:t>
            </w:r>
          </w:p>
        </w:tc>
        <w:tc>
          <w:tcPr>
            <w:tcW w:w="6662" w:type="dxa"/>
          </w:tcPr>
          <w:p w14:paraId="6628A248">
            <w:pPr>
              <w:rPr>
                <w:color w:val="auto"/>
                <w:highlight w:val="none"/>
              </w:rPr>
            </w:pPr>
          </w:p>
        </w:tc>
      </w:tr>
      <w:tr w14:paraId="161C4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710A0263">
            <w:pPr>
              <w:jc w:val="center"/>
              <w:rPr>
                <w:color w:val="auto"/>
                <w:highlight w:val="none"/>
              </w:rPr>
            </w:pPr>
            <w:r>
              <w:rPr>
                <w:rFonts w:hint="eastAsia"/>
                <w:color w:val="auto"/>
                <w:highlight w:val="none"/>
              </w:rPr>
              <w:t>合同项目所在地</w:t>
            </w:r>
          </w:p>
        </w:tc>
        <w:tc>
          <w:tcPr>
            <w:tcW w:w="6662" w:type="dxa"/>
          </w:tcPr>
          <w:p w14:paraId="7FC2E0C7">
            <w:pPr>
              <w:rPr>
                <w:color w:val="auto"/>
                <w:highlight w:val="none"/>
              </w:rPr>
            </w:pPr>
          </w:p>
        </w:tc>
      </w:tr>
      <w:tr w14:paraId="09ABA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3D69C192">
            <w:pPr>
              <w:jc w:val="center"/>
              <w:rPr>
                <w:color w:val="auto"/>
                <w:highlight w:val="none"/>
              </w:rPr>
            </w:pPr>
            <w:r>
              <w:rPr>
                <w:rFonts w:hint="eastAsia"/>
                <w:color w:val="auto"/>
                <w:highlight w:val="none"/>
              </w:rPr>
              <w:t>发包人名称</w:t>
            </w:r>
          </w:p>
        </w:tc>
        <w:tc>
          <w:tcPr>
            <w:tcW w:w="6662" w:type="dxa"/>
          </w:tcPr>
          <w:p w14:paraId="232E9F76">
            <w:pPr>
              <w:rPr>
                <w:color w:val="auto"/>
                <w:highlight w:val="none"/>
              </w:rPr>
            </w:pPr>
          </w:p>
        </w:tc>
      </w:tr>
      <w:tr w14:paraId="3D18F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6D98EF83">
            <w:pPr>
              <w:jc w:val="center"/>
              <w:rPr>
                <w:color w:val="auto"/>
                <w:highlight w:val="none"/>
              </w:rPr>
            </w:pPr>
            <w:r>
              <w:rPr>
                <w:rFonts w:hint="eastAsia"/>
                <w:color w:val="auto"/>
                <w:highlight w:val="none"/>
              </w:rPr>
              <w:t>发包人地址</w:t>
            </w:r>
          </w:p>
        </w:tc>
        <w:tc>
          <w:tcPr>
            <w:tcW w:w="6662" w:type="dxa"/>
          </w:tcPr>
          <w:p w14:paraId="3DC9325F">
            <w:pPr>
              <w:rPr>
                <w:color w:val="auto"/>
                <w:highlight w:val="none"/>
              </w:rPr>
            </w:pPr>
          </w:p>
        </w:tc>
      </w:tr>
      <w:tr w14:paraId="665FC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10" w:type="dxa"/>
            <w:vAlign w:val="center"/>
          </w:tcPr>
          <w:p w14:paraId="372FD77B">
            <w:pPr>
              <w:jc w:val="center"/>
              <w:rPr>
                <w:color w:val="auto"/>
                <w:highlight w:val="none"/>
              </w:rPr>
            </w:pPr>
            <w:r>
              <w:rPr>
                <w:rFonts w:hint="eastAsia"/>
                <w:color w:val="auto"/>
                <w:highlight w:val="none"/>
              </w:rPr>
              <w:t>发包人电话</w:t>
            </w:r>
          </w:p>
        </w:tc>
        <w:tc>
          <w:tcPr>
            <w:tcW w:w="6662" w:type="dxa"/>
          </w:tcPr>
          <w:p w14:paraId="406739A3">
            <w:pPr>
              <w:rPr>
                <w:color w:val="auto"/>
                <w:highlight w:val="none"/>
              </w:rPr>
            </w:pPr>
          </w:p>
        </w:tc>
      </w:tr>
      <w:tr w14:paraId="4D8F0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3DA9C2A0">
            <w:pPr>
              <w:jc w:val="center"/>
              <w:rPr>
                <w:color w:val="auto"/>
                <w:highlight w:val="none"/>
              </w:rPr>
            </w:pPr>
            <w:r>
              <w:rPr>
                <w:rFonts w:hint="eastAsia"/>
                <w:color w:val="auto"/>
                <w:highlight w:val="none"/>
              </w:rPr>
              <w:t>签约合同价</w:t>
            </w:r>
          </w:p>
        </w:tc>
        <w:tc>
          <w:tcPr>
            <w:tcW w:w="6662" w:type="dxa"/>
          </w:tcPr>
          <w:p w14:paraId="6B5319AB">
            <w:pPr>
              <w:rPr>
                <w:color w:val="auto"/>
                <w:highlight w:val="none"/>
              </w:rPr>
            </w:pPr>
          </w:p>
        </w:tc>
      </w:tr>
      <w:tr w14:paraId="6EB56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0B82C169">
            <w:pPr>
              <w:jc w:val="center"/>
              <w:rPr>
                <w:color w:val="auto"/>
                <w:highlight w:val="none"/>
              </w:rPr>
            </w:pPr>
            <w:r>
              <w:rPr>
                <w:rFonts w:hint="eastAsia"/>
                <w:color w:val="auto"/>
                <w:highlight w:val="none"/>
              </w:rPr>
              <w:t>开工日期</w:t>
            </w:r>
          </w:p>
        </w:tc>
        <w:tc>
          <w:tcPr>
            <w:tcW w:w="6662" w:type="dxa"/>
          </w:tcPr>
          <w:p w14:paraId="303582DC">
            <w:pPr>
              <w:rPr>
                <w:color w:val="auto"/>
                <w:highlight w:val="none"/>
              </w:rPr>
            </w:pPr>
          </w:p>
        </w:tc>
      </w:tr>
      <w:tr w14:paraId="6F7CC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4B7E019F">
            <w:pPr>
              <w:jc w:val="center"/>
              <w:rPr>
                <w:color w:val="auto"/>
                <w:highlight w:val="none"/>
              </w:rPr>
            </w:pPr>
            <w:r>
              <w:rPr>
                <w:rFonts w:hint="eastAsia"/>
                <w:color w:val="auto"/>
                <w:highlight w:val="none"/>
              </w:rPr>
              <w:t>计划完工日期</w:t>
            </w:r>
          </w:p>
        </w:tc>
        <w:tc>
          <w:tcPr>
            <w:tcW w:w="6662" w:type="dxa"/>
          </w:tcPr>
          <w:p w14:paraId="029231D5">
            <w:pPr>
              <w:rPr>
                <w:color w:val="auto"/>
                <w:highlight w:val="none"/>
              </w:rPr>
            </w:pPr>
          </w:p>
        </w:tc>
      </w:tr>
      <w:tr w14:paraId="4978D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68A41E57">
            <w:pPr>
              <w:jc w:val="center"/>
              <w:rPr>
                <w:color w:val="auto"/>
                <w:highlight w:val="none"/>
              </w:rPr>
            </w:pPr>
            <w:r>
              <w:rPr>
                <w:rFonts w:hint="eastAsia"/>
                <w:color w:val="auto"/>
                <w:highlight w:val="none"/>
              </w:rPr>
              <w:t>承担的工作</w:t>
            </w:r>
          </w:p>
        </w:tc>
        <w:tc>
          <w:tcPr>
            <w:tcW w:w="6662" w:type="dxa"/>
          </w:tcPr>
          <w:p w14:paraId="7F81F3CD">
            <w:pPr>
              <w:rPr>
                <w:color w:val="auto"/>
                <w:highlight w:val="none"/>
              </w:rPr>
            </w:pPr>
          </w:p>
        </w:tc>
      </w:tr>
      <w:tr w14:paraId="2CA14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4611D224">
            <w:pPr>
              <w:jc w:val="center"/>
              <w:rPr>
                <w:color w:val="auto"/>
                <w:highlight w:val="none"/>
              </w:rPr>
            </w:pPr>
            <w:r>
              <w:rPr>
                <w:rFonts w:hint="eastAsia"/>
                <w:color w:val="auto"/>
                <w:highlight w:val="none"/>
              </w:rPr>
              <w:t>工程质量</w:t>
            </w:r>
          </w:p>
        </w:tc>
        <w:tc>
          <w:tcPr>
            <w:tcW w:w="6662" w:type="dxa"/>
          </w:tcPr>
          <w:p w14:paraId="106970DD">
            <w:pPr>
              <w:rPr>
                <w:color w:val="auto"/>
                <w:highlight w:val="none"/>
              </w:rPr>
            </w:pPr>
          </w:p>
        </w:tc>
      </w:tr>
      <w:tr w14:paraId="6F004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6EABCD25">
            <w:pPr>
              <w:jc w:val="center"/>
              <w:rPr>
                <w:color w:val="auto"/>
                <w:highlight w:val="none"/>
              </w:rPr>
            </w:pPr>
            <w:r>
              <w:rPr>
                <w:rFonts w:hint="eastAsia"/>
                <w:color w:val="auto"/>
                <w:highlight w:val="none"/>
              </w:rPr>
              <w:t>项目经理</w:t>
            </w:r>
          </w:p>
        </w:tc>
        <w:tc>
          <w:tcPr>
            <w:tcW w:w="6662" w:type="dxa"/>
          </w:tcPr>
          <w:p w14:paraId="438364C1">
            <w:pPr>
              <w:rPr>
                <w:color w:val="auto"/>
                <w:highlight w:val="none"/>
              </w:rPr>
            </w:pPr>
          </w:p>
        </w:tc>
      </w:tr>
      <w:tr w14:paraId="1FC45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54367440">
            <w:pPr>
              <w:jc w:val="center"/>
              <w:rPr>
                <w:color w:val="auto"/>
                <w:highlight w:val="none"/>
              </w:rPr>
            </w:pPr>
            <w:r>
              <w:rPr>
                <w:rFonts w:hint="eastAsia"/>
                <w:color w:val="auto"/>
                <w:highlight w:val="none"/>
              </w:rPr>
              <w:t>技术负责人</w:t>
            </w:r>
          </w:p>
        </w:tc>
        <w:tc>
          <w:tcPr>
            <w:tcW w:w="6662" w:type="dxa"/>
          </w:tcPr>
          <w:p w14:paraId="12ABAF40">
            <w:pPr>
              <w:rPr>
                <w:color w:val="auto"/>
                <w:highlight w:val="none"/>
              </w:rPr>
            </w:pPr>
          </w:p>
        </w:tc>
      </w:tr>
      <w:tr w14:paraId="11BB1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16533972">
            <w:pPr>
              <w:jc w:val="center"/>
              <w:rPr>
                <w:color w:val="auto"/>
                <w:highlight w:val="none"/>
              </w:rPr>
            </w:pPr>
            <w:r>
              <w:rPr>
                <w:rFonts w:hint="eastAsia"/>
                <w:color w:val="auto"/>
                <w:highlight w:val="none"/>
              </w:rPr>
              <w:t>监理人和总监理工程师以及电话</w:t>
            </w:r>
          </w:p>
        </w:tc>
        <w:tc>
          <w:tcPr>
            <w:tcW w:w="6662" w:type="dxa"/>
          </w:tcPr>
          <w:p w14:paraId="69FE8DB0">
            <w:pPr>
              <w:rPr>
                <w:color w:val="auto"/>
                <w:highlight w:val="none"/>
              </w:rPr>
            </w:pPr>
          </w:p>
        </w:tc>
      </w:tr>
      <w:tr w14:paraId="21973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2CBB67EE">
            <w:pPr>
              <w:jc w:val="center"/>
              <w:rPr>
                <w:color w:val="auto"/>
                <w:highlight w:val="none"/>
              </w:rPr>
            </w:pPr>
            <w:r>
              <w:rPr>
                <w:rFonts w:hint="eastAsia"/>
                <w:color w:val="auto"/>
                <w:highlight w:val="none"/>
              </w:rPr>
              <w:t>项目描述</w:t>
            </w:r>
          </w:p>
        </w:tc>
        <w:tc>
          <w:tcPr>
            <w:tcW w:w="6662" w:type="dxa"/>
          </w:tcPr>
          <w:p w14:paraId="5277DA7A">
            <w:pPr>
              <w:rPr>
                <w:color w:val="auto"/>
                <w:highlight w:val="none"/>
              </w:rPr>
            </w:pPr>
          </w:p>
        </w:tc>
      </w:tr>
      <w:tr w14:paraId="61597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14:paraId="0AC1BA07">
            <w:pPr>
              <w:jc w:val="center"/>
              <w:rPr>
                <w:color w:val="auto"/>
                <w:highlight w:val="none"/>
              </w:rPr>
            </w:pPr>
            <w:r>
              <w:rPr>
                <w:rFonts w:hint="eastAsia"/>
                <w:color w:val="auto"/>
                <w:highlight w:val="none"/>
              </w:rPr>
              <w:t>备注</w:t>
            </w:r>
          </w:p>
        </w:tc>
        <w:tc>
          <w:tcPr>
            <w:tcW w:w="6662" w:type="dxa"/>
          </w:tcPr>
          <w:p w14:paraId="167CDFE9">
            <w:pPr>
              <w:rPr>
                <w:rFonts w:hint="eastAsia" w:eastAsia="宋体"/>
                <w:color w:val="auto"/>
                <w:highlight w:val="none"/>
                <w:lang w:eastAsia="zh-CN"/>
              </w:rPr>
            </w:pPr>
            <w:r>
              <w:rPr>
                <w:rFonts w:hint="eastAsia"/>
                <w:color w:val="auto"/>
                <w:highlight w:val="none"/>
              </w:rPr>
              <w:t>　　合同所属项目描述内容至少包括项目概况、本合同在项目中的地位</w:t>
            </w:r>
            <w:r>
              <w:rPr>
                <w:rFonts w:hint="eastAsia"/>
                <w:color w:val="auto"/>
                <w:highlight w:val="none"/>
                <w:lang w:eastAsia="zh-CN"/>
              </w:rPr>
              <w:t>（</w:t>
            </w:r>
            <w:r>
              <w:rPr>
                <w:rFonts w:hint="eastAsia"/>
                <w:color w:val="auto"/>
                <w:highlight w:val="none"/>
              </w:rPr>
              <w:t>部位、合同价格所占比例</w:t>
            </w:r>
            <w:r>
              <w:rPr>
                <w:rFonts w:hint="eastAsia"/>
                <w:color w:val="auto"/>
                <w:highlight w:val="none"/>
                <w:lang w:eastAsia="zh-CN"/>
              </w:rPr>
              <w:t>）</w:t>
            </w:r>
          </w:p>
        </w:tc>
      </w:tr>
    </w:tbl>
    <w:p w14:paraId="47FF75E2">
      <w:pPr>
        <w:rPr>
          <w:color w:val="auto"/>
          <w:highlight w:val="none"/>
        </w:rPr>
      </w:pPr>
      <w:r>
        <w:rPr>
          <w:rFonts w:hint="eastAsia"/>
          <w:color w:val="auto"/>
          <w:highlight w:val="none"/>
        </w:rPr>
        <w:t>　　注　相关材料复印件在“十、原件的复印件”中提供。</w:t>
      </w:r>
    </w:p>
    <w:p w14:paraId="314A49CF">
      <w:pPr>
        <w:rPr>
          <w:color w:val="auto"/>
          <w:highlight w:val="none"/>
        </w:rPr>
      </w:pPr>
    </w:p>
    <w:p w14:paraId="0D6AFC9F">
      <w:pPr>
        <w:ind w:firstLine="420"/>
        <w:rPr>
          <w:rFonts w:hint="eastAsia"/>
          <w:color w:val="auto"/>
          <w:highlight w:val="none"/>
        </w:rPr>
      </w:pPr>
      <w:r>
        <w:rPr>
          <w:rFonts w:hint="eastAsia"/>
          <w:color w:val="auto"/>
          <w:highlight w:val="none"/>
        </w:rPr>
        <w:t>　　</w:t>
      </w:r>
      <w:r>
        <w:rPr>
          <w:rFonts w:hint="eastAsia"/>
          <w:color w:val="auto"/>
          <w:highlight w:val="none"/>
          <w:lang w:eastAsia="zh-CN"/>
        </w:rPr>
        <w:t>（</w:t>
      </w:r>
      <w:r>
        <w:rPr>
          <w:rFonts w:hint="eastAsia"/>
          <w:color w:val="auto"/>
          <w:highlight w:val="none"/>
        </w:rPr>
        <w:t>五</w:t>
      </w:r>
      <w:r>
        <w:rPr>
          <w:rFonts w:hint="eastAsia"/>
          <w:color w:val="auto"/>
          <w:highlight w:val="none"/>
          <w:lang w:eastAsia="zh-CN"/>
        </w:rPr>
        <w:t>）</w:t>
      </w:r>
      <w:r>
        <w:rPr>
          <w:rFonts w:hint="eastAsia"/>
          <w:color w:val="auto"/>
          <w:highlight w:val="none"/>
        </w:rPr>
        <w:t>近</w:t>
      </w:r>
      <w:r>
        <w:rPr>
          <w:rFonts w:hint="eastAsia"/>
          <w:color w:val="auto"/>
          <w:highlight w:val="none"/>
          <w:u w:val="single"/>
          <w:lang w:val="en-US" w:eastAsia="zh-CN"/>
        </w:rPr>
        <w:t xml:space="preserve">  </w:t>
      </w:r>
      <w:r>
        <w:rPr>
          <w:rFonts w:hint="eastAsia"/>
          <w:color w:val="auto"/>
          <w:highlight w:val="none"/>
        </w:rPr>
        <w:t>年发生的诉讼及仲裁情况表</w:t>
      </w:r>
    </w:p>
    <w:p w14:paraId="438A7C8A">
      <w:pPr>
        <w:jc w:val="center"/>
        <w:rPr>
          <w:rFonts w:hint="eastAsia" w:eastAsia="宋体"/>
          <w:color w:val="auto"/>
          <w:highlight w:val="none"/>
          <w:lang w:eastAsia="zh-CN"/>
        </w:rPr>
      </w:pPr>
      <w:r>
        <w:rPr>
          <w:rFonts w:hint="eastAsia"/>
          <w:color w:val="auto"/>
          <w:highlight w:val="none"/>
          <w:lang w:eastAsia="zh-CN"/>
        </w:rPr>
        <w:t>（</w:t>
      </w:r>
      <w:r>
        <w:rPr>
          <w:rFonts w:hint="eastAsia"/>
          <w:color w:val="auto"/>
          <w:highlight w:val="none"/>
        </w:rPr>
        <w:t>近</w:t>
      </w:r>
      <w:r>
        <w:rPr>
          <w:rFonts w:hint="eastAsia"/>
          <w:color w:val="auto"/>
          <w:highlight w:val="none"/>
          <w:u w:val="single"/>
          <w:lang w:val="en-US" w:eastAsia="zh-CN"/>
        </w:rPr>
        <w:t xml:space="preserve">  </w:t>
      </w:r>
      <w:r>
        <w:rPr>
          <w:rFonts w:hint="eastAsia"/>
          <w:color w:val="auto"/>
          <w:highlight w:val="none"/>
        </w:rPr>
        <w:t>年指　　　　年　　月至　　　　年　　月</w:t>
      </w:r>
      <w:r>
        <w:rPr>
          <w:rFonts w:hint="eastAsia"/>
          <w:color w:val="auto"/>
          <w:highlight w:val="none"/>
          <w:lang w:eastAsia="zh-CN"/>
        </w:rPr>
        <w:t>）</w:t>
      </w:r>
    </w:p>
    <w:tbl>
      <w:tblPr>
        <w:tblStyle w:val="2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1"/>
        <w:gridCol w:w="2155"/>
        <w:gridCol w:w="2523"/>
        <w:gridCol w:w="1275"/>
        <w:gridCol w:w="1276"/>
        <w:gridCol w:w="992"/>
      </w:tblGrid>
      <w:tr w14:paraId="43BD1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3AFE654B">
            <w:pPr>
              <w:jc w:val="center"/>
              <w:rPr>
                <w:color w:val="auto"/>
                <w:highlight w:val="none"/>
              </w:rPr>
            </w:pPr>
            <w:r>
              <w:rPr>
                <w:rFonts w:hint="eastAsia"/>
                <w:color w:val="auto"/>
                <w:highlight w:val="none"/>
              </w:rPr>
              <w:t>序号</w:t>
            </w:r>
          </w:p>
        </w:tc>
        <w:tc>
          <w:tcPr>
            <w:tcW w:w="2155" w:type="dxa"/>
            <w:vAlign w:val="center"/>
          </w:tcPr>
          <w:p w14:paraId="65A7B89C">
            <w:pPr>
              <w:jc w:val="center"/>
              <w:rPr>
                <w:color w:val="auto"/>
                <w:highlight w:val="none"/>
              </w:rPr>
            </w:pPr>
            <w:r>
              <w:rPr>
                <w:rFonts w:hint="eastAsia"/>
                <w:color w:val="auto"/>
                <w:highlight w:val="none"/>
              </w:rPr>
              <w:t>诉讼或仲裁事项</w:t>
            </w:r>
          </w:p>
        </w:tc>
        <w:tc>
          <w:tcPr>
            <w:tcW w:w="2523" w:type="dxa"/>
            <w:vAlign w:val="center"/>
          </w:tcPr>
          <w:p w14:paraId="69BABD8E">
            <w:pPr>
              <w:jc w:val="center"/>
              <w:rPr>
                <w:color w:val="auto"/>
                <w:highlight w:val="none"/>
              </w:rPr>
            </w:pPr>
            <w:r>
              <w:rPr>
                <w:rFonts w:hint="eastAsia"/>
                <w:color w:val="auto"/>
                <w:highlight w:val="none"/>
              </w:rPr>
              <w:t>诉讼或仲裁中的地位</w:t>
            </w:r>
          </w:p>
        </w:tc>
        <w:tc>
          <w:tcPr>
            <w:tcW w:w="1275" w:type="dxa"/>
            <w:vAlign w:val="center"/>
          </w:tcPr>
          <w:p w14:paraId="22D86E14">
            <w:pPr>
              <w:jc w:val="center"/>
              <w:rPr>
                <w:color w:val="auto"/>
                <w:highlight w:val="none"/>
              </w:rPr>
            </w:pPr>
            <w:r>
              <w:rPr>
                <w:rFonts w:hint="eastAsia"/>
                <w:color w:val="auto"/>
                <w:highlight w:val="none"/>
              </w:rPr>
              <w:t>缘由</w:t>
            </w:r>
          </w:p>
        </w:tc>
        <w:tc>
          <w:tcPr>
            <w:tcW w:w="1276" w:type="dxa"/>
            <w:vAlign w:val="center"/>
          </w:tcPr>
          <w:p w14:paraId="2CBF35A9">
            <w:pPr>
              <w:jc w:val="center"/>
              <w:rPr>
                <w:color w:val="auto"/>
                <w:highlight w:val="none"/>
              </w:rPr>
            </w:pPr>
            <w:r>
              <w:rPr>
                <w:rFonts w:hint="eastAsia"/>
                <w:color w:val="auto"/>
                <w:highlight w:val="none"/>
              </w:rPr>
              <w:t>结果</w:t>
            </w:r>
          </w:p>
        </w:tc>
        <w:tc>
          <w:tcPr>
            <w:tcW w:w="992" w:type="dxa"/>
            <w:vAlign w:val="center"/>
          </w:tcPr>
          <w:p w14:paraId="3ABBB021">
            <w:pPr>
              <w:jc w:val="center"/>
              <w:rPr>
                <w:color w:val="auto"/>
                <w:highlight w:val="none"/>
              </w:rPr>
            </w:pPr>
            <w:r>
              <w:rPr>
                <w:rFonts w:hint="eastAsia"/>
                <w:color w:val="auto"/>
                <w:highlight w:val="none"/>
              </w:rPr>
              <w:t>备注</w:t>
            </w:r>
          </w:p>
        </w:tc>
      </w:tr>
      <w:tr w14:paraId="1022C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2F52CA82">
            <w:pPr>
              <w:jc w:val="center"/>
              <w:rPr>
                <w:color w:val="auto"/>
                <w:highlight w:val="none"/>
              </w:rPr>
            </w:pPr>
            <w:r>
              <w:rPr>
                <w:rFonts w:hint="eastAsia"/>
                <w:color w:val="auto"/>
                <w:highlight w:val="none"/>
              </w:rPr>
              <w:t>一</w:t>
            </w:r>
          </w:p>
        </w:tc>
        <w:tc>
          <w:tcPr>
            <w:tcW w:w="2155" w:type="dxa"/>
            <w:vAlign w:val="center"/>
          </w:tcPr>
          <w:p w14:paraId="0B372923">
            <w:pPr>
              <w:jc w:val="center"/>
              <w:rPr>
                <w:color w:val="auto"/>
                <w:highlight w:val="none"/>
              </w:rPr>
            </w:pPr>
            <w:r>
              <w:rPr>
                <w:rFonts w:hint="eastAsia"/>
                <w:color w:val="auto"/>
                <w:highlight w:val="none"/>
              </w:rPr>
              <w:t>诉讼事项</w:t>
            </w:r>
          </w:p>
        </w:tc>
        <w:tc>
          <w:tcPr>
            <w:tcW w:w="2523" w:type="dxa"/>
            <w:vAlign w:val="center"/>
          </w:tcPr>
          <w:p w14:paraId="631C0621">
            <w:pPr>
              <w:jc w:val="center"/>
              <w:rPr>
                <w:color w:val="auto"/>
                <w:highlight w:val="none"/>
              </w:rPr>
            </w:pPr>
          </w:p>
        </w:tc>
        <w:tc>
          <w:tcPr>
            <w:tcW w:w="1275" w:type="dxa"/>
            <w:vAlign w:val="center"/>
          </w:tcPr>
          <w:p w14:paraId="6BD2BF60">
            <w:pPr>
              <w:jc w:val="center"/>
              <w:rPr>
                <w:color w:val="auto"/>
                <w:highlight w:val="none"/>
              </w:rPr>
            </w:pPr>
          </w:p>
        </w:tc>
        <w:tc>
          <w:tcPr>
            <w:tcW w:w="1276" w:type="dxa"/>
            <w:vAlign w:val="center"/>
          </w:tcPr>
          <w:p w14:paraId="7B8CA743">
            <w:pPr>
              <w:jc w:val="center"/>
              <w:rPr>
                <w:color w:val="auto"/>
                <w:highlight w:val="none"/>
              </w:rPr>
            </w:pPr>
          </w:p>
        </w:tc>
        <w:tc>
          <w:tcPr>
            <w:tcW w:w="992" w:type="dxa"/>
            <w:vAlign w:val="center"/>
          </w:tcPr>
          <w:p w14:paraId="48122CC3">
            <w:pPr>
              <w:jc w:val="center"/>
              <w:rPr>
                <w:color w:val="auto"/>
                <w:highlight w:val="none"/>
              </w:rPr>
            </w:pPr>
          </w:p>
        </w:tc>
      </w:tr>
      <w:tr w14:paraId="6B673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6E6D1EAA">
            <w:pPr>
              <w:jc w:val="center"/>
              <w:rPr>
                <w:color w:val="auto"/>
                <w:highlight w:val="none"/>
              </w:rPr>
            </w:pPr>
          </w:p>
        </w:tc>
        <w:tc>
          <w:tcPr>
            <w:tcW w:w="2155" w:type="dxa"/>
            <w:vAlign w:val="center"/>
          </w:tcPr>
          <w:p w14:paraId="553369B5">
            <w:pPr>
              <w:jc w:val="center"/>
              <w:rPr>
                <w:color w:val="auto"/>
                <w:highlight w:val="none"/>
              </w:rPr>
            </w:pPr>
          </w:p>
        </w:tc>
        <w:tc>
          <w:tcPr>
            <w:tcW w:w="2523" w:type="dxa"/>
            <w:vAlign w:val="center"/>
          </w:tcPr>
          <w:p w14:paraId="021406E1">
            <w:pPr>
              <w:jc w:val="center"/>
              <w:rPr>
                <w:color w:val="auto"/>
                <w:highlight w:val="none"/>
              </w:rPr>
            </w:pPr>
          </w:p>
        </w:tc>
        <w:tc>
          <w:tcPr>
            <w:tcW w:w="1275" w:type="dxa"/>
            <w:vAlign w:val="center"/>
          </w:tcPr>
          <w:p w14:paraId="11481C27">
            <w:pPr>
              <w:jc w:val="center"/>
              <w:rPr>
                <w:color w:val="auto"/>
                <w:highlight w:val="none"/>
              </w:rPr>
            </w:pPr>
          </w:p>
        </w:tc>
        <w:tc>
          <w:tcPr>
            <w:tcW w:w="1276" w:type="dxa"/>
            <w:vAlign w:val="center"/>
          </w:tcPr>
          <w:p w14:paraId="60DFA771">
            <w:pPr>
              <w:jc w:val="center"/>
              <w:rPr>
                <w:color w:val="auto"/>
                <w:highlight w:val="none"/>
              </w:rPr>
            </w:pPr>
          </w:p>
        </w:tc>
        <w:tc>
          <w:tcPr>
            <w:tcW w:w="992" w:type="dxa"/>
            <w:vAlign w:val="center"/>
          </w:tcPr>
          <w:p w14:paraId="2A637281">
            <w:pPr>
              <w:jc w:val="center"/>
              <w:rPr>
                <w:color w:val="auto"/>
                <w:highlight w:val="none"/>
              </w:rPr>
            </w:pPr>
          </w:p>
        </w:tc>
      </w:tr>
      <w:tr w14:paraId="3AD65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6F849FC9">
            <w:pPr>
              <w:jc w:val="center"/>
              <w:rPr>
                <w:color w:val="auto"/>
                <w:highlight w:val="none"/>
              </w:rPr>
            </w:pPr>
            <w:r>
              <w:rPr>
                <w:rFonts w:hint="eastAsia"/>
                <w:color w:val="auto"/>
                <w:highlight w:val="none"/>
              </w:rPr>
              <w:t>二</w:t>
            </w:r>
          </w:p>
        </w:tc>
        <w:tc>
          <w:tcPr>
            <w:tcW w:w="2155" w:type="dxa"/>
            <w:vAlign w:val="center"/>
          </w:tcPr>
          <w:p w14:paraId="39224E87">
            <w:pPr>
              <w:jc w:val="center"/>
              <w:rPr>
                <w:color w:val="auto"/>
                <w:highlight w:val="none"/>
              </w:rPr>
            </w:pPr>
            <w:r>
              <w:rPr>
                <w:rFonts w:hint="eastAsia"/>
                <w:color w:val="auto"/>
                <w:highlight w:val="none"/>
              </w:rPr>
              <w:t>仲裁事项</w:t>
            </w:r>
          </w:p>
        </w:tc>
        <w:tc>
          <w:tcPr>
            <w:tcW w:w="2523" w:type="dxa"/>
            <w:vAlign w:val="center"/>
          </w:tcPr>
          <w:p w14:paraId="2CBB207A">
            <w:pPr>
              <w:jc w:val="center"/>
              <w:rPr>
                <w:color w:val="auto"/>
                <w:highlight w:val="none"/>
              </w:rPr>
            </w:pPr>
          </w:p>
        </w:tc>
        <w:tc>
          <w:tcPr>
            <w:tcW w:w="1275" w:type="dxa"/>
            <w:vAlign w:val="center"/>
          </w:tcPr>
          <w:p w14:paraId="531BD2ED">
            <w:pPr>
              <w:jc w:val="center"/>
              <w:rPr>
                <w:color w:val="auto"/>
                <w:highlight w:val="none"/>
              </w:rPr>
            </w:pPr>
          </w:p>
        </w:tc>
        <w:tc>
          <w:tcPr>
            <w:tcW w:w="1276" w:type="dxa"/>
            <w:vAlign w:val="center"/>
          </w:tcPr>
          <w:p w14:paraId="79E5B015">
            <w:pPr>
              <w:jc w:val="center"/>
              <w:rPr>
                <w:color w:val="auto"/>
                <w:highlight w:val="none"/>
              </w:rPr>
            </w:pPr>
          </w:p>
        </w:tc>
        <w:tc>
          <w:tcPr>
            <w:tcW w:w="992" w:type="dxa"/>
            <w:vAlign w:val="center"/>
          </w:tcPr>
          <w:p w14:paraId="51B7F5CB">
            <w:pPr>
              <w:jc w:val="center"/>
              <w:rPr>
                <w:color w:val="auto"/>
                <w:highlight w:val="none"/>
              </w:rPr>
            </w:pPr>
          </w:p>
        </w:tc>
      </w:tr>
      <w:tr w14:paraId="21319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0029A13E">
            <w:pPr>
              <w:jc w:val="center"/>
              <w:rPr>
                <w:color w:val="auto"/>
                <w:highlight w:val="none"/>
              </w:rPr>
            </w:pPr>
          </w:p>
        </w:tc>
        <w:tc>
          <w:tcPr>
            <w:tcW w:w="2155" w:type="dxa"/>
            <w:vAlign w:val="center"/>
          </w:tcPr>
          <w:p w14:paraId="4203271C">
            <w:pPr>
              <w:jc w:val="center"/>
              <w:rPr>
                <w:color w:val="auto"/>
                <w:highlight w:val="none"/>
              </w:rPr>
            </w:pPr>
          </w:p>
        </w:tc>
        <w:tc>
          <w:tcPr>
            <w:tcW w:w="2523" w:type="dxa"/>
            <w:vAlign w:val="center"/>
          </w:tcPr>
          <w:p w14:paraId="7AE0B166">
            <w:pPr>
              <w:jc w:val="center"/>
              <w:rPr>
                <w:color w:val="auto"/>
                <w:highlight w:val="none"/>
              </w:rPr>
            </w:pPr>
          </w:p>
        </w:tc>
        <w:tc>
          <w:tcPr>
            <w:tcW w:w="1275" w:type="dxa"/>
            <w:vAlign w:val="center"/>
          </w:tcPr>
          <w:p w14:paraId="15E35C23">
            <w:pPr>
              <w:jc w:val="center"/>
              <w:rPr>
                <w:color w:val="auto"/>
                <w:highlight w:val="none"/>
              </w:rPr>
            </w:pPr>
          </w:p>
        </w:tc>
        <w:tc>
          <w:tcPr>
            <w:tcW w:w="1276" w:type="dxa"/>
            <w:vAlign w:val="center"/>
          </w:tcPr>
          <w:p w14:paraId="423A730D">
            <w:pPr>
              <w:jc w:val="center"/>
              <w:rPr>
                <w:color w:val="auto"/>
                <w:highlight w:val="none"/>
              </w:rPr>
            </w:pPr>
          </w:p>
        </w:tc>
        <w:tc>
          <w:tcPr>
            <w:tcW w:w="992" w:type="dxa"/>
            <w:vAlign w:val="center"/>
          </w:tcPr>
          <w:p w14:paraId="574E2DD5">
            <w:pPr>
              <w:jc w:val="center"/>
              <w:rPr>
                <w:color w:val="auto"/>
                <w:highlight w:val="none"/>
              </w:rPr>
            </w:pPr>
          </w:p>
        </w:tc>
      </w:tr>
    </w:tbl>
    <w:p w14:paraId="718BC695">
      <w:pPr>
        <w:ind w:firstLine="420"/>
        <w:rPr>
          <w:rFonts w:hint="eastAsia"/>
          <w:color w:val="auto"/>
          <w:highlight w:val="none"/>
        </w:rPr>
      </w:pPr>
      <w:r>
        <w:rPr>
          <w:rFonts w:hint="eastAsia"/>
          <w:color w:val="auto"/>
          <w:highlight w:val="none"/>
        </w:rPr>
        <w:t>注　相关材料复印件在“十、原件的复印件”中提供。</w:t>
      </w:r>
    </w:p>
    <w:p w14:paraId="797E7803">
      <w:pPr>
        <w:ind w:firstLine="420"/>
        <w:rPr>
          <w:b/>
          <w:color w:val="auto"/>
          <w:highlight w:val="none"/>
        </w:rPr>
      </w:pPr>
      <w:r>
        <w:rPr>
          <w:rFonts w:hint="eastAsia"/>
          <w:color w:val="auto"/>
          <w:highlight w:val="none"/>
        </w:rPr>
        <w:t>　</w:t>
      </w:r>
      <w:r>
        <w:rPr>
          <w:rFonts w:hint="eastAsia"/>
          <w:color w:val="auto"/>
          <w:highlight w:val="none"/>
          <w:lang w:eastAsia="zh-CN"/>
        </w:rPr>
        <w:t>（</w:t>
      </w:r>
      <w:r>
        <w:rPr>
          <w:rFonts w:hint="eastAsia"/>
          <w:color w:val="auto"/>
          <w:highlight w:val="none"/>
        </w:rPr>
        <w:t>六</w:t>
      </w:r>
      <w:r>
        <w:rPr>
          <w:rFonts w:hint="eastAsia"/>
          <w:color w:val="auto"/>
          <w:highlight w:val="none"/>
          <w:lang w:eastAsia="zh-CN"/>
        </w:rPr>
        <w:t>）</w:t>
      </w:r>
      <w:r>
        <w:rPr>
          <w:rFonts w:hint="eastAsia"/>
          <w:color w:val="auto"/>
          <w:highlight w:val="none"/>
        </w:rPr>
        <w:t>资格审查自审表</w:t>
      </w:r>
    </w:p>
    <w:tbl>
      <w:tblPr>
        <w:tblStyle w:val="2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9"/>
        <w:gridCol w:w="3544"/>
        <w:gridCol w:w="1134"/>
        <w:gridCol w:w="1134"/>
        <w:gridCol w:w="2551"/>
      </w:tblGrid>
      <w:tr w14:paraId="74B0B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752F9C00">
            <w:pPr>
              <w:jc w:val="center"/>
              <w:rPr>
                <w:color w:val="auto"/>
                <w:highlight w:val="none"/>
              </w:rPr>
            </w:pPr>
            <w:r>
              <w:rPr>
                <w:rFonts w:hint="eastAsia"/>
                <w:color w:val="auto"/>
                <w:highlight w:val="none"/>
              </w:rPr>
              <w:t>序号</w:t>
            </w:r>
          </w:p>
        </w:tc>
        <w:tc>
          <w:tcPr>
            <w:tcW w:w="3544" w:type="dxa"/>
            <w:vAlign w:val="center"/>
          </w:tcPr>
          <w:p w14:paraId="00ED5318">
            <w:pPr>
              <w:jc w:val="center"/>
              <w:rPr>
                <w:color w:val="auto"/>
                <w:highlight w:val="none"/>
              </w:rPr>
            </w:pPr>
            <w:r>
              <w:rPr>
                <w:rFonts w:hint="eastAsia"/>
                <w:color w:val="auto"/>
                <w:highlight w:val="none"/>
              </w:rPr>
              <w:t>审查因素</w:t>
            </w:r>
          </w:p>
        </w:tc>
        <w:tc>
          <w:tcPr>
            <w:tcW w:w="1134" w:type="dxa"/>
            <w:vAlign w:val="center"/>
          </w:tcPr>
          <w:p w14:paraId="296238E4">
            <w:pPr>
              <w:jc w:val="center"/>
              <w:rPr>
                <w:color w:val="auto"/>
                <w:highlight w:val="none"/>
              </w:rPr>
            </w:pPr>
            <w:r>
              <w:rPr>
                <w:rFonts w:hint="eastAsia"/>
                <w:color w:val="auto"/>
                <w:highlight w:val="none"/>
              </w:rPr>
              <w:t>审查标准</w:t>
            </w:r>
          </w:p>
        </w:tc>
        <w:tc>
          <w:tcPr>
            <w:tcW w:w="1134" w:type="dxa"/>
            <w:vAlign w:val="center"/>
          </w:tcPr>
          <w:p w14:paraId="603B8769">
            <w:pPr>
              <w:jc w:val="center"/>
              <w:rPr>
                <w:color w:val="auto"/>
                <w:highlight w:val="none"/>
              </w:rPr>
            </w:pPr>
            <w:r>
              <w:rPr>
                <w:rFonts w:hint="eastAsia"/>
                <w:color w:val="auto"/>
                <w:highlight w:val="none"/>
              </w:rPr>
              <w:t>审查结果</w:t>
            </w:r>
          </w:p>
        </w:tc>
        <w:tc>
          <w:tcPr>
            <w:tcW w:w="2551" w:type="dxa"/>
            <w:vAlign w:val="center"/>
          </w:tcPr>
          <w:p w14:paraId="5D2E2643">
            <w:pPr>
              <w:jc w:val="center"/>
              <w:rPr>
                <w:color w:val="auto"/>
                <w:highlight w:val="none"/>
              </w:rPr>
            </w:pPr>
            <w:r>
              <w:rPr>
                <w:rFonts w:hint="eastAsia"/>
                <w:color w:val="auto"/>
                <w:highlight w:val="none"/>
              </w:rPr>
              <w:t>引用的证明材料对应页码</w:t>
            </w:r>
          </w:p>
        </w:tc>
      </w:tr>
      <w:tr w14:paraId="06EF0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53C61A5D">
            <w:pPr>
              <w:jc w:val="center"/>
              <w:rPr>
                <w:color w:val="auto"/>
                <w:highlight w:val="none"/>
              </w:rPr>
            </w:pPr>
          </w:p>
        </w:tc>
        <w:tc>
          <w:tcPr>
            <w:tcW w:w="3544" w:type="dxa"/>
          </w:tcPr>
          <w:p w14:paraId="0139313F">
            <w:pPr>
              <w:rPr>
                <w:color w:val="auto"/>
                <w:highlight w:val="none"/>
              </w:rPr>
            </w:pPr>
            <w:r>
              <w:rPr>
                <w:rFonts w:hint="eastAsia"/>
                <w:color w:val="auto"/>
                <w:highlight w:val="none"/>
              </w:rPr>
              <w:t>营业执照</w:t>
            </w:r>
          </w:p>
        </w:tc>
        <w:tc>
          <w:tcPr>
            <w:tcW w:w="1134" w:type="dxa"/>
          </w:tcPr>
          <w:p w14:paraId="02E6E5C5">
            <w:pPr>
              <w:rPr>
                <w:color w:val="auto"/>
                <w:highlight w:val="none"/>
              </w:rPr>
            </w:pPr>
          </w:p>
        </w:tc>
        <w:tc>
          <w:tcPr>
            <w:tcW w:w="1134" w:type="dxa"/>
          </w:tcPr>
          <w:p w14:paraId="1CFD3DFD">
            <w:pPr>
              <w:rPr>
                <w:color w:val="auto"/>
                <w:highlight w:val="none"/>
              </w:rPr>
            </w:pPr>
          </w:p>
        </w:tc>
        <w:tc>
          <w:tcPr>
            <w:tcW w:w="2551" w:type="dxa"/>
          </w:tcPr>
          <w:p w14:paraId="1BEC8410">
            <w:pPr>
              <w:rPr>
                <w:color w:val="auto"/>
                <w:highlight w:val="none"/>
              </w:rPr>
            </w:pPr>
          </w:p>
        </w:tc>
      </w:tr>
      <w:tr w14:paraId="52B8D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35BD1E21">
            <w:pPr>
              <w:jc w:val="center"/>
              <w:rPr>
                <w:color w:val="auto"/>
                <w:highlight w:val="none"/>
              </w:rPr>
            </w:pPr>
          </w:p>
        </w:tc>
        <w:tc>
          <w:tcPr>
            <w:tcW w:w="3544" w:type="dxa"/>
          </w:tcPr>
          <w:p w14:paraId="0DF0F6D5">
            <w:pPr>
              <w:rPr>
                <w:color w:val="auto"/>
                <w:highlight w:val="none"/>
              </w:rPr>
            </w:pPr>
            <w:r>
              <w:rPr>
                <w:rFonts w:hint="eastAsia"/>
                <w:color w:val="auto"/>
                <w:highlight w:val="none"/>
              </w:rPr>
              <w:t>安全生产许可证</w:t>
            </w:r>
          </w:p>
        </w:tc>
        <w:tc>
          <w:tcPr>
            <w:tcW w:w="1134" w:type="dxa"/>
          </w:tcPr>
          <w:p w14:paraId="1F5FE23F">
            <w:pPr>
              <w:rPr>
                <w:color w:val="auto"/>
                <w:highlight w:val="none"/>
              </w:rPr>
            </w:pPr>
          </w:p>
        </w:tc>
        <w:tc>
          <w:tcPr>
            <w:tcW w:w="1134" w:type="dxa"/>
          </w:tcPr>
          <w:p w14:paraId="243C79BA">
            <w:pPr>
              <w:rPr>
                <w:color w:val="auto"/>
                <w:highlight w:val="none"/>
              </w:rPr>
            </w:pPr>
          </w:p>
        </w:tc>
        <w:tc>
          <w:tcPr>
            <w:tcW w:w="2551" w:type="dxa"/>
          </w:tcPr>
          <w:p w14:paraId="0D79FAEF">
            <w:pPr>
              <w:rPr>
                <w:color w:val="auto"/>
                <w:highlight w:val="none"/>
              </w:rPr>
            </w:pPr>
          </w:p>
        </w:tc>
      </w:tr>
      <w:tr w14:paraId="0283D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3730D8AF">
            <w:pPr>
              <w:jc w:val="center"/>
              <w:rPr>
                <w:color w:val="auto"/>
                <w:highlight w:val="none"/>
              </w:rPr>
            </w:pPr>
          </w:p>
        </w:tc>
        <w:tc>
          <w:tcPr>
            <w:tcW w:w="3544" w:type="dxa"/>
          </w:tcPr>
          <w:p w14:paraId="48E3DABC">
            <w:pPr>
              <w:rPr>
                <w:color w:val="auto"/>
                <w:highlight w:val="none"/>
              </w:rPr>
            </w:pPr>
            <w:r>
              <w:rPr>
                <w:rFonts w:hint="eastAsia"/>
                <w:color w:val="auto"/>
                <w:highlight w:val="none"/>
              </w:rPr>
              <w:t>资质证书及等级</w:t>
            </w:r>
          </w:p>
        </w:tc>
        <w:tc>
          <w:tcPr>
            <w:tcW w:w="1134" w:type="dxa"/>
          </w:tcPr>
          <w:p w14:paraId="212DF81D">
            <w:pPr>
              <w:rPr>
                <w:color w:val="auto"/>
                <w:highlight w:val="none"/>
              </w:rPr>
            </w:pPr>
          </w:p>
        </w:tc>
        <w:tc>
          <w:tcPr>
            <w:tcW w:w="1134" w:type="dxa"/>
          </w:tcPr>
          <w:p w14:paraId="27E90D15">
            <w:pPr>
              <w:rPr>
                <w:color w:val="auto"/>
                <w:highlight w:val="none"/>
              </w:rPr>
            </w:pPr>
          </w:p>
        </w:tc>
        <w:tc>
          <w:tcPr>
            <w:tcW w:w="2551" w:type="dxa"/>
          </w:tcPr>
          <w:p w14:paraId="3170E8B0">
            <w:pPr>
              <w:rPr>
                <w:color w:val="auto"/>
                <w:highlight w:val="none"/>
              </w:rPr>
            </w:pPr>
          </w:p>
        </w:tc>
      </w:tr>
      <w:tr w14:paraId="00A54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701613BE">
            <w:pPr>
              <w:jc w:val="center"/>
              <w:rPr>
                <w:color w:val="auto"/>
                <w:highlight w:val="none"/>
              </w:rPr>
            </w:pPr>
          </w:p>
        </w:tc>
        <w:tc>
          <w:tcPr>
            <w:tcW w:w="3544" w:type="dxa"/>
          </w:tcPr>
          <w:p w14:paraId="0AB8097B">
            <w:pPr>
              <w:rPr>
                <w:color w:val="auto"/>
                <w:highlight w:val="none"/>
              </w:rPr>
            </w:pPr>
            <w:r>
              <w:rPr>
                <w:rFonts w:hint="eastAsia"/>
                <w:color w:val="auto"/>
                <w:highlight w:val="none"/>
              </w:rPr>
              <w:t>财务状况</w:t>
            </w:r>
          </w:p>
        </w:tc>
        <w:tc>
          <w:tcPr>
            <w:tcW w:w="1134" w:type="dxa"/>
          </w:tcPr>
          <w:p w14:paraId="39EDC21A">
            <w:pPr>
              <w:rPr>
                <w:color w:val="auto"/>
                <w:highlight w:val="none"/>
              </w:rPr>
            </w:pPr>
          </w:p>
        </w:tc>
        <w:tc>
          <w:tcPr>
            <w:tcW w:w="1134" w:type="dxa"/>
          </w:tcPr>
          <w:p w14:paraId="7C7256C5">
            <w:pPr>
              <w:rPr>
                <w:color w:val="auto"/>
                <w:highlight w:val="none"/>
              </w:rPr>
            </w:pPr>
          </w:p>
        </w:tc>
        <w:tc>
          <w:tcPr>
            <w:tcW w:w="2551" w:type="dxa"/>
          </w:tcPr>
          <w:p w14:paraId="6F880804">
            <w:pPr>
              <w:rPr>
                <w:color w:val="auto"/>
                <w:highlight w:val="none"/>
              </w:rPr>
            </w:pPr>
          </w:p>
        </w:tc>
      </w:tr>
      <w:tr w14:paraId="300B5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3775FD4D">
            <w:pPr>
              <w:jc w:val="center"/>
              <w:rPr>
                <w:color w:val="auto"/>
                <w:highlight w:val="none"/>
              </w:rPr>
            </w:pPr>
          </w:p>
        </w:tc>
        <w:tc>
          <w:tcPr>
            <w:tcW w:w="3544" w:type="dxa"/>
          </w:tcPr>
          <w:p w14:paraId="1CB4D082">
            <w:pPr>
              <w:rPr>
                <w:color w:val="auto"/>
                <w:highlight w:val="none"/>
              </w:rPr>
            </w:pPr>
            <w:r>
              <w:rPr>
                <w:rFonts w:hint="eastAsia"/>
                <w:color w:val="auto"/>
                <w:highlight w:val="none"/>
              </w:rPr>
              <w:t>类似项目业绩</w:t>
            </w:r>
          </w:p>
        </w:tc>
        <w:tc>
          <w:tcPr>
            <w:tcW w:w="1134" w:type="dxa"/>
          </w:tcPr>
          <w:p w14:paraId="7888AF7A">
            <w:pPr>
              <w:rPr>
                <w:color w:val="auto"/>
                <w:highlight w:val="none"/>
              </w:rPr>
            </w:pPr>
          </w:p>
        </w:tc>
        <w:tc>
          <w:tcPr>
            <w:tcW w:w="1134" w:type="dxa"/>
          </w:tcPr>
          <w:p w14:paraId="6ED2C637">
            <w:pPr>
              <w:rPr>
                <w:color w:val="auto"/>
                <w:highlight w:val="none"/>
              </w:rPr>
            </w:pPr>
          </w:p>
        </w:tc>
        <w:tc>
          <w:tcPr>
            <w:tcW w:w="2551" w:type="dxa"/>
          </w:tcPr>
          <w:p w14:paraId="3217938A">
            <w:pPr>
              <w:rPr>
                <w:color w:val="auto"/>
                <w:highlight w:val="none"/>
              </w:rPr>
            </w:pPr>
          </w:p>
        </w:tc>
      </w:tr>
      <w:tr w14:paraId="44CBE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08EAB9AD">
            <w:pPr>
              <w:jc w:val="center"/>
              <w:rPr>
                <w:color w:val="auto"/>
                <w:highlight w:val="none"/>
              </w:rPr>
            </w:pPr>
          </w:p>
        </w:tc>
        <w:tc>
          <w:tcPr>
            <w:tcW w:w="3544" w:type="dxa"/>
          </w:tcPr>
          <w:p w14:paraId="16EF7283">
            <w:pPr>
              <w:rPr>
                <w:color w:val="auto"/>
                <w:highlight w:val="none"/>
              </w:rPr>
            </w:pPr>
            <w:r>
              <w:rPr>
                <w:rFonts w:hint="eastAsia"/>
                <w:color w:val="auto"/>
                <w:highlight w:val="none"/>
              </w:rPr>
              <w:t>信誉</w:t>
            </w:r>
          </w:p>
        </w:tc>
        <w:tc>
          <w:tcPr>
            <w:tcW w:w="1134" w:type="dxa"/>
          </w:tcPr>
          <w:p w14:paraId="1E786AAB">
            <w:pPr>
              <w:rPr>
                <w:color w:val="auto"/>
                <w:highlight w:val="none"/>
              </w:rPr>
            </w:pPr>
          </w:p>
        </w:tc>
        <w:tc>
          <w:tcPr>
            <w:tcW w:w="1134" w:type="dxa"/>
          </w:tcPr>
          <w:p w14:paraId="4827882E">
            <w:pPr>
              <w:rPr>
                <w:color w:val="auto"/>
                <w:highlight w:val="none"/>
              </w:rPr>
            </w:pPr>
          </w:p>
        </w:tc>
        <w:tc>
          <w:tcPr>
            <w:tcW w:w="2551" w:type="dxa"/>
          </w:tcPr>
          <w:p w14:paraId="77C7CF88">
            <w:pPr>
              <w:rPr>
                <w:color w:val="auto"/>
                <w:highlight w:val="none"/>
              </w:rPr>
            </w:pPr>
          </w:p>
        </w:tc>
      </w:tr>
      <w:tr w14:paraId="51F35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vAlign w:val="center"/>
          </w:tcPr>
          <w:p w14:paraId="73F5B41C">
            <w:pPr>
              <w:jc w:val="center"/>
              <w:rPr>
                <w:color w:val="auto"/>
                <w:highlight w:val="none"/>
              </w:rPr>
            </w:pPr>
          </w:p>
        </w:tc>
        <w:tc>
          <w:tcPr>
            <w:tcW w:w="3544" w:type="dxa"/>
          </w:tcPr>
          <w:p w14:paraId="73DCE1FD">
            <w:pPr>
              <w:rPr>
                <w:color w:val="auto"/>
                <w:highlight w:val="none"/>
              </w:rPr>
            </w:pPr>
            <w:r>
              <w:rPr>
                <w:rFonts w:hint="eastAsia"/>
                <w:color w:val="auto"/>
                <w:highlight w:val="none"/>
              </w:rPr>
              <w:t>项目经理资格</w:t>
            </w:r>
          </w:p>
        </w:tc>
        <w:tc>
          <w:tcPr>
            <w:tcW w:w="1134" w:type="dxa"/>
          </w:tcPr>
          <w:p w14:paraId="2F356597">
            <w:pPr>
              <w:rPr>
                <w:color w:val="auto"/>
                <w:highlight w:val="none"/>
              </w:rPr>
            </w:pPr>
          </w:p>
        </w:tc>
        <w:tc>
          <w:tcPr>
            <w:tcW w:w="1134" w:type="dxa"/>
          </w:tcPr>
          <w:p w14:paraId="13B9348B">
            <w:pPr>
              <w:rPr>
                <w:color w:val="auto"/>
                <w:highlight w:val="none"/>
              </w:rPr>
            </w:pPr>
          </w:p>
        </w:tc>
        <w:tc>
          <w:tcPr>
            <w:tcW w:w="2551" w:type="dxa"/>
          </w:tcPr>
          <w:p w14:paraId="69FCD5F3">
            <w:pPr>
              <w:rPr>
                <w:color w:val="auto"/>
                <w:highlight w:val="none"/>
              </w:rPr>
            </w:pPr>
          </w:p>
        </w:tc>
      </w:tr>
      <w:tr w14:paraId="68166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3A24E3FB">
            <w:pPr>
              <w:jc w:val="center"/>
              <w:rPr>
                <w:color w:val="auto"/>
                <w:highlight w:val="none"/>
              </w:rPr>
            </w:pPr>
          </w:p>
        </w:tc>
        <w:tc>
          <w:tcPr>
            <w:tcW w:w="3544" w:type="dxa"/>
          </w:tcPr>
          <w:p w14:paraId="108FE943">
            <w:pPr>
              <w:rPr>
                <w:color w:val="auto"/>
                <w:highlight w:val="none"/>
              </w:rPr>
            </w:pPr>
            <w:r>
              <w:rPr>
                <w:rFonts w:hint="eastAsia"/>
                <w:color w:val="auto"/>
                <w:highlight w:val="none"/>
              </w:rPr>
              <w:t>联合体协议书</w:t>
            </w:r>
          </w:p>
        </w:tc>
        <w:tc>
          <w:tcPr>
            <w:tcW w:w="1134" w:type="dxa"/>
          </w:tcPr>
          <w:p w14:paraId="2E6F7D1F">
            <w:pPr>
              <w:rPr>
                <w:color w:val="auto"/>
                <w:highlight w:val="none"/>
              </w:rPr>
            </w:pPr>
          </w:p>
        </w:tc>
        <w:tc>
          <w:tcPr>
            <w:tcW w:w="1134" w:type="dxa"/>
          </w:tcPr>
          <w:p w14:paraId="47C4D2C4">
            <w:pPr>
              <w:rPr>
                <w:color w:val="auto"/>
                <w:highlight w:val="none"/>
              </w:rPr>
            </w:pPr>
          </w:p>
        </w:tc>
        <w:tc>
          <w:tcPr>
            <w:tcW w:w="2551" w:type="dxa"/>
          </w:tcPr>
          <w:p w14:paraId="3B110B04">
            <w:pPr>
              <w:rPr>
                <w:color w:val="auto"/>
                <w:highlight w:val="none"/>
              </w:rPr>
            </w:pPr>
          </w:p>
        </w:tc>
      </w:tr>
      <w:tr w14:paraId="4ABDE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2FC73F6D">
            <w:pPr>
              <w:jc w:val="center"/>
              <w:rPr>
                <w:color w:val="auto"/>
                <w:highlight w:val="none"/>
              </w:rPr>
            </w:pPr>
          </w:p>
        </w:tc>
        <w:tc>
          <w:tcPr>
            <w:tcW w:w="3544" w:type="dxa"/>
          </w:tcPr>
          <w:p w14:paraId="1759FD68">
            <w:pPr>
              <w:rPr>
                <w:color w:val="auto"/>
                <w:highlight w:val="none"/>
              </w:rPr>
            </w:pPr>
            <w:r>
              <w:rPr>
                <w:rFonts w:hint="eastAsia"/>
                <w:color w:val="auto"/>
                <w:highlight w:val="none"/>
              </w:rPr>
              <w:t>企业主要负责人安全生产考核合格证书</w:t>
            </w:r>
          </w:p>
        </w:tc>
        <w:tc>
          <w:tcPr>
            <w:tcW w:w="1134" w:type="dxa"/>
          </w:tcPr>
          <w:p w14:paraId="56C5ECB8">
            <w:pPr>
              <w:rPr>
                <w:color w:val="auto"/>
                <w:highlight w:val="none"/>
              </w:rPr>
            </w:pPr>
          </w:p>
        </w:tc>
        <w:tc>
          <w:tcPr>
            <w:tcW w:w="1134" w:type="dxa"/>
          </w:tcPr>
          <w:p w14:paraId="7FDFF5B1">
            <w:pPr>
              <w:rPr>
                <w:color w:val="auto"/>
                <w:highlight w:val="none"/>
              </w:rPr>
            </w:pPr>
          </w:p>
        </w:tc>
        <w:tc>
          <w:tcPr>
            <w:tcW w:w="2551" w:type="dxa"/>
          </w:tcPr>
          <w:p w14:paraId="2FE3A50A">
            <w:pPr>
              <w:rPr>
                <w:color w:val="auto"/>
                <w:highlight w:val="none"/>
              </w:rPr>
            </w:pPr>
          </w:p>
        </w:tc>
      </w:tr>
      <w:tr w14:paraId="218DC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32B22B8C">
            <w:pPr>
              <w:jc w:val="center"/>
              <w:rPr>
                <w:color w:val="auto"/>
                <w:highlight w:val="none"/>
              </w:rPr>
            </w:pPr>
          </w:p>
        </w:tc>
        <w:tc>
          <w:tcPr>
            <w:tcW w:w="3544" w:type="dxa"/>
          </w:tcPr>
          <w:p w14:paraId="7D38E9FF">
            <w:pPr>
              <w:rPr>
                <w:color w:val="auto"/>
                <w:highlight w:val="none"/>
              </w:rPr>
            </w:pPr>
            <w:r>
              <w:rPr>
                <w:rFonts w:hint="eastAsia"/>
                <w:color w:val="auto"/>
                <w:highlight w:val="none"/>
              </w:rPr>
              <w:t>技术负责人资格</w:t>
            </w:r>
          </w:p>
        </w:tc>
        <w:tc>
          <w:tcPr>
            <w:tcW w:w="1134" w:type="dxa"/>
          </w:tcPr>
          <w:p w14:paraId="1A6F8C06">
            <w:pPr>
              <w:rPr>
                <w:color w:val="auto"/>
                <w:highlight w:val="none"/>
              </w:rPr>
            </w:pPr>
          </w:p>
        </w:tc>
        <w:tc>
          <w:tcPr>
            <w:tcW w:w="1134" w:type="dxa"/>
          </w:tcPr>
          <w:p w14:paraId="33B7583C">
            <w:pPr>
              <w:rPr>
                <w:color w:val="auto"/>
                <w:highlight w:val="none"/>
              </w:rPr>
            </w:pPr>
          </w:p>
        </w:tc>
        <w:tc>
          <w:tcPr>
            <w:tcW w:w="2551" w:type="dxa"/>
          </w:tcPr>
          <w:p w14:paraId="710D6AA5">
            <w:pPr>
              <w:rPr>
                <w:color w:val="auto"/>
                <w:highlight w:val="none"/>
              </w:rPr>
            </w:pPr>
          </w:p>
        </w:tc>
      </w:tr>
      <w:tr w14:paraId="02CD6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53D5F529">
            <w:pPr>
              <w:jc w:val="center"/>
              <w:rPr>
                <w:color w:val="auto"/>
                <w:highlight w:val="none"/>
              </w:rPr>
            </w:pPr>
          </w:p>
        </w:tc>
        <w:tc>
          <w:tcPr>
            <w:tcW w:w="3544" w:type="dxa"/>
          </w:tcPr>
          <w:p w14:paraId="09E5C79A">
            <w:pPr>
              <w:rPr>
                <w:color w:val="auto"/>
                <w:highlight w:val="none"/>
              </w:rPr>
            </w:pPr>
            <w:r>
              <w:rPr>
                <w:rFonts w:hint="eastAsia"/>
                <w:color w:val="auto"/>
                <w:highlight w:val="none"/>
              </w:rPr>
              <w:t>委托代理人、安全管理人员</w:t>
            </w:r>
            <w:r>
              <w:rPr>
                <w:rFonts w:hint="eastAsia"/>
                <w:color w:val="auto"/>
                <w:highlight w:val="none"/>
                <w:lang w:eastAsia="zh-CN"/>
              </w:rPr>
              <w:t>（</w:t>
            </w:r>
            <w:r>
              <w:rPr>
                <w:rFonts w:hint="eastAsia"/>
                <w:color w:val="auto"/>
                <w:highlight w:val="none"/>
              </w:rPr>
              <w:t>专职安全生产管理人员</w:t>
            </w:r>
            <w:r>
              <w:rPr>
                <w:rFonts w:hint="eastAsia"/>
                <w:color w:val="auto"/>
                <w:highlight w:val="none"/>
                <w:lang w:eastAsia="zh-CN"/>
              </w:rPr>
              <w:t>）</w:t>
            </w:r>
            <w:r>
              <w:rPr>
                <w:rFonts w:hint="eastAsia"/>
                <w:color w:val="auto"/>
                <w:highlight w:val="none"/>
              </w:rPr>
              <w:t>、质量管理人员、财务负责人</w:t>
            </w:r>
          </w:p>
        </w:tc>
        <w:tc>
          <w:tcPr>
            <w:tcW w:w="1134" w:type="dxa"/>
          </w:tcPr>
          <w:p w14:paraId="431EB52E">
            <w:pPr>
              <w:rPr>
                <w:color w:val="auto"/>
                <w:highlight w:val="none"/>
              </w:rPr>
            </w:pPr>
          </w:p>
        </w:tc>
        <w:tc>
          <w:tcPr>
            <w:tcW w:w="1134" w:type="dxa"/>
          </w:tcPr>
          <w:p w14:paraId="1BB6D3EA">
            <w:pPr>
              <w:rPr>
                <w:color w:val="auto"/>
                <w:highlight w:val="none"/>
              </w:rPr>
            </w:pPr>
          </w:p>
        </w:tc>
        <w:tc>
          <w:tcPr>
            <w:tcW w:w="2551" w:type="dxa"/>
          </w:tcPr>
          <w:p w14:paraId="451000E8">
            <w:pPr>
              <w:rPr>
                <w:color w:val="auto"/>
                <w:highlight w:val="none"/>
              </w:rPr>
            </w:pPr>
          </w:p>
        </w:tc>
      </w:tr>
      <w:tr w14:paraId="0E795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5A812A51">
            <w:pPr>
              <w:jc w:val="center"/>
              <w:rPr>
                <w:color w:val="auto"/>
                <w:highlight w:val="none"/>
              </w:rPr>
            </w:pPr>
          </w:p>
        </w:tc>
        <w:tc>
          <w:tcPr>
            <w:tcW w:w="3544" w:type="dxa"/>
          </w:tcPr>
          <w:p w14:paraId="1EBDC9C3">
            <w:pPr>
              <w:rPr>
                <w:color w:val="auto"/>
                <w:highlight w:val="none"/>
              </w:rPr>
            </w:pPr>
            <w:r>
              <w:rPr>
                <w:rFonts w:hint="eastAsia"/>
                <w:color w:val="auto"/>
                <w:highlight w:val="none"/>
              </w:rPr>
              <w:t>……</w:t>
            </w:r>
          </w:p>
        </w:tc>
        <w:tc>
          <w:tcPr>
            <w:tcW w:w="1134" w:type="dxa"/>
          </w:tcPr>
          <w:p w14:paraId="165073C9">
            <w:pPr>
              <w:rPr>
                <w:color w:val="auto"/>
                <w:highlight w:val="none"/>
              </w:rPr>
            </w:pPr>
          </w:p>
        </w:tc>
        <w:tc>
          <w:tcPr>
            <w:tcW w:w="1134" w:type="dxa"/>
          </w:tcPr>
          <w:p w14:paraId="6D4E1ED1">
            <w:pPr>
              <w:rPr>
                <w:color w:val="auto"/>
                <w:highlight w:val="none"/>
              </w:rPr>
            </w:pPr>
          </w:p>
        </w:tc>
        <w:tc>
          <w:tcPr>
            <w:tcW w:w="2551" w:type="dxa"/>
          </w:tcPr>
          <w:p w14:paraId="7A29DB2D">
            <w:pPr>
              <w:rPr>
                <w:color w:val="auto"/>
                <w:highlight w:val="none"/>
              </w:rPr>
            </w:pPr>
          </w:p>
        </w:tc>
      </w:tr>
      <w:tr w14:paraId="733F5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0598DAA0">
            <w:pPr>
              <w:jc w:val="center"/>
              <w:rPr>
                <w:color w:val="auto"/>
                <w:highlight w:val="none"/>
              </w:rPr>
            </w:pPr>
          </w:p>
        </w:tc>
        <w:tc>
          <w:tcPr>
            <w:tcW w:w="3544" w:type="dxa"/>
          </w:tcPr>
          <w:p w14:paraId="24285019">
            <w:pPr>
              <w:rPr>
                <w:color w:val="auto"/>
                <w:highlight w:val="none"/>
              </w:rPr>
            </w:pPr>
          </w:p>
        </w:tc>
        <w:tc>
          <w:tcPr>
            <w:tcW w:w="1134" w:type="dxa"/>
          </w:tcPr>
          <w:p w14:paraId="535D5A41">
            <w:pPr>
              <w:rPr>
                <w:color w:val="auto"/>
                <w:highlight w:val="none"/>
              </w:rPr>
            </w:pPr>
          </w:p>
        </w:tc>
        <w:tc>
          <w:tcPr>
            <w:tcW w:w="1134" w:type="dxa"/>
          </w:tcPr>
          <w:p w14:paraId="6A81B3D0">
            <w:pPr>
              <w:rPr>
                <w:color w:val="auto"/>
                <w:highlight w:val="none"/>
              </w:rPr>
            </w:pPr>
          </w:p>
        </w:tc>
        <w:tc>
          <w:tcPr>
            <w:tcW w:w="2551" w:type="dxa"/>
          </w:tcPr>
          <w:p w14:paraId="64739539">
            <w:pPr>
              <w:rPr>
                <w:color w:val="auto"/>
                <w:highlight w:val="none"/>
              </w:rPr>
            </w:pPr>
          </w:p>
        </w:tc>
      </w:tr>
    </w:tbl>
    <w:p w14:paraId="19B501E7">
      <w:pPr>
        <w:rPr>
          <w:color w:val="auto"/>
          <w:highlight w:val="none"/>
        </w:rPr>
      </w:pPr>
    </w:p>
    <w:p w14:paraId="14688520">
      <w:pPr>
        <w:rPr>
          <w:color w:val="auto"/>
          <w:highlight w:val="none"/>
        </w:rPr>
      </w:pPr>
      <w:r>
        <w:rPr>
          <w:color w:val="auto"/>
          <w:highlight w:val="none"/>
        </w:rPr>
        <w:br w:type="page"/>
      </w:r>
    </w:p>
    <w:p w14:paraId="3F8DDF83">
      <w:pPr>
        <w:jc w:val="center"/>
        <w:outlineLvl w:val="1"/>
        <w:rPr>
          <w:rFonts w:hint="eastAsia" w:ascii="黑体" w:hAnsi="黑体" w:eastAsia="黑体" w:cs="黑体"/>
          <w:b/>
          <w:color w:val="auto"/>
          <w:sz w:val="32"/>
          <w:szCs w:val="32"/>
          <w:highlight w:val="none"/>
          <w:lang w:val="en-US" w:eastAsia="zh-CN"/>
        </w:rPr>
      </w:pPr>
      <w:bookmarkStart w:id="1149" w:name="第08章投标文件格式10"/>
      <w:bookmarkEnd w:id="1149"/>
      <w:bookmarkStart w:id="1150" w:name="_Toc14508"/>
      <w:r>
        <w:rPr>
          <w:rFonts w:hint="eastAsia" w:ascii="黑体" w:hAnsi="黑体" w:eastAsia="黑体" w:cs="黑体"/>
          <w:b/>
          <w:color w:val="auto"/>
          <w:sz w:val="32"/>
          <w:szCs w:val="32"/>
          <w:highlight w:val="none"/>
          <w:lang w:val="en-US" w:eastAsia="zh-CN"/>
        </w:rPr>
        <w:t>十一、智能评审数据</w:t>
      </w:r>
    </w:p>
    <w:p w14:paraId="1FD6C381">
      <w:pPr>
        <w:spacing w:before="171" w:line="247" w:lineRule="auto"/>
        <w:ind w:left="814" w:right="791" w:hanging="1"/>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注：</w:t>
      </w:r>
      <w:r>
        <w:rPr>
          <w:rFonts w:ascii="宋体" w:hAnsi="宋体" w:eastAsia="宋体" w:cs="宋体"/>
          <w:color w:val="auto"/>
          <w:spacing w:val="-40"/>
          <w:sz w:val="21"/>
          <w:szCs w:val="21"/>
          <w:highlight w:val="none"/>
        </w:rPr>
        <w:t xml:space="preserve"> </w:t>
      </w:r>
      <w:r>
        <w:rPr>
          <w:rFonts w:ascii="宋体" w:hAnsi="宋体" w:eastAsia="宋体" w:cs="宋体"/>
          <w:color w:val="auto"/>
          <w:spacing w:val="-7"/>
          <w:sz w:val="21"/>
          <w:szCs w:val="21"/>
          <w:highlight w:val="none"/>
        </w:rPr>
        <w:t>数据示例如下，</w:t>
      </w:r>
      <w:r>
        <w:rPr>
          <w:rFonts w:ascii="宋体" w:hAnsi="宋体" w:eastAsia="宋体" w:cs="宋体"/>
          <w:color w:val="auto"/>
          <w:spacing w:val="-42"/>
          <w:sz w:val="21"/>
          <w:szCs w:val="21"/>
          <w:highlight w:val="none"/>
        </w:rPr>
        <w:t xml:space="preserve"> </w:t>
      </w:r>
      <w:r>
        <w:rPr>
          <w:rFonts w:ascii="宋体" w:hAnsi="宋体" w:eastAsia="宋体" w:cs="宋体"/>
          <w:color w:val="auto"/>
          <w:spacing w:val="-7"/>
          <w:sz w:val="21"/>
          <w:szCs w:val="21"/>
          <w:highlight w:val="none"/>
        </w:rPr>
        <w:t>本表单由“机器管”投标工具自动生成为准，</w:t>
      </w:r>
      <w:r>
        <w:rPr>
          <w:rFonts w:ascii="宋体" w:hAnsi="宋体" w:eastAsia="宋体" w:cs="宋体"/>
          <w:color w:val="auto"/>
          <w:spacing w:val="-43"/>
          <w:sz w:val="21"/>
          <w:szCs w:val="21"/>
          <w:highlight w:val="none"/>
        </w:rPr>
        <w:t xml:space="preserve"> </w:t>
      </w:r>
      <w:r>
        <w:rPr>
          <w:rFonts w:ascii="宋体" w:hAnsi="宋体" w:eastAsia="宋体" w:cs="宋体"/>
          <w:color w:val="auto"/>
          <w:spacing w:val="-7"/>
          <w:sz w:val="21"/>
          <w:szCs w:val="21"/>
          <w:highlight w:val="none"/>
        </w:rPr>
        <w:t>请投标人</w:t>
      </w:r>
      <w:r>
        <w:rPr>
          <w:rFonts w:ascii="宋体" w:hAnsi="宋体" w:eastAsia="宋体" w:cs="宋体"/>
          <w:color w:val="auto"/>
          <w:spacing w:val="-8"/>
          <w:sz w:val="21"/>
          <w:szCs w:val="21"/>
          <w:highlight w:val="none"/>
        </w:rPr>
        <w:t>认真确认数据的</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准确性与真实性。</w:t>
      </w:r>
    </w:p>
    <w:p w14:paraId="42C99875">
      <w:pPr>
        <w:spacing w:before="68" w:line="221" w:lineRule="auto"/>
        <w:ind w:left="820"/>
        <w:rPr>
          <w:rFonts w:ascii="宋体" w:hAnsi="宋体" w:eastAsia="宋体" w:cs="宋体"/>
          <w:color w:val="auto"/>
          <w:sz w:val="21"/>
          <w:szCs w:val="21"/>
          <w:highlight w:val="none"/>
        </w:rPr>
      </w:pPr>
      <w:r>
        <w:rPr>
          <w:rFonts w:ascii="宋体" w:hAnsi="宋体" w:eastAsia="宋体" w:cs="宋体"/>
          <w:b/>
          <w:bCs/>
          <w:color w:val="auto"/>
          <w:spacing w:val="-5"/>
          <w:sz w:val="21"/>
          <w:szCs w:val="21"/>
          <w:highlight w:val="none"/>
        </w:rPr>
        <w:t>营业执照</w:t>
      </w:r>
    </w:p>
    <w:tbl>
      <w:tblPr>
        <w:tblStyle w:val="48"/>
        <w:tblW w:w="8302" w:type="dxa"/>
        <w:tblInd w:w="8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50"/>
        <w:gridCol w:w="4152"/>
      </w:tblGrid>
      <w:tr w14:paraId="3C5FA4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4150" w:type="dxa"/>
            <w:vAlign w:val="top"/>
          </w:tcPr>
          <w:p w14:paraId="45D598BD">
            <w:pPr>
              <w:pStyle w:val="47"/>
              <w:spacing w:before="55" w:line="223" w:lineRule="auto"/>
              <w:ind w:left="119"/>
              <w:rPr>
                <w:color w:val="auto"/>
                <w:sz w:val="21"/>
                <w:szCs w:val="21"/>
                <w:highlight w:val="none"/>
              </w:rPr>
            </w:pPr>
            <w:r>
              <w:rPr>
                <w:color w:val="auto"/>
                <w:spacing w:val="-3"/>
                <w:sz w:val="21"/>
                <w:szCs w:val="21"/>
                <w:highlight w:val="none"/>
              </w:rPr>
              <w:t>企业名称</w:t>
            </w:r>
          </w:p>
        </w:tc>
        <w:tc>
          <w:tcPr>
            <w:tcW w:w="4152" w:type="dxa"/>
            <w:vAlign w:val="top"/>
          </w:tcPr>
          <w:p w14:paraId="7634729D">
            <w:pPr>
              <w:rPr>
                <w:rFonts w:ascii="Arial"/>
                <w:color w:val="auto"/>
                <w:sz w:val="21"/>
                <w:highlight w:val="none"/>
              </w:rPr>
            </w:pPr>
          </w:p>
        </w:tc>
      </w:tr>
      <w:tr w14:paraId="75EA8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4150" w:type="dxa"/>
            <w:vAlign w:val="top"/>
          </w:tcPr>
          <w:p w14:paraId="05477DB6">
            <w:pPr>
              <w:pStyle w:val="47"/>
              <w:spacing w:before="52" w:line="220" w:lineRule="auto"/>
              <w:ind w:left="117"/>
              <w:rPr>
                <w:color w:val="auto"/>
                <w:sz w:val="21"/>
                <w:szCs w:val="21"/>
                <w:highlight w:val="none"/>
              </w:rPr>
            </w:pPr>
            <w:r>
              <w:rPr>
                <w:color w:val="auto"/>
                <w:spacing w:val="-1"/>
                <w:sz w:val="21"/>
                <w:szCs w:val="21"/>
                <w:highlight w:val="none"/>
              </w:rPr>
              <w:t>社会统一信用代码</w:t>
            </w:r>
          </w:p>
        </w:tc>
        <w:tc>
          <w:tcPr>
            <w:tcW w:w="4152" w:type="dxa"/>
            <w:vAlign w:val="top"/>
          </w:tcPr>
          <w:p w14:paraId="6919DE5C">
            <w:pPr>
              <w:rPr>
                <w:rFonts w:ascii="Arial"/>
                <w:color w:val="auto"/>
                <w:sz w:val="21"/>
                <w:highlight w:val="none"/>
              </w:rPr>
            </w:pPr>
          </w:p>
        </w:tc>
      </w:tr>
      <w:tr w14:paraId="51F7B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4150" w:type="dxa"/>
            <w:vAlign w:val="top"/>
          </w:tcPr>
          <w:p w14:paraId="1C08AC21">
            <w:pPr>
              <w:pStyle w:val="47"/>
              <w:spacing w:before="53" w:line="221" w:lineRule="auto"/>
              <w:ind w:left="116"/>
              <w:rPr>
                <w:color w:val="auto"/>
                <w:sz w:val="21"/>
                <w:szCs w:val="21"/>
                <w:highlight w:val="none"/>
              </w:rPr>
            </w:pPr>
            <w:r>
              <w:rPr>
                <w:color w:val="auto"/>
                <w:spacing w:val="-1"/>
                <w:sz w:val="21"/>
                <w:szCs w:val="21"/>
                <w:highlight w:val="none"/>
              </w:rPr>
              <w:t>有效期截止时间</w:t>
            </w:r>
          </w:p>
        </w:tc>
        <w:tc>
          <w:tcPr>
            <w:tcW w:w="4152" w:type="dxa"/>
            <w:vAlign w:val="top"/>
          </w:tcPr>
          <w:p w14:paraId="6124FFC3">
            <w:pPr>
              <w:rPr>
                <w:rFonts w:ascii="Arial"/>
                <w:color w:val="auto"/>
                <w:sz w:val="21"/>
                <w:highlight w:val="none"/>
              </w:rPr>
            </w:pPr>
          </w:p>
        </w:tc>
      </w:tr>
      <w:tr w14:paraId="0B3737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4150" w:type="dxa"/>
            <w:vAlign w:val="top"/>
          </w:tcPr>
          <w:p w14:paraId="137178B1">
            <w:pPr>
              <w:pStyle w:val="47"/>
              <w:spacing w:before="57" w:line="221" w:lineRule="auto"/>
              <w:ind w:left="116"/>
              <w:rPr>
                <w:color w:val="auto"/>
                <w:sz w:val="21"/>
                <w:szCs w:val="21"/>
                <w:highlight w:val="none"/>
              </w:rPr>
            </w:pPr>
            <w:r>
              <w:rPr>
                <w:color w:val="auto"/>
                <w:spacing w:val="-1"/>
                <w:sz w:val="21"/>
                <w:szCs w:val="21"/>
                <w:highlight w:val="none"/>
              </w:rPr>
              <w:t>法人代表名称</w:t>
            </w:r>
          </w:p>
        </w:tc>
        <w:tc>
          <w:tcPr>
            <w:tcW w:w="4152" w:type="dxa"/>
            <w:vAlign w:val="top"/>
          </w:tcPr>
          <w:p w14:paraId="31005CF8">
            <w:pPr>
              <w:rPr>
                <w:rFonts w:ascii="Arial"/>
                <w:color w:val="auto"/>
                <w:sz w:val="21"/>
                <w:highlight w:val="none"/>
              </w:rPr>
            </w:pPr>
          </w:p>
        </w:tc>
      </w:tr>
    </w:tbl>
    <w:p w14:paraId="7710327B">
      <w:pPr>
        <w:spacing w:before="69" w:line="221" w:lineRule="auto"/>
        <w:ind w:left="817"/>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安全生产许可证</w:t>
      </w:r>
    </w:p>
    <w:tbl>
      <w:tblPr>
        <w:tblStyle w:val="48"/>
        <w:tblW w:w="8302" w:type="dxa"/>
        <w:tblInd w:w="8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50"/>
        <w:gridCol w:w="4152"/>
      </w:tblGrid>
      <w:tr w14:paraId="0D599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4150" w:type="dxa"/>
            <w:vAlign w:val="top"/>
          </w:tcPr>
          <w:p w14:paraId="62AAFD14">
            <w:pPr>
              <w:pStyle w:val="47"/>
              <w:spacing w:before="55" w:line="222" w:lineRule="auto"/>
              <w:ind w:left="119"/>
              <w:rPr>
                <w:color w:val="auto"/>
                <w:sz w:val="21"/>
                <w:szCs w:val="21"/>
                <w:highlight w:val="none"/>
              </w:rPr>
            </w:pPr>
            <w:r>
              <w:rPr>
                <w:color w:val="auto"/>
                <w:spacing w:val="-3"/>
                <w:sz w:val="21"/>
                <w:szCs w:val="21"/>
                <w:highlight w:val="none"/>
              </w:rPr>
              <w:t>企业名称</w:t>
            </w:r>
          </w:p>
        </w:tc>
        <w:tc>
          <w:tcPr>
            <w:tcW w:w="4152" w:type="dxa"/>
            <w:vAlign w:val="top"/>
          </w:tcPr>
          <w:p w14:paraId="10550DD9">
            <w:pPr>
              <w:rPr>
                <w:rFonts w:ascii="Arial"/>
                <w:color w:val="auto"/>
                <w:sz w:val="21"/>
                <w:highlight w:val="none"/>
              </w:rPr>
            </w:pPr>
          </w:p>
        </w:tc>
      </w:tr>
      <w:tr w14:paraId="0158EF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4150" w:type="dxa"/>
            <w:vAlign w:val="top"/>
          </w:tcPr>
          <w:p w14:paraId="20C0BAD0">
            <w:pPr>
              <w:pStyle w:val="47"/>
              <w:spacing w:before="54" w:line="221" w:lineRule="auto"/>
              <w:ind w:left="116"/>
              <w:rPr>
                <w:color w:val="auto"/>
                <w:sz w:val="21"/>
                <w:szCs w:val="21"/>
                <w:highlight w:val="none"/>
              </w:rPr>
            </w:pPr>
            <w:r>
              <w:rPr>
                <w:color w:val="auto"/>
                <w:spacing w:val="-1"/>
                <w:sz w:val="21"/>
                <w:szCs w:val="21"/>
                <w:highlight w:val="none"/>
              </w:rPr>
              <w:t>有效期截止时间</w:t>
            </w:r>
          </w:p>
        </w:tc>
        <w:tc>
          <w:tcPr>
            <w:tcW w:w="4152" w:type="dxa"/>
            <w:vAlign w:val="top"/>
          </w:tcPr>
          <w:p w14:paraId="47B42AB0">
            <w:pPr>
              <w:rPr>
                <w:rFonts w:ascii="Arial"/>
                <w:color w:val="auto"/>
                <w:sz w:val="21"/>
                <w:highlight w:val="none"/>
              </w:rPr>
            </w:pPr>
          </w:p>
        </w:tc>
      </w:tr>
    </w:tbl>
    <w:p w14:paraId="6868C78C">
      <w:pPr>
        <w:spacing w:before="68" w:line="221" w:lineRule="auto"/>
        <w:ind w:left="817"/>
        <w:rPr>
          <w:rFonts w:ascii="宋体" w:hAnsi="宋体" w:eastAsia="宋体" w:cs="宋体"/>
          <w:color w:val="auto"/>
          <w:sz w:val="21"/>
          <w:szCs w:val="21"/>
          <w:highlight w:val="none"/>
        </w:rPr>
      </w:pPr>
      <w:r>
        <w:rPr>
          <w:rFonts w:ascii="宋体" w:hAnsi="宋体" w:eastAsia="宋体" w:cs="宋体"/>
          <w:b/>
          <w:bCs/>
          <w:color w:val="auto"/>
          <w:spacing w:val="-4"/>
          <w:sz w:val="21"/>
          <w:szCs w:val="21"/>
          <w:highlight w:val="none"/>
        </w:rPr>
        <w:t>企业资质</w:t>
      </w:r>
    </w:p>
    <w:tbl>
      <w:tblPr>
        <w:tblStyle w:val="48"/>
        <w:tblW w:w="8302" w:type="dxa"/>
        <w:tblInd w:w="8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185"/>
        <w:gridCol w:w="1168"/>
        <w:gridCol w:w="1048"/>
        <w:gridCol w:w="1048"/>
        <w:gridCol w:w="1048"/>
        <w:gridCol w:w="1020"/>
        <w:gridCol w:w="986"/>
      </w:tblGrid>
      <w:tr w14:paraId="55741F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799" w:type="dxa"/>
            <w:vAlign w:val="top"/>
          </w:tcPr>
          <w:p w14:paraId="380E9475">
            <w:pPr>
              <w:pStyle w:val="47"/>
              <w:spacing w:before="55" w:line="222" w:lineRule="auto"/>
              <w:ind w:left="115"/>
              <w:rPr>
                <w:color w:val="auto"/>
                <w:sz w:val="21"/>
                <w:szCs w:val="21"/>
                <w:highlight w:val="none"/>
              </w:rPr>
            </w:pPr>
            <w:r>
              <w:rPr>
                <w:color w:val="auto"/>
                <w:spacing w:val="-2"/>
                <w:sz w:val="21"/>
                <w:szCs w:val="21"/>
                <w:highlight w:val="none"/>
              </w:rPr>
              <w:t>序号</w:t>
            </w:r>
          </w:p>
        </w:tc>
        <w:tc>
          <w:tcPr>
            <w:tcW w:w="1185" w:type="dxa"/>
            <w:vAlign w:val="top"/>
          </w:tcPr>
          <w:p w14:paraId="6390DAF8">
            <w:pPr>
              <w:pStyle w:val="47"/>
              <w:spacing w:before="55" w:line="223" w:lineRule="auto"/>
              <w:ind w:left="114"/>
              <w:rPr>
                <w:color w:val="auto"/>
                <w:sz w:val="21"/>
                <w:szCs w:val="21"/>
                <w:highlight w:val="none"/>
              </w:rPr>
            </w:pPr>
            <w:r>
              <w:rPr>
                <w:color w:val="auto"/>
                <w:spacing w:val="-3"/>
                <w:sz w:val="21"/>
                <w:szCs w:val="21"/>
                <w:highlight w:val="none"/>
              </w:rPr>
              <w:t>企业名称</w:t>
            </w:r>
          </w:p>
        </w:tc>
        <w:tc>
          <w:tcPr>
            <w:tcW w:w="1168" w:type="dxa"/>
            <w:vAlign w:val="top"/>
          </w:tcPr>
          <w:p w14:paraId="2F990F7B">
            <w:pPr>
              <w:pStyle w:val="47"/>
              <w:spacing w:before="54" w:line="249" w:lineRule="auto"/>
              <w:ind w:left="113" w:right="104"/>
              <w:rPr>
                <w:color w:val="auto"/>
                <w:sz w:val="21"/>
                <w:szCs w:val="21"/>
                <w:highlight w:val="none"/>
              </w:rPr>
            </w:pPr>
            <w:r>
              <w:rPr>
                <w:color w:val="auto"/>
                <w:spacing w:val="26"/>
                <w:sz w:val="21"/>
                <w:szCs w:val="21"/>
                <w:highlight w:val="none"/>
                <w:shd w:val="clear" w:color="FFFFFF" w:fill="D9D9D9"/>
              </w:rPr>
              <w:t>法定代表</w:t>
            </w:r>
            <w:r>
              <w:rPr>
                <w:color w:val="auto"/>
                <w:sz w:val="21"/>
                <w:szCs w:val="21"/>
                <w:highlight w:val="none"/>
                <w:shd w:val="clear" w:color="FFFFFF" w:fill="D9D9D9"/>
              </w:rPr>
              <w:t xml:space="preserve"> </w:t>
            </w:r>
            <w:r>
              <w:rPr>
                <w:color w:val="auto"/>
                <w:spacing w:val="-3"/>
                <w:sz w:val="21"/>
                <w:szCs w:val="21"/>
                <w:highlight w:val="none"/>
                <w:shd w:val="clear" w:color="FFFFFF" w:fill="D9D9D9"/>
              </w:rPr>
              <w:t>人名称</w:t>
            </w:r>
          </w:p>
        </w:tc>
        <w:tc>
          <w:tcPr>
            <w:tcW w:w="1048" w:type="dxa"/>
            <w:vAlign w:val="top"/>
          </w:tcPr>
          <w:p w14:paraId="03848305">
            <w:pPr>
              <w:pStyle w:val="47"/>
              <w:spacing w:before="54" w:line="254" w:lineRule="auto"/>
              <w:ind w:left="112" w:right="102" w:firstLine="9"/>
              <w:rPr>
                <w:color w:val="auto"/>
                <w:sz w:val="21"/>
                <w:szCs w:val="21"/>
                <w:highlight w:val="none"/>
              </w:rPr>
            </w:pPr>
            <w:r>
              <w:rPr>
                <w:color w:val="auto"/>
                <w:spacing w:val="-11"/>
                <w:sz w:val="21"/>
                <w:szCs w:val="21"/>
                <w:highlight w:val="none"/>
              </w:rPr>
              <w:t>资</w:t>
            </w:r>
            <w:r>
              <w:rPr>
                <w:color w:val="auto"/>
                <w:spacing w:val="5"/>
                <w:sz w:val="21"/>
                <w:szCs w:val="21"/>
                <w:highlight w:val="none"/>
              </w:rPr>
              <w:t xml:space="preserve"> </w:t>
            </w:r>
            <w:r>
              <w:rPr>
                <w:color w:val="auto"/>
                <w:spacing w:val="-11"/>
                <w:sz w:val="21"/>
                <w:szCs w:val="21"/>
                <w:highlight w:val="none"/>
              </w:rPr>
              <w:t>质</w:t>
            </w:r>
            <w:r>
              <w:rPr>
                <w:color w:val="auto"/>
                <w:spacing w:val="4"/>
                <w:sz w:val="21"/>
                <w:szCs w:val="21"/>
                <w:highlight w:val="none"/>
              </w:rPr>
              <w:t xml:space="preserve"> </w:t>
            </w:r>
            <w:r>
              <w:rPr>
                <w:color w:val="auto"/>
                <w:spacing w:val="-11"/>
                <w:sz w:val="21"/>
                <w:szCs w:val="21"/>
                <w:highlight w:val="none"/>
              </w:rPr>
              <w:t>专</w:t>
            </w:r>
            <w:r>
              <w:rPr>
                <w:color w:val="auto"/>
                <w:sz w:val="21"/>
                <w:szCs w:val="21"/>
                <w:highlight w:val="none"/>
              </w:rPr>
              <w:t xml:space="preserve"> 业</w:t>
            </w:r>
          </w:p>
        </w:tc>
        <w:tc>
          <w:tcPr>
            <w:tcW w:w="1048" w:type="dxa"/>
            <w:vAlign w:val="top"/>
          </w:tcPr>
          <w:p w14:paraId="525D7BF2">
            <w:pPr>
              <w:pStyle w:val="47"/>
              <w:spacing w:before="55" w:line="248" w:lineRule="auto"/>
              <w:ind w:left="116" w:right="101" w:firstLine="6"/>
              <w:rPr>
                <w:color w:val="auto"/>
                <w:sz w:val="21"/>
                <w:szCs w:val="21"/>
                <w:highlight w:val="none"/>
              </w:rPr>
            </w:pPr>
            <w:r>
              <w:rPr>
                <w:color w:val="auto"/>
                <w:spacing w:val="-11"/>
                <w:sz w:val="21"/>
                <w:szCs w:val="21"/>
                <w:highlight w:val="none"/>
              </w:rPr>
              <w:t>资</w:t>
            </w:r>
            <w:r>
              <w:rPr>
                <w:color w:val="auto"/>
                <w:spacing w:val="5"/>
                <w:sz w:val="21"/>
                <w:szCs w:val="21"/>
                <w:highlight w:val="none"/>
              </w:rPr>
              <w:t xml:space="preserve"> </w:t>
            </w:r>
            <w:r>
              <w:rPr>
                <w:color w:val="auto"/>
                <w:spacing w:val="-11"/>
                <w:sz w:val="21"/>
                <w:szCs w:val="21"/>
                <w:highlight w:val="none"/>
              </w:rPr>
              <w:t>质</w:t>
            </w:r>
            <w:r>
              <w:rPr>
                <w:color w:val="auto"/>
                <w:spacing w:val="4"/>
                <w:sz w:val="21"/>
                <w:szCs w:val="21"/>
                <w:highlight w:val="none"/>
              </w:rPr>
              <w:t xml:space="preserve"> </w:t>
            </w:r>
            <w:r>
              <w:rPr>
                <w:color w:val="auto"/>
                <w:spacing w:val="-11"/>
                <w:sz w:val="21"/>
                <w:szCs w:val="21"/>
                <w:highlight w:val="none"/>
              </w:rPr>
              <w:t>类</w:t>
            </w:r>
            <w:r>
              <w:rPr>
                <w:color w:val="auto"/>
                <w:sz w:val="21"/>
                <w:szCs w:val="21"/>
                <w:highlight w:val="none"/>
              </w:rPr>
              <w:t xml:space="preserve"> 别</w:t>
            </w:r>
          </w:p>
        </w:tc>
        <w:tc>
          <w:tcPr>
            <w:tcW w:w="1048" w:type="dxa"/>
            <w:vAlign w:val="top"/>
          </w:tcPr>
          <w:p w14:paraId="1ECA70DA">
            <w:pPr>
              <w:pStyle w:val="47"/>
              <w:spacing w:before="56" w:line="251" w:lineRule="auto"/>
              <w:ind w:left="121" w:right="100" w:firstLine="2"/>
              <w:rPr>
                <w:color w:val="auto"/>
                <w:sz w:val="21"/>
                <w:szCs w:val="21"/>
                <w:highlight w:val="none"/>
              </w:rPr>
            </w:pPr>
            <w:r>
              <w:rPr>
                <w:color w:val="auto"/>
                <w:spacing w:val="-11"/>
                <w:sz w:val="21"/>
                <w:szCs w:val="21"/>
                <w:highlight w:val="none"/>
              </w:rPr>
              <w:t>资</w:t>
            </w:r>
            <w:r>
              <w:rPr>
                <w:color w:val="auto"/>
                <w:spacing w:val="5"/>
                <w:sz w:val="21"/>
                <w:szCs w:val="21"/>
                <w:highlight w:val="none"/>
              </w:rPr>
              <w:t xml:space="preserve"> </w:t>
            </w:r>
            <w:r>
              <w:rPr>
                <w:color w:val="auto"/>
                <w:spacing w:val="-11"/>
                <w:sz w:val="21"/>
                <w:szCs w:val="21"/>
                <w:highlight w:val="none"/>
              </w:rPr>
              <w:t>质</w:t>
            </w:r>
            <w:r>
              <w:rPr>
                <w:color w:val="auto"/>
                <w:spacing w:val="4"/>
                <w:sz w:val="21"/>
                <w:szCs w:val="21"/>
                <w:highlight w:val="none"/>
              </w:rPr>
              <w:t xml:space="preserve"> </w:t>
            </w:r>
            <w:r>
              <w:rPr>
                <w:color w:val="auto"/>
                <w:spacing w:val="-11"/>
                <w:sz w:val="21"/>
                <w:szCs w:val="21"/>
                <w:highlight w:val="none"/>
              </w:rPr>
              <w:t>类</w:t>
            </w:r>
            <w:r>
              <w:rPr>
                <w:color w:val="auto"/>
                <w:sz w:val="21"/>
                <w:szCs w:val="21"/>
                <w:highlight w:val="none"/>
              </w:rPr>
              <w:t xml:space="preserve"> 型</w:t>
            </w:r>
          </w:p>
        </w:tc>
        <w:tc>
          <w:tcPr>
            <w:tcW w:w="1020" w:type="dxa"/>
            <w:vAlign w:val="top"/>
          </w:tcPr>
          <w:p w14:paraId="28B6F280">
            <w:pPr>
              <w:pStyle w:val="47"/>
              <w:spacing w:before="54" w:line="249" w:lineRule="auto"/>
              <w:ind w:left="119" w:right="103" w:firstLine="5"/>
              <w:rPr>
                <w:color w:val="auto"/>
                <w:sz w:val="21"/>
                <w:szCs w:val="21"/>
                <w:highlight w:val="none"/>
              </w:rPr>
            </w:pPr>
            <w:r>
              <w:rPr>
                <w:color w:val="auto"/>
                <w:spacing w:val="-11"/>
                <w:sz w:val="21"/>
                <w:szCs w:val="21"/>
                <w:highlight w:val="none"/>
              </w:rPr>
              <w:t>资 质 等</w:t>
            </w:r>
            <w:r>
              <w:rPr>
                <w:color w:val="auto"/>
                <w:sz w:val="21"/>
                <w:szCs w:val="21"/>
                <w:highlight w:val="none"/>
              </w:rPr>
              <w:t xml:space="preserve"> 级</w:t>
            </w:r>
          </w:p>
        </w:tc>
        <w:tc>
          <w:tcPr>
            <w:tcW w:w="986" w:type="dxa"/>
            <w:vAlign w:val="top"/>
          </w:tcPr>
          <w:p w14:paraId="6EC706BE">
            <w:pPr>
              <w:pStyle w:val="47"/>
              <w:spacing w:before="54" w:line="257" w:lineRule="auto"/>
              <w:ind w:left="115" w:right="104" w:firstLine="1"/>
              <w:jc w:val="both"/>
              <w:rPr>
                <w:color w:val="auto"/>
                <w:sz w:val="21"/>
                <w:szCs w:val="21"/>
                <w:highlight w:val="none"/>
              </w:rPr>
            </w:pPr>
            <w:r>
              <w:rPr>
                <w:color w:val="auto"/>
                <w:spacing w:val="-10"/>
                <w:sz w:val="21"/>
                <w:szCs w:val="21"/>
                <w:highlight w:val="none"/>
              </w:rPr>
              <w:t>有</w:t>
            </w:r>
            <w:r>
              <w:rPr>
                <w:color w:val="auto"/>
                <w:spacing w:val="-25"/>
                <w:sz w:val="21"/>
                <w:szCs w:val="21"/>
                <w:highlight w:val="none"/>
              </w:rPr>
              <w:t xml:space="preserve"> </w:t>
            </w:r>
            <w:r>
              <w:rPr>
                <w:color w:val="auto"/>
                <w:spacing w:val="-10"/>
                <w:sz w:val="21"/>
                <w:szCs w:val="21"/>
                <w:highlight w:val="none"/>
              </w:rPr>
              <w:t>效</w:t>
            </w:r>
            <w:r>
              <w:rPr>
                <w:color w:val="auto"/>
                <w:spacing w:val="-28"/>
                <w:sz w:val="21"/>
                <w:szCs w:val="21"/>
                <w:highlight w:val="none"/>
              </w:rPr>
              <w:t xml:space="preserve"> </w:t>
            </w:r>
            <w:r>
              <w:rPr>
                <w:color w:val="auto"/>
                <w:spacing w:val="-10"/>
                <w:sz w:val="21"/>
                <w:szCs w:val="21"/>
                <w:highlight w:val="none"/>
              </w:rPr>
              <w:t>期</w:t>
            </w:r>
            <w:r>
              <w:rPr>
                <w:color w:val="auto"/>
                <w:sz w:val="21"/>
                <w:szCs w:val="21"/>
                <w:highlight w:val="none"/>
              </w:rPr>
              <w:t xml:space="preserve"> </w:t>
            </w:r>
            <w:r>
              <w:rPr>
                <w:color w:val="auto"/>
                <w:spacing w:val="-11"/>
                <w:sz w:val="21"/>
                <w:szCs w:val="21"/>
                <w:highlight w:val="none"/>
              </w:rPr>
              <w:t>截</w:t>
            </w:r>
            <w:r>
              <w:rPr>
                <w:color w:val="auto"/>
                <w:spacing w:val="-28"/>
                <w:sz w:val="21"/>
                <w:szCs w:val="21"/>
                <w:highlight w:val="none"/>
              </w:rPr>
              <w:t xml:space="preserve"> </w:t>
            </w:r>
            <w:r>
              <w:rPr>
                <w:color w:val="auto"/>
                <w:spacing w:val="-11"/>
                <w:sz w:val="21"/>
                <w:szCs w:val="21"/>
                <w:highlight w:val="none"/>
              </w:rPr>
              <w:t>止</w:t>
            </w:r>
            <w:r>
              <w:rPr>
                <w:color w:val="auto"/>
                <w:spacing w:val="-20"/>
                <w:sz w:val="21"/>
                <w:szCs w:val="21"/>
                <w:highlight w:val="none"/>
              </w:rPr>
              <w:t xml:space="preserve"> </w:t>
            </w:r>
            <w:r>
              <w:rPr>
                <w:color w:val="auto"/>
                <w:spacing w:val="-11"/>
                <w:sz w:val="21"/>
                <w:szCs w:val="21"/>
                <w:highlight w:val="none"/>
              </w:rPr>
              <w:t>时</w:t>
            </w:r>
            <w:r>
              <w:rPr>
                <w:color w:val="auto"/>
                <w:sz w:val="21"/>
                <w:szCs w:val="21"/>
                <w:highlight w:val="none"/>
              </w:rPr>
              <w:t xml:space="preserve"> 间</w:t>
            </w:r>
          </w:p>
        </w:tc>
      </w:tr>
      <w:tr w14:paraId="62ACB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799" w:type="dxa"/>
            <w:vAlign w:val="top"/>
          </w:tcPr>
          <w:p w14:paraId="7CBBABDE">
            <w:pPr>
              <w:pStyle w:val="47"/>
              <w:spacing w:before="91" w:line="183" w:lineRule="auto"/>
              <w:ind w:left="131"/>
              <w:rPr>
                <w:color w:val="auto"/>
                <w:sz w:val="21"/>
                <w:szCs w:val="21"/>
                <w:highlight w:val="none"/>
              </w:rPr>
            </w:pPr>
            <w:r>
              <w:rPr>
                <w:color w:val="auto"/>
                <w:sz w:val="21"/>
                <w:szCs w:val="21"/>
                <w:highlight w:val="none"/>
              </w:rPr>
              <w:t>1</w:t>
            </w:r>
          </w:p>
        </w:tc>
        <w:tc>
          <w:tcPr>
            <w:tcW w:w="1185" w:type="dxa"/>
            <w:vAlign w:val="top"/>
          </w:tcPr>
          <w:p w14:paraId="21A55814">
            <w:pPr>
              <w:rPr>
                <w:rFonts w:ascii="Arial"/>
                <w:color w:val="auto"/>
                <w:sz w:val="21"/>
                <w:highlight w:val="none"/>
              </w:rPr>
            </w:pPr>
          </w:p>
        </w:tc>
        <w:tc>
          <w:tcPr>
            <w:tcW w:w="1168" w:type="dxa"/>
            <w:vAlign w:val="top"/>
          </w:tcPr>
          <w:p w14:paraId="10EDCECC">
            <w:pPr>
              <w:rPr>
                <w:rFonts w:ascii="Arial"/>
                <w:color w:val="auto"/>
                <w:sz w:val="21"/>
                <w:highlight w:val="none"/>
              </w:rPr>
            </w:pPr>
          </w:p>
        </w:tc>
        <w:tc>
          <w:tcPr>
            <w:tcW w:w="1048" w:type="dxa"/>
            <w:vAlign w:val="top"/>
          </w:tcPr>
          <w:p w14:paraId="2FA1DF23">
            <w:pPr>
              <w:rPr>
                <w:rFonts w:ascii="Arial"/>
                <w:color w:val="auto"/>
                <w:sz w:val="21"/>
                <w:highlight w:val="none"/>
              </w:rPr>
            </w:pPr>
          </w:p>
        </w:tc>
        <w:tc>
          <w:tcPr>
            <w:tcW w:w="1048" w:type="dxa"/>
            <w:vAlign w:val="top"/>
          </w:tcPr>
          <w:p w14:paraId="59159EF8">
            <w:pPr>
              <w:rPr>
                <w:rFonts w:ascii="Arial"/>
                <w:color w:val="auto"/>
                <w:sz w:val="21"/>
                <w:highlight w:val="none"/>
              </w:rPr>
            </w:pPr>
          </w:p>
        </w:tc>
        <w:tc>
          <w:tcPr>
            <w:tcW w:w="1048" w:type="dxa"/>
            <w:vAlign w:val="top"/>
          </w:tcPr>
          <w:p w14:paraId="5F00A020">
            <w:pPr>
              <w:rPr>
                <w:rFonts w:ascii="Arial"/>
                <w:color w:val="auto"/>
                <w:sz w:val="21"/>
                <w:highlight w:val="none"/>
              </w:rPr>
            </w:pPr>
          </w:p>
        </w:tc>
        <w:tc>
          <w:tcPr>
            <w:tcW w:w="1020" w:type="dxa"/>
            <w:vAlign w:val="top"/>
          </w:tcPr>
          <w:p w14:paraId="248F8386">
            <w:pPr>
              <w:rPr>
                <w:rFonts w:ascii="Arial"/>
                <w:color w:val="auto"/>
                <w:sz w:val="21"/>
                <w:highlight w:val="none"/>
              </w:rPr>
            </w:pPr>
          </w:p>
        </w:tc>
        <w:tc>
          <w:tcPr>
            <w:tcW w:w="986" w:type="dxa"/>
            <w:vAlign w:val="top"/>
          </w:tcPr>
          <w:p w14:paraId="2847E5C4">
            <w:pPr>
              <w:rPr>
                <w:rFonts w:ascii="Arial"/>
                <w:color w:val="auto"/>
                <w:sz w:val="21"/>
                <w:highlight w:val="none"/>
              </w:rPr>
            </w:pPr>
          </w:p>
        </w:tc>
      </w:tr>
      <w:tr w14:paraId="7CDE88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799" w:type="dxa"/>
            <w:vAlign w:val="top"/>
          </w:tcPr>
          <w:p w14:paraId="0EB387BE">
            <w:pPr>
              <w:pStyle w:val="47"/>
              <w:spacing w:before="90" w:line="182" w:lineRule="auto"/>
              <w:ind w:left="118"/>
              <w:rPr>
                <w:color w:val="auto"/>
                <w:sz w:val="21"/>
                <w:szCs w:val="21"/>
                <w:highlight w:val="none"/>
              </w:rPr>
            </w:pPr>
            <w:r>
              <w:rPr>
                <w:color w:val="auto"/>
                <w:sz w:val="21"/>
                <w:szCs w:val="21"/>
                <w:highlight w:val="none"/>
              </w:rPr>
              <w:t>2</w:t>
            </w:r>
          </w:p>
        </w:tc>
        <w:tc>
          <w:tcPr>
            <w:tcW w:w="1185" w:type="dxa"/>
            <w:vAlign w:val="top"/>
          </w:tcPr>
          <w:p w14:paraId="0BCDCF26">
            <w:pPr>
              <w:rPr>
                <w:rFonts w:ascii="Arial"/>
                <w:color w:val="auto"/>
                <w:sz w:val="21"/>
                <w:highlight w:val="none"/>
              </w:rPr>
            </w:pPr>
          </w:p>
        </w:tc>
        <w:tc>
          <w:tcPr>
            <w:tcW w:w="1168" w:type="dxa"/>
            <w:vAlign w:val="top"/>
          </w:tcPr>
          <w:p w14:paraId="1BF1D40D">
            <w:pPr>
              <w:rPr>
                <w:rFonts w:ascii="Arial"/>
                <w:color w:val="auto"/>
                <w:sz w:val="21"/>
                <w:highlight w:val="none"/>
              </w:rPr>
            </w:pPr>
          </w:p>
        </w:tc>
        <w:tc>
          <w:tcPr>
            <w:tcW w:w="1048" w:type="dxa"/>
            <w:vAlign w:val="top"/>
          </w:tcPr>
          <w:p w14:paraId="61DCD60E">
            <w:pPr>
              <w:rPr>
                <w:rFonts w:ascii="Arial"/>
                <w:color w:val="auto"/>
                <w:sz w:val="21"/>
                <w:highlight w:val="none"/>
              </w:rPr>
            </w:pPr>
          </w:p>
        </w:tc>
        <w:tc>
          <w:tcPr>
            <w:tcW w:w="1048" w:type="dxa"/>
            <w:vAlign w:val="top"/>
          </w:tcPr>
          <w:p w14:paraId="5B1BCFDC">
            <w:pPr>
              <w:rPr>
                <w:rFonts w:ascii="Arial"/>
                <w:color w:val="auto"/>
                <w:sz w:val="21"/>
                <w:highlight w:val="none"/>
              </w:rPr>
            </w:pPr>
          </w:p>
        </w:tc>
        <w:tc>
          <w:tcPr>
            <w:tcW w:w="1048" w:type="dxa"/>
            <w:vAlign w:val="top"/>
          </w:tcPr>
          <w:p w14:paraId="71E07278">
            <w:pPr>
              <w:rPr>
                <w:rFonts w:ascii="Arial"/>
                <w:color w:val="auto"/>
                <w:sz w:val="21"/>
                <w:highlight w:val="none"/>
              </w:rPr>
            </w:pPr>
          </w:p>
        </w:tc>
        <w:tc>
          <w:tcPr>
            <w:tcW w:w="1020" w:type="dxa"/>
            <w:vAlign w:val="top"/>
          </w:tcPr>
          <w:p w14:paraId="24E95494">
            <w:pPr>
              <w:rPr>
                <w:rFonts w:ascii="Arial"/>
                <w:color w:val="auto"/>
                <w:sz w:val="21"/>
                <w:highlight w:val="none"/>
              </w:rPr>
            </w:pPr>
          </w:p>
        </w:tc>
        <w:tc>
          <w:tcPr>
            <w:tcW w:w="986" w:type="dxa"/>
            <w:vAlign w:val="top"/>
          </w:tcPr>
          <w:p w14:paraId="0A66F1B7">
            <w:pPr>
              <w:rPr>
                <w:rFonts w:ascii="Arial"/>
                <w:color w:val="auto"/>
                <w:sz w:val="21"/>
                <w:highlight w:val="none"/>
              </w:rPr>
            </w:pPr>
          </w:p>
        </w:tc>
      </w:tr>
    </w:tbl>
    <w:p w14:paraId="00539729">
      <w:pPr>
        <w:pStyle w:val="9"/>
        <w:spacing w:line="303" w:lineRule="auto"/>
        <w:rPr>
          <w:color w:val="auto"/>
          <w:highlight w:val="none"/>
        </w:rPr>
      </w:pPr>
    </w:p>
    <w:p w14:paraId="1FD27BDA">
      <w:pPr>
        <w:pStyle w:val="9"/>
        <w:spacing w:line="304" w:lineRule="auto"/>
        <w:rPr>
          <w:color w:val="auto"/>
          <w:highlight w:val="none"/>
        </w:rPr>
      </w:pPr>
    </w:p>
    <w:p w14:paraId="3BFAB841">
      <w:pPr>
        <w:pStyle w:val="9"/>
        <w:spacing w:line="304" w:lineRule="auto"/>
        <w:rPr>
          <w:color w:val="auto"/>
          <w:highlight w:val="none"/>
        </w:rPr>
      </w:pPr>
    </w:p>
    <w:p w14:paraId="25F74D41">
      <w:pPr>
        <w:spacing w:before="68" w:line="264" w:lineRule="auto"/>
        <w:ind w:left="813" w:right="792" w:firstLine="63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我方承诺已知悉本项目为机器评审项目，机器管招投标系统投标工具将在投标文件中</w:t>
      </w:r>
      <w:r>
        <w:rPr>
          <w:rFonts w:ascii="宋体" w:hAnsi="宋体" w:eastAsia="宋体" w:cs="宋体"/>
          <w:color w:val="auto"/>
          <w:spacing w:val="11"/>
          <w:sz w:val="21"/>
          <w:szCs w:val="21"/>
          <w:highlight w:val="none"/>
        </w:rPr>
        <w:t xml:space="preserve"> </w:t>
      </w:r>
      <w:r>
        <w:rPr>
          <w:rFonts w:ascii="宋体" w:hAnsi="宋体" w:eastAsia="宋体" w:cs="宋体"/>
          <w:color w:val="auto"/>
          <w:spacing w:val="-13"/>
          <w:sz w:val="21"/>
          <w:szCs w:val="21"/>
          <w:highlight w:val="none"/>
        </w:rPr>
        <w:t>生成“智能评审数据”（详细格式见招标文件中投标文件格式章节中的“十</w:t>
      </w:r>
      <w:r>
        <w:rPr>
          <w:rFonts w:hint="eastAsia" w:ascii="宋体" w:hAnsi="宋体" w:cs="宋体"/>
          <w:color w:val="auto"/>
          <w:spacing w:val="-13"/>
          <w:sz w:val="21"/>
          <w:szCs w:val="21"/>
          <w:highlight w:val="none"/>
          <w:lang w:val="en-US" w:eastAsia="zh-CN"/>
        </w:rPr>
        <w:t>一</w:t>
      </w:r>
      <w:r>
        <w:rPr>
          <w:rFonts w:ascii="宋体" w:hAnsi="宋体" w:eastAsia="宋体" w:cs="宋体"/>
          <w:color w:val="auto"/>
          <w:spacing w:val="-13"/>
          <w:sz w:val="21"/>
          <w:szCs w:val="21"/>
          <w:highlight w:val="none"/>
        </w:rPr>
        <w:t>、智能评审数据”</w:t>
      </w:r>
      <w:r>
        <w:rPr>
          <w:rFonts w:ascii="宋体" w:hAnsi="宋体" w:eastAsia="宋体" w:cs="宋体"/>
          <w:color w:val="auto"/>
          <w:spacing w:val="-40"/>
          <w:w w:val="72"/>
          <w:sz w:val="21"/>
          <w:szCs w:val="21"/>
          <w:highlight w:val="none"/>
        </w:rPr>
        <w:t>），</w:t>
      </w:r>
      <w:r>
        <w:rPr>
          <w:rFonts w:ascii="宋体" w:hAnsi="宋体" w:eastAsia="宋体" w:cs="宋体"/>
          <w:color w:val="auto"/>
          <w:spacing w:val="3"/>
          <w:sz w:val="21"/>
          <w:szCs w:val="21"/>
          <w:highlight w:val="none"/>
        </w:rPr>
        <w:t xml:space="preserve"> </w:t>
      </w:r>
      <w:r>
        <w:rPr>
          <w:rFonts w:ascii="宋体" w:hAnsi="宋体" w:eastAsia="宋体" w:cs="宋体"/>
          <w:color w:val="auto"/>
          <w:spacing w:val="-2"/>
          <w:sz w:val="21"/>
          <w:szCs w:val="21"/>
          <w:highlight w:val="none"/>
        </w:rPr>
        <w:t>我方已对相关内容进行确认，并同意机器评审内容以</w:t>
      </w:r>
      <w:r>
        <w:rPr>
          <w:rFonts w:ascii="宋体" w:hAnsi="宋体" w:eastAsia="宋体" w:cs="宋体"/>
          <w:color w:val="auto"/>
          <w:spacing w:val="-3"/>
          <w:sz w:val="21"/>
          <w:szCs w:val="21"/>
          <w:highlight w:val="none"/>
        </w:rPr>
        <w:t>机器管招投标系统投标工具从投标人主</w:t>
      </w:r>
      <w:r>
        <w:rPr>
          <w:rFonts w:ascii="宋体" w:hAnsi="宋体" w:eastAsia="宋体" w:cs="宋体"/>
          <w:color w:val="auto"/>
          <w:sz w:val="21"/>
          <w:szCs w:val="21"/>
          <w:highlight w:val="none"/>
        </w:rPr>
        <w:t xml:space="preserve"> </w:t>
      </w:r>
      <w:r>
        <w:rPr>
          <w:rFonts w:ascii="宋体" w:hAnsi="宋体" w:eastAsia="宋体" w:cs="宋体"/>
          <w:color w:val="auto"/>
          <w:spacing w:val="-5"/>
          <w:sz w:val="21"/>
          <w:szCs w:val="21"/>
          <w:highlight w:val="none"/>
        </w:rPr>
        <w:t>体库获取的智能评审数据为准，</w:t>
      </w:r>
      <w:r>
        <w:rPr>
          <w:rFonts w:ascii="宋体" w:hAnsi="宋体" w:eastAsia="宋体" w:cs="宋体"/>
          <w:color w:val="auto"/>
          <w:spacing w:val="-45"/>
          <w:sz w:val="21"/>
          <w:szCs w:val="21"/>
          <w:highlight w:val="none"/>
        </w:rPr>
        <w:t xml:space="preserve"> </w:t>
      </w:r>
      <w:r>
        <w:rPr>
          <w:rFonts w:ascii="宋体" w:hAnsi="宋体" w:eastAsia="宋体" w:cs="宋体"/>
          <w:color w:val="auto"/>
          <w:spacing w:val="-5"/>
          <w:sz w:val="21"/>
          <w:szCs w:val="21"/>
          <w:highlight w:val="none"/>
        </w:rPr>
        <w:t>若智能评审数据与投标</w:t>
      </w:r>
      <w:r>
        <w:rPr>
          <w:rFonts w:ascii="宋体" w:hAnsi="宋体" w:eastAsia="宋体" w:cs="宋体"/>
          <w:color w:val="auto"/>
          <w:spacing w:val="-6"/>
          <w:sz w:val="21"/>
          <w:szCs w:val="21"/>
          <w:highlight w:val="none"/>
        </w:rPr>
        <w:t>人所上传相关支撑材料不一致，</w:t>
      </w:r>
      <w:r>
        <w:rPr>
          <w:rFonts w:ascii="宋体" w:hAnsi="宋体" w:eastAsia="宋体" w:cs="宋体"/>
          <w:color w:val="auto"/>
          <w:spacing w:val="-47"/>
          <w:sz w:val="21"/>
          <w:szCs w:val="21"/>
          <w:highlight w:val="none"/>
        </w:rPr>
        <w:t xml:space="preserve"> </w:t>
      </w:r>
      <w:r>
        <w:rPr>
          <w:rFonts w:ascii="宋体" w:hAnsi="宋体" w:eastAsia="宋体" w:cs="宋体"/>
          <w:color w:val="auto"/>
          <w:spacing w:val="-6"/>
          <w:sz w:val="21"/>
          <w:szCs w:val="21"/>
          <w:highlight w:val="none"/>
        </w:rPr>
        <w:t>以机</w:t>
      </w:r>
      <w:r>
        <w:rPr>
          <w:rFonts w:ascii="宋体" w:hAnsi="宋体" w:eastAsia="宋体" w:cs="宋体"/>
          <w:color w:val="auto"/>
          <w:spacing w:val="-1"/>
          <w:sz w:val="21"/>
          <w:szCs w:val="21"/>
          <w:highlight w:val="none"/>
        </w:rPr>
        <w:t>器管招投标系统生成的智能评审数据为准。</w:t>
      </w:r>
    </w:p>
    <w:p w14:paraId="4C840431">
      <w:pPr>
        <w:pStyle w:val="9"/>
        <w:spacing w:line="307" w:lineRule="auto"/>
        <w:rPr>
          <w:color w:val="auto"/>
          <w:highlight w:val="none"/>
        </w:rPr>
      </w:pPr>
    </w:p>
    <w:p w14:paraId="3F554FD3">
      <w:pPr>
        <w:pStyle w:val="9"/>
        <w:spacing w:line="308" w:lineRule="auto"/>
        <w:rPr>
          <w:color w:val="auto"/>
          <w:highlight w:val="none"/>
        </w:rPr>
      </w:pPr>
    </w:p>
    <w:p w14:paraId="53C1B5C5">
      <w:pPr>
        <w:pStyle w:val="9"/>
        <w:spacing w:line="308" w:lineRule="auto"/>
        <w:rPr>
          <w:color w:val="auto"/>
          <w:highlight w:val="none"/>
        </w:rPr>
      </w:pPr>
    </w:p>
    <w:p w14:paraId="739A3E85">
      <w:pPr>
        <w:jc w:val="center"/>
        <w:rPr>
          <w:rFonts w:hint="eastAsia"/>
          <w:color w:val="auto"/>
          <w:highlight w:val="none"/>
        </w:rPr>
      </w:pPr>
      <w:r>
        <w:rPr>
          <w:rFonts w:hint="eastAsia"/>
          <w:color w:val="auto"/>
          <w:highlight w:val="none"/>
          <w:lang w:val="en-US" w:eastAsia="zh-CN"/>
        </w:rPr>
        <w:t xml:space="preserve">                               </w:t>
      </w:r>
      <w:r>
        <w:rPr>
          <w:rFonts w:hint="eastAsia"/>
          <w:color w:val="auto"/>
          <w:highlight w:val="none"/>
        </w:rPr>
        <w:t>投标人：（盖单位章）</w:t>
      </w:r>
    </w:p>
    <w:p w14:paraId="06B1A199">
      <w:pPr>
        <w:spacing w:before="1" w:line="220" w:lineRule="auto"/>
        <w:jc w:val="right"/>
        <w:rPr>
          <w:rFonts w:ascii="宋体" w:hAnsi="宋体" w:eastAsia="宋体" w:cs="宋体"/>
          <w:color w:val="auto"/>
          <w:spacing w:val="-7"/>
          <w:sz w:val="21"/>
          <w:szCs w:val="21"/>
          <w:highlight w:val="none"/>
        </w:rPr>
      </w:pPr>
      <w:r>
        <w:rPr>
          <w:rFonts w:ascii="宋体" w:hAnsi="宋体" w:eastAsia="宋体" w:cs="宋体"/>
          <w:color w:val="auto"/>
          <w:spacing w:val="-7"/>
          <w:sz w:val="21"/>
          <w:szCs w:val="21"/>
          <w:highlight w:val="none"/>
        </w:rPr>
        <w:t>年</w:t>
      </w:r>
      <w:r>
        <w:rPr>
          <w:rFonts w:ascii="宋体" w:hAnsi="宋体" w:eastAsia="宋体" w:cs="宋体"/>
          <w:color w:val="auto"/>
          <w:spacing w:val="7"/>
          <w:sz w:val="21"/>
          <w:szCs w:val="21"/>
          <w:highlight w:val="none"/>
        </w:rPr>
        <w:t xml:space="preserve">  </w:t>
      </w:r>
      <w:r>
        <w:rPr>
          <w:rFonts w:ascii="宋体" w:hAnsi="宋体" w:eastAsia="宋体" w:cs="宋体"/>
          <w:color w:val="auto"/>
          <w:spacing w:val="-7"/>
          <w:sz w:val="21"/>
          <w:szCs w:val="21"/>
          <w:highlight w:val="none"/>
        </w:rPr>
        <w:t>月</w:t>
      </w:r>
      <w:r>
        <w:rPr>
          <w:rFonts w:ascii="宋体" w:hAnsi="宋体" w:eastAsia="宋体" w:cs="宋体"/>
          <w:color w:val="auto"/>
          <w:spacing w:val="21"/>
          <w:sz w:val="21"/>
          <w:szCs w:val="21"/>
          <w:highlight w:val="none"/>
        </w:rPr>
        <w:t xml:space="preserve">  </w:t>
      </w:r>
      <w:r>
        <w:rPr>
          <w:rFonts w:ascii="宋体" w:hAnsi="宋体" w:eastAsia="宋体" w:cs="宋体"/>
          <w:color w:val="auto"/>
          <w:spacing w:val="-7"/>
          <w:sz w:val="21"/>
          <w:szCs w:val="21"/>
          <w:highlight w:val="none"/>
        </w:rPr>
        <w:t>日</w:t>
      </w:r>
    </w:p>
    <w:p w14:paraId="782D4192">
      <w:pPr>
        <w:spacing w:before="0" w:line="240" w:lineRule="auto"/>
        <w:jc w:val="left"/>
        <w:rPr>
          <w:rFonts w:ascii="宋体" w:hAnsi="宋体" w:eastAsia="宋体" w:cs="宋体"/>
          <w:color w:val="auto"/>
          <w:spacing w:val="-7"/>
          <w:sz w:val="21"/>
          <w:szCs w:val="21"/>
          <w:highlight w:val="none"/>
        </w:rPr>
      </w:pPr>
      <w:r>
        <w:rPr>
          <w:rFonts w:ascii="宋体" w:hAnsi="宋体" w:eastAsia="宋体" w:cs="宋体"/>
          <w:color w:val="auto"/>
          <w:spacing w:val="-7"/>
          <w:sz w:val="21"/>
          <w:szCs w:val="21"/>
          <w:highlight w:val="none"/>
        </w:rPr>
        <w:br w:type="page"/>
      </w:r>
    </w:p>
    <w:p w14:paraId="682EB3C4">
      <w:pPr>
        <w:spacing w:before="1" w:line="220" w:lineRule="auto"/>
        <w:jc w:val="right"/>
        <w:rPr>
          <w:rFonts w:ascii="宋体" w:hAnsi="宋体" w:eastAsia="宋体" w:cs="宋体"/>
          <w:color w:val="auto"/>
          <w:spacing w:val="-7"/>
          <w:sz w:val="21"/>
          <w:szCs w:val="21"/>
          <w:highlight w:val="none"/>
        </w:rPr>
      </w:pPr>
    </w:p>
    <w:bookmarkEnd w:id="1150"/>
    <w:p w14:paraId="49114D22">
      <w:pPr>
        <w:numPr>
          <w:ilvl w:val="0"/>
          <w:numId w:val="2"/>
        </w:numPr>
        <w:jc w:val="center"/>
        <w:outlineLvl w:val="2"/>
        <w:rPr>
          <w:rFonts w:hint="eastAsia" w:ascii="黑体" w:hAnsi="黑体" w:eastAsia="黑体"/>
          <w:b/>
          <w:color w:val="auto"/>
          <w:sz w:val="32"/>
          <w:szCs w:val="32"/>
          <w:highlight w:val="none"/>
          <w:lang w:val="en-US" w:eastAsia="zh-CN"/>
        </w:rPr>
      </w:pPr>
      <w:bookmarkStart w:id="1151" w:name="第08章投标文件格式11"/>
      <w:bookmarkEnd w:id="1151"/>
      <w:bookmarkStart w:id="1152" w:name="_Toc4067"/>
      <w:r>
        <w:rPr>
          <w:rFonts w:hint="eastAsia" w:ascii="黑体" w:hAnsi="黑体" w:eastAsia="黑体"/>
          <w:b/>
          <w:color w:val="auto"/>
          <w:sz w:val="32"/>
          <w:szCs w:val="32"/>
          <w:highlight w:val="none"/>
          <w:lang w:val="en-US" w:eastAsia="zh-CN"/>
        </w:rPr>
        <w:t>其它材料</w:t>
      </w:r>
      <w:bookmarkEnd w:id="1152"/>
    </w:p>
    <w:p w14:paraId="184385C2">
      <w:pPr>
        <w:rPr>
          <w:color w:val="auto"/>
          <w:highlight w:val="none"/>
        </w:rPr>
      </w:pPr>
    </w:p>
    <w:p w14:paraId="27569CE4">
      <w:pPr>
        <w:rPr>
          <w:color w:val="auto"/>
          <w:highlight w:val="none"/>
        </w:rPr>
      </w:pPr>
    </w:p>
    <w:sectPr>
      <w:pgSz w:w="11906" w:h="16838"/>
      <w:pgMar w:top="1418" w:right="1361" w:bottom="1418" w:left="1418"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3B124">
    <w:pPr>
      <w:pStyle w:val="1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F20F3E">
                          <w:pPr>
                            <w:pStyle w:val="14"/>
                            <w:jc w:val="cen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FF20F3E">
                    <w:pPr>
                      <w:pStyle w:val="14"/>
                      <w:jc w:val="cente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73A0A">
    <w:pPr>
      <w:pStyle w:val="14"/>
      <w:jc w:val="center"/>
      <w:rPr>
        <w:rFonts w:eastAsia="仿宋_GB2312"/>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F5086A">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iy8kBAACZAwAADgAAAGRycy9lMm9Eb2MueG1srVPNjtMwEL4j8Q6W&#10;79Rpk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I6&#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r6LLyQEAAJkDAAAOAAAAAAAAAAEAIAAAAB4BAABkcnMvZTJvRG9j&#10;LnhtbFBLBQYAAAAABgAGAFkBAABZBQAAAAA=&#10;">
              <v:fill on="f" focussize="0,0"/>
              <v:stroke on="f"/>
              <v:imagedata o:title=""/>
              <o:lock v:ext="edit" aspectratio="f"/>
              <v:textbox inset="0mm,0mm,0mm,0mm" style="mso-fit-shape-to-text:t;">
                <w:txbxContent>
                  <w:p w14:paraId="75F5086A">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6845D">
    <w:pPr>
      <w:pStyle w:val="15"/>
      <w:pBdr>
        <w:bottom w:val="none" w:color="auto" w:sz="0" w:space="1"/>
      </w:pBdr>
      <w:jc w:val="right"/>
      <w:rPr>
        <w:rFonts w:hint="default" w:eastAsia="宋体"/>
        <w:sz w:val="24"/>
        <w:szCs w:val="24"/>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358A34"/>
    <w:multiLevelType w:val="singleLevel"/>
    <w:tmpl w:val="AD358A34"/>
    <w:lvl w:ilvl="0" w:tentative="0">
      <w:start w:val="10"/>
      <w:numFmt w:val="chineseCounting"/>
      <w:suff w:val="nothing"/>
      <w:lvlText w:val="%1、"/>
      <w:lvlJc w:val="left"/>
      <w:rPr>
        <w:rFonts w:hint="eastAsia"/>
      </w:rPr>
    </w:lvl>
  </w:abstractNum>
  <w:abstractNum w:abstractNumId="1">
    <w:nsid w:val="D0D25948"/>
    <w:multiLevelType w:val="singleLevel"/>
    <w:tmpl w:val="D0D2594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wZGQ4Nzc4YjJlN2RlMzQyNDM5ZTFlMTk5YjMxNTMifQ=="/>
  </w:docVars>
  <w:rsids>
    <w:rsidRoot w:val="000D57EE"/>
    <w:rsid w:val="000143FB"/>
    <w:rsid w:val="00014C8B"/>
    <w:rsid w:val="00020790"/>
    <w:rsid w:val="000244D7"/>
    <w:rsid w:val="0002697F"/>
    <w:rsid w:val="00027877"/>
    <w:rsid w:val="00030315"/>
    <w:rsid w:val="00032EC3"/>
    <w:rsid w:val="00035706"/>
    <w:rsid w:val="00036F0D"/>
    <w:rsid w:val="00040951"/>
    <w:rsid w:val="000420C8"/>
    <w:rsid w:val="000513EE"/>
    <w:rsid w:val="000579AC"/>
    <w:rsid w:val="000604A6"/>
    <w:rsid w:val="00060A62"/>
    <w:rsid w:val="000616A2"/>
    <w:rsid w:val="0006472F"/>
    <w:rsid w:val="00064B5A"/>
    <w:rsid w:val="000673D8"/>
    <w:rsid w:val="00070B9C"/>
    <w:rsid w:val="000729B4"/>
    <w:rsid w:val="00073EC7"/>
    <w:rsid w:val="000753F2"/>
    <w:rsid w:val="000804BF"/>
    <w:rsid w:val="000839C3"/>
    <w:rsid w:val="00090E83"/>
    <w:rsid w:val="0009326D"/>
    <w:rsid w:val="00096FEA"/>
    <w:rsid w:val="000A18B0"/>
    <w:rsid w:val="000A6F4F"/>
    <w:rsid w:val="000B2878"/>
    <w:rsid w:val="000B676F"/>
    <w:rsid w:val="000C0351"/>
    <w:rsid w:val="000C1C90"/>
    <w:rsid w:val="000C7193"/>
    <w:rsid w:val="000D155F"/>
    <w:rsid w:val="000D1D74"/>
    <w:rsid w:val="000D57EE"/>
    <w:rsid w:val="000D60ED"/>
    <w:rsid w:val="000E1EEE"/>
    <w:rsid w:val="000E3C18"/>
    <w:rsid w:val="000E5FB4"/>
    <w:rsid w:val="000F030A"/>
    <w:rsid w:val="000F1980"/>
    <w:rsid w:val="000F6FAE"/>
    <w:rsid w:val="00101332"/>
    <w:rsid w:val="0010179B"/>
    <w:rsid w:val="00110F48"/>
    <w:rsid w:val="001119A3"/>
    <w:rsid w:val="00115B0B"/>
    <w:rsid w:val="00132412"/>
    <w:rsid w:val="00132C20"/>
    <w:rsid w:val="00134CD7"/>
    <w:rsid w:val="001354CA"/>
    <w:rsid w:val="001423FD"/>
    <w:rsid w:val="00142E3D"/>
    <w:rsid w:val="001436D0"/>
    <w:rsid w:val="001467EF"/>
    <w:rsid w:val="00146ED1"/>
    <w:rsid w:val="00147AA1"/>
    <w:rsid w:val="001524B1"/>
    <w:rsid w:val="001549BD"/>
    <w:rsid w:val="00154C76"/>
    <w:rsid w:val="00163AC7"/>
    <w:rsid w:val="0016414F"/>
    <w:rsid w:val="00167705"/>
    <w:rsid w:val="00167E6C"/>
    <w:rsid w:val="001701B3"/>
    <w:rsid w:val="00171CA1"/>
    <w:rsid w:val="00173117"/>
    <w:rsid w:val="0017357C"/>
    <w:rsid w:val="00175FC2"/>
    <w:rsid w:val="0018685E"/>
    <w:rsid w:val="00187473"/>
    <w:rsid w:val="0019016A"/>
    <w:rsid w:val="00190AED"/>
    <w:rsid w:val="00192BBD"/>
    <w:rsid w:val="00195538"/>
    <w:rsid w:val="001B17B3"/>
    <w:rsid w:val="001B191F"/>
    <w:rsid w:val="001B39B3"/>
    <w:rsid w:val="001B3D2A"/>
    <w:rsid w:val="001C1332"/>
    <w:rsid w:val="001D0C69"/>
    <w:rsid w:val="001D14C2"/>
    <w:rsid w:val="001E18DE"/>
    <w:rsid w:val="001F02F3"/>
    <w:rsid w:val="001F7B49"/>
    <w:rsid w:val="0020261D"/>
    <w:rsid w:val="00206894"/>
    <w:rsid w:val="00216FAF"/>
    <w:rsid w:val="00217683"/>
    <w:rsid w:val="00217694"/>
    <w:rsid w:val="00217A9B"/>
    <w:rsid w:val="00221835"/>
    <w:rsid w:val="0022566D"/>
    <w:rsid w:val="00227CC3"/>
    <w:rsid w:val="00231C4B"/>
    <w:rsid w:val="00237EBE"/>
    <w:rsid w:val="00243387"/>
    <w:rsid w:val="002435AC"/>
    <w:rsid w:val="00243F71"/>
    <w:rsid w:val="00253142"/>
    <w:rsid w:val="0026293E"/>
    <w:rsid w:val="00263EC0"/>
    <w:rsid w:val="00273896"/>
    <w:rsid w:val="00273E53"/>
    <w:rsid w:val="00276E26"/>
    <w:rsid w:val="002A4944"/>
    <w:rsid w:val="002A578C"/>
    <w:rsid w:val="002A6999"/>
    <w:rsid w:val="002B0B93"/>
    <w:rsid w:val="002B2402"/>
    <w:rsid w:val="002B4203"/>
    <w:rsid w:val="002B4B6C"/>
    <w:rsid w:val="002C70A0"/>
    <w:rsid w:val="002C712F"/>
    <w:rsid w:val="002D36D1"/>
    <w:rsid w:val="002D3F5E"/>
    <w:rsid w:val="002D66FE"/>
    <w:rsid w:val="002D6DCF"/>
    <w:rsid w:val="002E271D"/>
    <w:rsid w:val="002F238B"/>
    <w:rsid w:val="002F28A4"/>
    <w:rsid w:val="002F472B"/>
    <w:rsid w:val="002F5ABE"/>
    <w:rsid w:val="00303120"/>
    <w:rsid w:val="003034FB"/>
    <w:rsid w:val="00311A79"/>
    <w:rsid w:val="00311AC1"/>
    <w:rsid w:val="00312F2D"/>
    <w:rsid w:val="0032386C"/>
    <w:rsid w:val="0032640A"/>
    <w:rsid w:val="00330C8A"/>
    <w:rsid w:val="00330E37"/>
    <w:rsid w:val="00334111"/>
    <w:rsid w:val="0033443D"/>
    <w:rsid w:val="003352D7"/>
    <w:rsid w:val="003452A6"/>
    <w:rsid w:val="003472A0"/>
    <w:rsid w:val="003557A3"/>
    <w:rsid w:val="003609CC"/>
    <w:rsid w:val="00370533"/>
    <w:rsid w:val="00370B72"/>
    <w:rsid w:val="00374479"/>
    <w:rsid w:val="00380880"/>
    <w:rsid w:val="00384E0D"/>
    <w:rsid w:val="003873C7"/>
    <w:rsid w:val="00390909"/>
    <w:rsid w:val="00392823"/>
    <w:rsid w:val="00392D7C"/>
    <w:rsid w:val="00395E0D"/>
    <w:rsid w:val="003A0B1A"/>
    <w:rsid w:val="003A296A"/>
    <w:rsid w:val="003A5DD9"/>
    <w:rsid w:val="003A6803"/>
    <w:rsid w:val="003B4DF6"/>
    <w:rsid w:val="003C0686"/>
    <w:rsid w:val="003C19E1"/>
    <w:rsid w:val="003C1B0E"/>
    <w:rsid w:val="003C3490"/>
    <w:rsid w:val="003C4775"/>
    <w:rsid w:val="003C4A16"/>
    <w:rsid w:val="003D4F30"/>
    <w:rsid w:val="003E2275"/>
    <w:rsid w:val="003E782D"/>
    <w:rsid w:val="003F115A"/>
    <w:rsid w:val="003F29E0"/>
    <w:rsid w:val="003F38C1"/>
    <w:rsid w:val="003F6052"/>
    <w:rsid w:val="004007DB"/>
    <w:rsid w:val="004042F9"/>
    <w:rsid w:val="0040519B"/>
    <w:rsid w:val="00407207"/>
    <w:rsid w:val="004121CA"/>
    <w:rsid w:val="004148C4"/>
    <w:rsid w:val="00415416"/>
    <w:rsid w:val="0041587E"/>
    <w:rsid w:val="00415F6E"/>
    <w:rsid w:val="0042357F"/>
    <w:rsid w:val="00426AA5"/>
    <w:rsid w:val="00432084"/>
    <w:rsid w:val="004326A1"/>
    <w:rsid w:val="00440A75"/>
    <w:rsid w:val="0044506E"/>
    <w:rsid w:val="00445CD5"/>
    <w:rsid w:val="00451DB4"/>
    <w:rsid w:val="00457601"/>
    <w:rsid w:val="004660D1"/>
    <w:rsid w:val="00471E99"/>
    <w:rsid w:val="00471F74"/>
    <w:rsid w:val="004724CF"/>
    <w:rsid w:val="0048051F"/>
    <w:rsid w:val="004821B3"/>
    <w:rsid w:val="0048239C"/>
    <w:rsid w:val="00487E37"/>
    <w:rsid w:val="0049107A"/>
    <w:rsid w:val="00494967"/>
    <w:rsid w:val="00494995"/>
    <w:rsid w:val="00494DB4"/>
    <w:rsid w:val="004B2F53"/>
    <w:rsid w:val="004B3B62"/>
    <w:rsid w:val="004B4343"/>
    <w:rsid w:val="004B4B48"/>
    <w:rsid w:val="004C1D24"/>
    <w:rsid w:val="004C2475"/>
    <w:rsid w:val="004C6D8A"/>
    <w:rsid w:val="004C7030"/>
    <w:rsid w:val="004D0958"/>
    <w:rsid w:val="004D3913"/>
    <w:rsid w:val="004D55BA"/>
    <w:rsid w:val="004D6A41"/>
    <w:rsid w:val="004E1976"/>
    <w:rsid w:val="004E50AF"/>
    <w:rsid w:val="004E563B"/>
    <w:rsid w:val="004E5DA9"/>
    <w:rsid w:val="004E683F"/>
    <w:rsid w:val="00503F61"/>
    <w:rsid w:val="0051218F"/>
    <w:rsid w:val="005147D7"/>
    <w:rsid w:val="00517576"/>
    <w:rsid w:val="00523C67"/>
    <w:rsid w:val="0052596B"/>
    <w:rsid w:val="00533B9E"/>
    <w:rsid w:val="00533C02"/>
    <w:rsid w:val="0054144F"/>
    <w:rsid w:val="005474B3"/>
    <w:rsid w:val="005478B1"/>
    <w:rsid w:val="005508B0"/>
    <w:rsid w:val="005539AE"/>
    <w:rsid w:val="00553D73"/>
    <w:rsid w:val="00554412"/>
    <w:rsid w:val="00560211"/>
    <w:rsid w:val="005648D2"/>
    <w:rsid w:val="00564DE5"/>
    <w:rsid w:val="00571235"/>
    <w:rsid w:val="0057200B"/>
    <w:rsid w:val="00573CD3"/>
    <w:rsid w:val="00573DF0"/>
    <w:rsid w:val="00574069"/>
    <w:rsid w:val="00582600"/>
    <w:rsid w:val="00583781"/>
    <w:rsid w:val="005928F9"/>
    <w:rsid w:val="00595B8E"/>
    <w:rsid w:val="00595CAF"/>
    <w:rsid w:val="00597BC5"/>
    <w:rsid w:val="005A07A2"/>
    <w:rsid w:val="005A2134"/>
    <w:rsid w:val="005A2198"/>
    <w:rsid w:val="005B20E3"/>
    <w:rsid w:val="005C219B"/>
    <w:rsid w:val="005C21AA"/>
    <w:rsid w:val="005C30CF"/>
    <w:rsid w:val="005C3112"/>
    <w:rsid w:val="005C6011"/>
    <w:rsid w:val="005D06F9"/>
    <w:rsid w:val="005D0AD3"/>
    <w:rsid w:val="005D18D9"/>
    <w:rsid w:val="005D2263"/>
    <w:rsid w:val="005D232C"/>
    <w:rsid w:val="005D2CBB"/>
    <w:rsid w:val="005D4A57"/>
    <w:rsid w:val="005E231D"/>
    <w:rsid w:val="005E439B"/>
    <w:rsid w:val="005E463B"/>
    <w:rsid w:val="005E6123"/>
    <w:rsid w:val="005F628F"/>
    <w:rsid w:val="00601C1C"/>
    <w:rsid w:val="0060221F"/>
    <w:rsid w:val="00602DD8"/>
    <w:rsid w:val="00603B24"/>
    <w:rsid w:val="00604DCD"/>
    <w:rsid w:val="00605815"/>
    <w:rsid w:val="00607BEB"/>
    <w:rsid w:val="00623E84"/>
    <w:rsid w:val="00632614"/>
    <w:rsid w:val="00633E0C"/>
    <w:rsid w:val="006406CF"/>
    <w:rsid w:val="00642B61"/>
    <w:rsid w:val="00651FDE"/>
    <w:rsid w:val="006530AB"/>
    <w:rsid w:val="0066223E"/>
    <w:rsid w:val="00663D4A"/>
    <w:rsid w:val="00670AE2"/>
    <w:rsid w:val="006726AE"/>
    <w:rsid w:val="0067433C"/>
    <w:rsid w:val="00685518"/>
    <w:rsid w:val="00690C8C"/>
    <w:rsid w:val="006B4255"/>
    <w:rsid w:val="006B622F"/>
    <w:rsid w:val="006C1DA5"/>
    <w:rsid w:val="006D4B9D"/>
    <w:rsid w:val="006E1017"/>
    <w:rsid w:val="006F218F"/>
    <w:rsid w:val="006F797F"/>
    <w:rsid w:val="00704A4C"/>
    <w:rsid w:val="00706B09"/>
    <w:rsid w:val="00710241"/>
    <w:rsid w:val="00710416"/>
    <w:rsid w:val="007115F9"/>
    <w:rsid w:val="00715B58"/>
    <w:rsid w:val="007179F3"/>
    <w:rsid w:val="007239BD"/>
    <w:rsid w:val="00724982"/>
    <w:rsid w:val="00742197"/>
    <w:rsid w:val="00743A22"/>
    <w:rsid w:val="0075222B"/>
    <w:rsid w:val="0075414C"/>
    <w:rsid w:val="00757430"/>
    <w:rsid w:val="0076388B"/>
    <w:rsid w:val="00766FE7"/>
    <w:rsid w:val="00775FFB"/>
    <w:rsid w:val="00776C7A"/>
    <w:rsid w:val="00786039"/>
    <w:rsid w:val="0078704B"/>
    <w:rsid w:val="0079167C"/>
    <w:rsid w:val="00794214"/>
    <w:rsid w:val="007B40D5"/>
    <w:rsid w:val="007B734D"/>
    <w:rsid w:val="007C0311"/>
    <w:rsid w:val="007D0F15"/>
    <w:rsid w:val="007D7AFF"/>
    <w:rsid w:val="007E411B"/>
    <w:rsid w:val="007E7561"/>
    <w:rsid w:val="007F4178"/>
    <w:rsid w:val="007F554F"/>
    <w:rsid w:val="007F74E4"/>
    <w:rsid w:val="007F76E0"/>
    <w:rsid w:val="008031FE"/>
    <w:rsid w:val="00803C3E"/>
    <w:rsid w:val="008042E6"/>
    <w:rsid w:val="008068EF"/>
    <w:rsid w:val="00812CB4"/>
    <w:rsid w:val="00815B7F"/>
    <w:rsid w:val="00823629"/>
    <w:rsid w:val="00823C76"/>
    <w:rsid w:val="008246B0"/>
    <w:rsid w:val="00830820"/>
    <w:rsid w:val="0083315B"/>
    <w:rsid w:val="008340BD"/>
    <w:rsid w:val="008558F7"/>
    <w:rsid w:val="00863458"/>
    <w:rsid w:val="008824B5"/>
    <w:rsid w:val="00884E58"/>
    <w:rsid w:val="0089331E"/>
    <w:rsid w:val="00896FAC"/>
    <w:rsid w:val="008A35D8"/>
    <w:rsid w:val="008C1153"/>
    <w:rsid w:val="008C5D4A"/>
    <w:rsid w:val="008C6580"/>
    <w:rsid w:val="008D3544"/>
    <w:rsid w:val="008E1719"/>
    <w:rsid w:val="008E2A7F"/>
    <w:rsid w:val="008F4FF2"/>
    <w:rsid w:val="008F55E2"/>
    <w:rsid w:val="00906E30"/>
    <w:rsid w:val="00911689"/>
    <w:rsid w:val="009116B6"/>
    <w:rsid w:val="0093774F"/>
    <w:rsid w:val="00970CDC"/>
    <w:rsid w:val="00971652"/>
    <w:rsid w:val="0097443D"/>
    <w:rsid w:val="00980A07"/>
    <w:rsid w:val="00982FCC"/>
    <w:rsid w:val="0098314B"/>
    <w:rsid w:val="00983444"/>
    <w:rsid w:val="00986F65"/>
    <w:rsid w:val="00987DF9"/>
    <w:rsid w:val="00990E46"/>
    <w:rsid w:val="0099623A"/>
    <w:rsid w:val="009A39AB"/>
    <w:rsid w:val="009A4C7B"/>
    <w:rsid w:val="009A597B"/>
    <w:rsid w:val="009B779E"/>
    <w:rsid w:val="009C1616"/>
    <w:rsid w:val="009C34E5"/>
    <w:rsid w:val="009C629B"/>
    <w:rsid w:val="009C797F"/>
    <w:rsid w:val="009E635E"/>
    <w:rsid w:val="009F0099"/>
    <w:rsid w:val="009F5F12"/>
    <w:rsid w:val="00A00E8B"/>
    <w:rsid w:val="00A014F3"/>
    <w:rsid w:val="00A10F1A"/>
    <w:rsid w:val="00A21015"/>
    <w:rsid w:val="00A234BA"/>
    <w:rsid w:val="00A313D3"/>
    <w:rsid w:val="00A32CA9"/>
    <w:rsid w:val="00A3469F"/>
    <w:rsid w:val="00A42F9F"/>
    <w:rsid w:val="00A4379E"/>
    <w:rsid w:val="00A43BA3"/>
    <w:rsid w:val="00A45CD2"/>
    <w:rsid w:val="00A461FC"/>
    <w:rsid w:val="00A516B9"/>
    <w:rsid w:val="00A5472C"/>
    <w:rsid w:val="00A55544"/>
    <w:rsid w:val="00A61E62"/>
    <w:rsid w:val="00A63B6E"/>
    <w:rsid w:val="00A72C35"/>
    <w:rsid w:val="00A73B95"/>
    <w:rsid w:val="00A74C22"/>
    <w:rsid w:val="00A76587"/>
    <w:rsid w:val="00A77102"/>
    <w:rsid w:val="00A906E2"/>
    <w:rsid w:val="00A92B64"/>
    <w:rsid w:val="00A97CEF"/>
    <w:rsid w:val="00AA6650"/>
    <w:rsid w:val="00AB45DA"/>
    <w:rsid w:val="00AB5769"/>
    <w:rsid w:val="00AB74BB"/>
    <w:rsid w:val="00AC3695"/>
    <w:rsid w:val="00AC44E2"/>
    <w:rsid w:val="00AD4ED7"/>
    <w:rsid w:val="00AD5BD1"/>
    <w:rsid w:val="00AD6A09"/>
    <w:rsid w:val="00AE31D5"/>
    <w:rsid w:val="00AF4BA0"/>
    <w:rsid w:val="00AF5A12"/>
    <w:rsid w:val="00AF7544"/>
    <w:rsid w:val="00B06B7E"/>
    <w:rsid w:val="00B0786D"/>
    <w:rsid w:val="00B107F0"/>
    <w:rsid w:val="00B136B2"/>
    <w:rsid w:val="00B14ED4"/>
    <w:rsid w:val="00B16D96"/>
    <w:rsid w:val="00B22299"/>
    <w:rsid w:val="00B24936"/>
    <w:rsid w:val="00B2754F"/>
    <w:rsid w:val="00B305B2"/>
    <w:rsid w:val="00B346A9"/>
    <w:rsid w:val="00B34A94"/>
    <w:rsid w:val="00B50A7A"/>
    <w:rsid w:val="00B54A7B"/>
    <w:rsid w:val="00B551D8"/>
    <w:rsid w:val="00B61455"/>
    <w:rsid w:val="00B620B6"/>
    <w:rsid w:val="00B70683"/>
    <w:rsid w:val="00B72ACB"/>
    <w:rsid w:val="00B73BEC"/>
    <w:rsid w:val="00B8132C"/>
    <w:rsid w:val="00B82D19"/>
    <w:rsid w:val="00B85335"/>
    <w:rsid w:val="00B905C0"/>
    <w:rsid w:val="00B912F4"/>
    <w:rsid w:val="00B937E9"/>
    <w:rsid w:val="00B9549A"/>
    <w:rsid w:val="00B96394"/>
    <w:rsid w:val="00B97060"/>
    <w:rsid w:val="00BA187E"/>
    <w:rsid w:val="00BA4DD6"/>
    <w:rsid w:val="00BA527A"/>
    <w:rsid w:val="00BB0EF0"/>
    <w:rsid w:val="00BB739A"/>
    <w:rsid w:val="00BC42DA"/>
    <w:rsid w:val="00BC46A3"/>
    <w:rsid w:val="00BC7590"/>
    <w:rsid w:val="00BC76D7"/>
    <w:rsid w:val="00BD0E2B"/>
    <w:rsid w:val="00BD551E"/>
    <w:rsid w:val="00BD5A4F"/>
    <w:rsid w:val="00BD768F"/>
    <w:rsid w:val="00BE5983"/>
    <w:rsid w:val="00BE5CA3"/>
    <w:rsid w:val="00BF0B98"/>
    <w:rsid w:val="00BF0E17"/>
    <w:rsid w:val="00BF1DB9"/>
    <w:rsid w:val="00BF3CFC"/>
    <w:rsid w:val="00BF6025"/>
    <w:rsid w:val="00C01FB2"/>
    <w:rsid w:val="00C03215"/>
    <w:rsid w:val="00C04D5C"/>
    <w:rsid w:val="00C06F81"/>
    <w:rsid w:val="00C20237"/>
    <w:rsid w:val="00C22EB7"/>
    <w:rsid w:val="00C31317"/>
    <w:rsid w:val="00C324A9"/>
    <w:rsid w:val="00C325F3"/>
    <w:rsid w:val="00C346CC"/>
    <w:rsid w:val="00C3514D"/>
    <w:rsid w:val="00C4401A"/>
    <w:rsid w:val="00C46036"/>
    <w:rsid w:val="00C5227D"/>
    <w:rsid w:val="00C5609B"/>
    <w:rsid w:val="00C56E68"/>
    <w:rsid w:val="00C57779"/>
    <w:rsid w:val="00C676EE"/>
    <w:rsid w:val="00C71788"/>
    <w:rsid w:val="00C73D14"/>
    <w:rsid w:val="00C75E36"/>
    <w:rsid w:val="00C80484"/>
    <w:rsid w:val="00C80B7C"/>
    <w:rsid w:val="00C8260B"/>
    <w:rsid w:val="00C859BE"/>
    <w:rsid w:val="00C87504"/>
    <w:rsid w:val="00C90E02"/>
    <w:rsid w:val="00CA11E7"/>
    <w:rsid w:val="00CB1FCE"/>
    <w:rsid w:val="00CB2891"/>
    <w:rsid w:val="00CB5566"/>
    <w:rsid w:val="00CC01C2"/>
    <w:rsid w:val="00CC6806"/>
    <w:rsid w:val="00CC6A56"/>
    <w:rsid w:val="00CD0FE2"/>
    <w:rsid w:val="00CD221A"/>
    <w:rsid w:val="00CD2E25"/>
    <w:rsid w:val="00CD5B6E"/>
    <w:rsid w:val="00CD723F"/>
    <w:rsid w:val="00CD7D46"/>
    <w:rsid w:val="00CE7E79"/>
    <w:rsid w:val="00CF3050"/>
    <w:rsid w:val="00CF4544"/>
    <w:rsid w:val="00CF7611"/>
    <w:rsid w:val="00D0341C"/>
    <w:rsid w:val="00D11CF3"/>
    <w:rsid w:val="00D120BB"/>
    <w:rsid w:val="00D22908"/>
    <w:rsid w:val="00D24EB7"/>
    <w:rsid w:val="00D406AC"/>
    <w:rsid w:val="00D442D3"/>
    <w:rsid w:val="00D47DDB"/>
    <w:rsid w:val="00D505D0"/>
    <w:rsid w:val="00D53B15"/>
    <w:rsid w:val="00D56191"/>
    <w:rsid w:val="00D61839"/>
    <w:rsid w:val="00D624AC"/>
    <w:rsid w:val="00D62505"/>
    <w:rsid w:val="00D6550D"/>
    <w:rsid w:val="00D6747A"/>
    <w:rsid w:val="00D8280A"/>
    <w:rsid w:val="00D91913"/>
    <w:rsid w:val="00D92230"/>
    <w:rsid w:val="00D94246"/>
    <w:rsid w:val="00D952B0"/>
    <w:rsid w:val="00DA0A25"/>
    <w:rsid w:val="00DB08CF"/>
    <w:rsid w:val="00DB2C9F"/>
    <w:rsid w:val="00DB38F2"/>
    <w:rsid w:val="00DC2E96"/>
    <w:rsid w:val="00DC4CA5"/>
    <w:rsid w:val="00DC77C3"/>
    <w:rsid w:val="00DC77F9"/>
    <w:rsid w:val="00DD5617"/>
    <w:rsid w:val="00DD58EF"/>
    <w:rsid w:val="00DE06AA"/>
    <w:rsid w:val="00DF17FD"/>
    <w:rsid w:val="00DF1E35"/>
    <w:rsid w:val="00DF2B56"/>
    <w:rsid w:val="00DF547D"/>
    <w:rsid w:val="00DF6B85"/>
    <w:rsid w:val="00E005AF"/>
    <w:rsid w:val="00E11293"/>
    <w:rsid w:val="00E12732"/>
    <w:rsid w:val="00E12AFC"/>
    <w:rsid w:val="00E15D14"/>
    <w:rsid w:val="00E24178"/>
    <w:rsid w:val="00E27380"/>
    <w:rsid w:val="00E27657"/>
    <w:rsid w:val="00E33953"/>
    <w:rsid w:val="00E3533B"/>
    <w:rsid w:val="00E46D50"/>
    <w:rsid w:val="00E47094"/>
    <w:rsid w:val="00E47382"/>
    <w:rsid w:val="00E47ED5"/>
    <w:rsid w:val="00E517FC"/>
    <w:rsid w:val="00E56DDD"/>
    <w:rsid w:val="00E7183A"/>
    <w:rsid w:val="00E72873"/>
    <w:rsid w:val="00E73D7D"/>
    <w:rsid w:val="00E777BC"/>
    <w:rsid w:val="00E77B63"/>
    <w:rsid w:val="00E808BD"/>
    <w:rsid w:val="00E82E24"/>
    <w:rsid w:val="00E82E48"/>
    <w:rsid w:val="00E838A2"/>
    <w:rsid w:val="00E85779"/>
    <w:rsid w:val="00EA19ED"/>
    <w:rsid w:val="00EA69C6"/>
    <w:rsid w:val="00EB196D"/>
    <w:rsid w:val="00EB2399"/>
    <w:rsid w:val="00EC398C"/>
    <w:rsid w:val="00ED3A21"/>
    <w:rsid w:val="00ED44E9"/>
    <w:rsid w:val="00EE56A8"/>
    <w:rsid w:val="00EF19A7"/>
    <w:rsid w:val="00EF3CCB"/>
    <w:rsid w:val="00EF7189"/>
    <w:rsid w:val="00F00B94"/>
    <w:rsid w:val="00F02F23"/>
    <w:rsid w:val="00F03050"/>
    <w:rsid w:val="00F06B6B"/>
    <w:rsid w:val="00F21B22"/>
    <w:rsid w:val="00F23BE8"/>
    <w:rsid w:val="00F23D80"/>
    <w:rsid w:val="00F272CE"/>
    <w:rsid w:val="00F3058C"/>
    <w:rsid w:val="00F3197F"/>
    <w:rsid w:val="00F455D6"/>
    <w:rsid w:val="00F45F97"/>
    <w:rsid w:val="00F46E96"/>
    <w:rsid w:val="00F5179E"/>
    <w:rsid w:val="00F60827"/>
    <w:rsid w:val="00F60C91"/>
    <w:rsid w:val="00F6107E"/>
    <w:rsid w:val="00F71B52"/>
    <w:rsid w:val="00F762F1"/>
    <w:rsid w:val="00F846EE"/>
    <w:rsid w:val="00F86FC1"/>
    <w:rsid w:val="00F874A6"/>
    <w:rsid w:val="00F91FE0"/>
    <w:rsid w:val="00F92673"/>
    <w:rsid w:val="00F9286A"/>
    <w:rsid w:val="00F93C48"/>
    <w:rsid w:val="00F94D29"/>
    <w:rsid w:val="00F966EF"/>
    <w:rsid w:val="00FC4369"/>
    <w:rsid w:val="00FC582E"/>
    <w:rsid w:val="00FD3B36"/>
    <w:rsid w:val="00FD4C77"/>
    <w:rsid w:val="00FD75C8"/>
    <w:rsid w:val="00FE048E"/>
    <w:rsid w:val="00FF061F"/>
    <w:rsid w:val="00FF4AB1"/>
    <w:rsid w:val="018E7819"/>
    <w:rsid w:val="0306610F"/>
    <w:rsid w:val="07C657CC"/>
    <w:rsid w:val="08DB1235"/>
    <w:rsid w:val="08F24702"/>
    <w:rsid w:val="0D60431A"/>
    <w:rsid w:val="0EC94747"/>
    <w:rsid w:val="13A80AF7"/>
    <w:rsid w:val="14575AE1"/>
    <w:rsid w:val="17BE7EFA"/>
    <w:rsid w:val="17F76F64"/>
    <w:rsid w:val="1D9B7D82"/>
    <w:rsid w:val="1DF236EF"/>
    <w:rsid w:val="1F5A6DDD"/>
    <w:rsid w:val="2173608D"/>
    <w:rsid w:val="23180F0B"/>
    <w:rsid w:val="24AA7AC9"/>
    <w:rsid w:val="24B61272"/>
    <w:rsid w:val="2B256D77"/>
    <w:rsid w:val="2C3E4622"/>
    <w:rsid w:val="2F1E62EC"/>
    <w:rsid w:val="310A0D84"/>
    <w:rsid w:val="347A329D"/>
    <w:rsid w:val="34AB219A"/>
    <w:rsid w:val="3790363E"/>
    <w:rsid w:val="38552F9B"/>
    <w:rsid w:val="39D8471E"/>
    <w:rsid w:val="3B371C9F"/>
    <w:rsid w:val="3B7010B2"/>
    <w:rsid w:val="3BC47B67"/>
    <w:rsid w:val="3C650B3F"/>
    <w:rsid w:val="3E8E6C61"/>
    <w:rsid w:val="3EF64274"/>
    <w:rsid w:val="3F4643D8"/>
    <w:rsid w:val="413F1CD3"/>
    <w:rsid w:val="41D10911"/>
    <w:rsid w:val="42B77625"/>
    <w:rsid w:val="42D07E54"/>
    <w:rsid w:val="460864C3"/>
    <w:rsid w:val="473B1C6D"/>
    <w:rsid w:val="53B1307F"/>
    <w:rsid w:val="55E5631E"/>
    <w:rsid w:val="55F91C06"/>
    <w:rsid w:val="56C95E35"/>
    <w:rsid w:val="579B08C7"/>
    <w:rsid w:val="5BCC2B01"/>
    <w:rsid w:val="5D443390"/>
    <w:rsid w:val="5EBE47B3"/>
    <w:rsid w:val="5F601FDD"/>
    <w:rsid w:val="5F950838"/>
    <w:rsid w:val="5FFB0C50"/>
    <w:rsid w:val="61841BE4"/>
    <w:rsid w:val="63ED3BB9"/>
    <w:rsid w:val="6475097F"/>
    <w:rsid w:val="64AF2AD9"/>
    <w:rsid w:val="66714072"/>
    <w:rsid w:val="66C91A20"/>
    <w:rsid w:val="677E66C4"/>
    <w:rsid w:val="69A44A13"/>
    <w:rsid w:val="6CBF063E"/>
    <w:rsid w:val="6FB3163F"/>
    <w:rsid w:val="743F663C"/>
    <w:rsid w:val="76A716BF"/>
    <w:rsid w:val="77FB562B"/>
    <w:rsid w:val="785D5F3F"/>
    <w:rsid w:val="7C276C11"/>
    <w:rsid w:val="7CEB744C"/>
    <w:rsid w:val="7F3C2BD0"/>
    <w:rsid w:val="BEED64EB"/>
    <w:rsid w:val="F3FE4792"/>
    <w:rsid w:val="FFCBB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nhideWhenUsed="0" w:uiPriority="39"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autoRedefine/>
    <w:qFormat/>
    <w:uiPriority w:val="9"/>
    <w:pPr>
      <w:widowControl/>
      <w:spacing w:before="120" w:after="240"/>
      <w:ind w:right="240"/>
      <w:jc w:val="left"/>
      <w:outlineLvl w:val="0"/>
    </w:pPr>
    <w:rPr>
      <w:rFonts w:ascii="宋体" w:hAnsi="宋体" w:cs="宋体"/>
      <w:b/>
      <w:bCs/>
      <w:kern w:val="36"/>
      <w:sz w:val="14"/>
      <w:szCs w:val="14"/>
    </w:rPr>
  </w:style>
  <w:style w:type="paragraph" w:styleId="3">
    <w:name w:val="heading 2"/>
    <w:basedOn w:val="1"/>
    <w:next w:val="1"/>
    <w:link w:val="30"/>
    <w:autoRedefine/>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autoRedefine/>
    <w:qFormat/>
    <w:uiPriority w:val="0"/>
    <w:pPr>
      <w:keepNext/>
      <w:keepLines/>
      <w:spacing w:before="260" w:after="260" w:line="416" w:lineRule="auto"/>
      <w:outlineLvl w:val="2"/>
    </w:pPr>
    <w:rPr>
      <w:rFonts w:ascii="Times New Roman" w:hAnsi="Times New Roman" w:eastAsia="宋体" w:cs="Times New Roman"/>
      <w:b/>
      <w:bCs/>
      <w:sz w:val="24"/>
      <w:szCs w:val="32"/>
    </w:rPr>
  </w:style>
  <w:style w:type="paragraph" w:styleId="5">
    <w:name w:val="heading 4"/>
    <w:basedOn w:val="1"/>
    <w:next w:val="1"/>
    <w:autoRedefine/>
    <w:qFormat/>
    <w:uiPriority w:val="1"/>
    <w:pPr>
      <w:spacing w:beforeLines="0" w:afterLines="0"/>
      <w:ind w:left="237"/>
      <w:outlineLvl w:val="3"/>
    </w:pPr>
    <w:rPr>
      <w:rFonts w:hint="eastAsia" w:ascii="宋体"/>
      <w:sz w:val="28"/>
      <w:szCs w:val="24"/>
    </w:rPr>
  </w:style>
  <w:style w:type="paragraph" w:styleId="6">
    <w:name w:val="heading 5"/>
    <w:basedOn w:val="1"/>
    <w:next w:val="1"/>
    <w:autoRedefine/>
    <w:qFormat/>
    <w:uiPriority w:val="0"/>
    <w:pPr>
      <w:keepNext/>
      <w:keepLines/>
      <w:tabs>
        <w:tab w:val="left" w:pos="851"/>
      </w:tabs>
      <w:adjustRightInd w:val="0"/>
      <w:spacing w:before="280" w:after="290" w:line="376" w:lineRule="atLeast"/>
      <w:ind w:left="851" w:hanging="851"/>
      <w:jc w:val="left"/>
      <w:textAlignment w:val="baseline"/>
      <w:outlineLvl w:val="4"/>
    </w:pPr>
    <w:rPr>
      <w:rFonts w:ascii="宋体" w:hAnsi="Times New Roman" w:eastAsia="宋体" w:cs="Times New Roman"/>
      <w:b/>
      <w:bCs/>
      <w:kern w:val="0"/>
      <w:sz w:val="28"/>
      <w:szCs w:val="28"/>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next w:val="1"/>
    <w:autoRedefine/>
    <w:qFormat/>
    <w:uiPriority w:val="0"/>
    <w:pPr>
      <w:adjustRightInd w:val="0"/>
      <w:spacing w:line="360" w:lineRule="atLeast"/>
      <w:ind w:firstLine="420" w:firstLineChars="200"/>
      <w:jc w:val="left"/>
      <w:textAlignment w:val="baseline"/>
    </w:pPr>
    <w:rPr>
      <w:rFonts w:ascii="宋体"/>
      <w:sz w:val="24"/>
      <w:szCs w:val="24"/>
    </w:rPr>
  </w:style>
  <w:style w:type="paragraph" w:styleId="8">
    <w:name w:val="annotation text"/>
    <w:basedOn w:val="1"/>
    <w:link w:val="36"/>
    <w:autoRedefine/>
    <w:qFormat/>
    <w:uiPriority w:val="99"/>
    <w:pPr>
      <w:jc w:val="left"/>
    </w:pPr>
  </w:style>
  <w:style w:type="paragraph" w:styleId="9">
    <w:name w:val="Body Text"/>
    <w:basedOn w:val="1"/>
    <w:autoRedefine/>
    <w:unhideWhenUsed/>
    <w:qFormat/>
    <w:uiPriority w:val="1"/>
    <w:pPr>
      <w:spacing w:beforeLines="0" w:afterLines="0"/>
      <w:ind w:left="100"/>
    </w:pPr>
    <w:rPr>
      <w:rFonts w:hint="eastAsia" w:ascii="宋体"/>
      <w:sz w:val="21"/>
      <w:szCs w:val="24"/>
    </w:rPr>
  </w:style>
  <w:style w:type="paragraph" w:styleId="10">
    <w:name w:val="toc 5"/>
    <w:basedOn w:val="1"/>
    <w:next w:val="1"/>
    <w:autoRedefine/>
    <w:qFormat/>
    <w:uiPriority w:val="39"/>
    <w:pPr>
      <w:ind w:left="1680" w:leftChars="800"/>
    </w:pPr>
    <w:rPr>
      <w:rFonts w:ascii="Times New Roman" w:hAnsi="Times New Roman" w:eastAsia="宋体" w:cs="Times New Roman"/>
    </w:rPr>
  </w:style>
  <w:style w:type="paragraph" w:styleId="11">
    <w:name w:val="toc 3"/>
    <w:basedOn w:val="1"/>
    <w:next w:val="1"/>
    <w:autoRedefine/>
    <w:qFormat/>
    <w:uiPriority w:val="39"/>
    <w:pPr>
      <w:ind w:left="840" w:leftChars="400"/>
    </w:pPr>
    <w:rPr>
      <w:rFonts w:ascii="Times New Roman" w:hAnsi="Times New Roman" w:eastAsia="宋体" w:cs="Times New Roman"/>
    </w:rPr>
  </w:style>
  <w:style w:type="paragraph" w:styleId="12">
    <w:name w:val="Plain Text"/>
    <w:basedOn w:val="1"/>
    <w:autoRedefine/>
    <w:qFormat/>
    <w:uiPriority w:val="0"/>
    <w:pPr>
      <w:adjustRightInd w:val="0"/>
      <w:spacing w:line="360" w:lineRule="atLeast"/>
      <w:jc w:val="left"/>
      <w:textAlignment w:val="baseline"/>
    </w:pPr>
    <w:rPr>
      <w:rFonts w:ascii="宋体" w:hAnsi="Courier New"/>
    </w:rPr>
  </w:style>
  <w:style w:type="paragraph" w:styleId="13">
    <w:name w:val="Balloon Text"/>
    <w:basedOn w:val="1"/>
    <w:link w:val="38"/>
    <w:autoRedefine/>
    <w:qFormat/>
    <w:uiPriority w:val="0"/>
    <w:rPr>
      <w:sz w:val="18"/>
      <w:szCs w:val="18"/>
    </w:rPr>
  </w:style>
  <w:style w:type="paragraph" w:styleId="14">
    <w:name w:val="footer"/>
    <w:basedOn w:val="1"/>
    <w:autoRedefine/>
    <w:qFormat/>
    <w:uiPriority w:val="0"/>
    <w:pPr>
      <w:tabs>
        <w:tab w:val="center" w:pos="4153"/>
        <w:tab w:val="right" w:pos="8306"/>
      </w:tabs>
      <w:snapToGrid w:val="0"/>
      <w:jc w:val="left"/>
    </w:pPr>
    <w:rPr>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0"/>
  </w:style>
  <w:style w:type="paragraph" w:styleId="17">
    <w:name w:val="toc 4"/>
    <w:basedOn w:val="1"/>
    <w:next w:val="1"/>
    <w:autoRedefine/>
    <w:qFormat/>
    <w:uiPriority w:val="39"/>
    <w:pPr>
      <w:ind w:left="1260" w:leftChars="600"/>
    </w:pPr>
    <w:rPr>
      <w:rFonts w:ascii="Times New Roman" w:hAnsi="Times New Roman" w:eastAsia="宋体" w:cs="Times New Roman"/>
    </w:rPr>
  </w:style>
  <w:style w:type="paragraph" w:styleId="18">
    <w:name w:val="toc 2"/>
    <w:basedOn w:val="1"/>
    <w:next w:val="1"/>
    <w:autoRedefine/>
    <w:qFormat/>
    <w:uiPriority w:val="0"/>
    <w:pPr>
      <w:ind w:left="420" w:leftChars="200"/>
    </w:pPr>
  </w:style>
  <w:style w:type="paragraph" w:styleId="19">
    <w:name w:val="HTML Preformatted"/>
    <w:basedOn w:val="1"/>
    <w:link w:val="33"/>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0" w:lineRule="atLeast"/>
      <w:jc w:val="left"/>
    </w:pPr>
    <w:rPr>
      <w:rFonts w:ascii="Arial" w:hAnsi="Arial" w:cs="Arial"/>
      <w:kern w:val="0"/>
      <w:sz w:val="11"/>
      <w:szCs w:val="11"/>
    </w:rPr>
  </w:style>
  <w:style w:type="paragraph" w:styleId="20">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21">
    <w:name w:val="annotation subject"/>
    <w:basedOn w:val="8"/>
    <w:next w:val="8"/>
    <w:link w:val="37"/>
    <w:autoRedefine/>
    <w:qFormat/>
    <w:uiPriority w:val="0"/>
    <w:rPr>
      <w:b/>
      <w:bCs/>
    </w:rPr>
  </w:style>
  <w:style w:type="table" w:styleId="23">
    <w:name w:val="Table Grid"/>
    <w:basedOn w:val="22"/>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5">
    <w:name w:val="Strong"/>
    <w:autoRedefine/>
    <w:qFormat/>
    <w:uiPriority w:val="22"/>
    <w:rPr>
      <w:b/>
      <w:bCs/>
    </w:rPr>
  </w:style>
  <w:style w:type="character" w:styleId="26">
    <w:name w:val="FollowedHyperlink"/>
    <w:autoRedefine/>
    <w:qFormat/>
    <w:uiPriority w:val="0"/>
    <w:rPr>
      <w:color w:val="800080"/>
      <w:u w:val="single"/>
    </w:rPr>
  </w:style>
  <w:style w:type="character" w:styleId="27">
    <w:name w:val="Hyperlink"/>
    <w:basedOn w:val="24"/>
    <w:autoRedefine/>
    <w:unhideWhenUsed/>
    <w:qFormat/>
    <w:uiPriority w:val="99"/>
    <w:rPr>
      <w:color w:val="0000FF"/>
      <w:u w:val="single"/>
    </w:rPr>
  </w:style>
  <w:style w:type="character" w:styleId="28">
    <w:name w:val="annotation reference"/>
    <w:autoRedefine/>
    <w:qFormat/>
    <w:uiPriority w:val="99"/>
    <w:rPr>
      <w:sz w:val="21"/>
      <w:szCs w:val="21"/>
    </w:rPr>
  </w:style>
  <w:style w:type="paragraph" w:customStyle="1" w:styleId="29">
    <w:name w:val="正文2"/>
    <w:basedOn w:val="1"/>
    <w:qFormat/>
    <w:uiPriority w:val="0"/>
    <w:pPr>
      <w:spacing w:line="480" w:lineRule="exact"/>
    </w:pPr>
    <w:rPr>
      <w:rFonts w:eastAsia="仿宋"/>
      <w:color w:val="000000"/>
    </w:rPr>
  </w:style>
  <w:style w:type="character" w:customStyle="1" w:styleId="30">
    <w:name w:val="标题 2 字符"/>
    <w:link w:val="3"/>
    <w:autoRedefine/>
    <w:semiHidden/>
    <w:qFormat/>
    <w:uiPriority w:val="0"/>
    <w:rPr>
      <w:rFonts w:ascii="Cambria" w:hAnsi="Cambria" w:eastAsia="宋体" w:cs="Times New Roman"/>
      <w:b/>
      <w:bCs/>
      <w:kern w:val="2"/>
      <w:sz w:val="32"/>
      <w:szCs w:val="32"/>
    </w:rPr>
  </w:style>
  <w:style w:type="character" w:customStyle="1" w:styleId="31">
    <w:name w:val="标题 1 字符"/>
    <w:link w:val="2"/>
    <w:autoRedefine/>
    <w:qFormat/>
    <w:uiPriority w:val="9"/>
    <w:rPr>
      <w:rFonts w:ascii="宋体" w:hAnsi="宋体" w:cs="宋体"/>
      <w:b/>
      <w:bCs/>
      <w:kern w:val="36"/>
      <w:sz w:val="14"/>
      <w:szCs w:val="14"/>
    </w:rPr>
  </w:style>
  <w:style w:type="character" w:customStyle="1" w:styleId="32">
    <w:name w:val="p21"/>
    <w:autoRedefine/>
    <w:qFormat/>
    <w:uiPriority w:val="0"/>
    <w:rPr>
      <w:sz w:val="9"/>
      <w:szCs w:val="9"/>
    </w:rPr>
  </w:style>
  <w:style w:type="character" w:customStyle="1" w:styleId="33">
    <w:name w:val="HTML 预设格式 字符"/>
    <w:link w:val="19"/>
    <w:autoRedefine/>
    <w:qFormat/>
    <w:uiPriority w:val="99"/>
    <w:rPr>
      <w:rFonts w:ascii="Arial" w:hAnsi="Arial" w:cs="Arial"/>
      <w:sz w:val="11"/>
      <w:szCs w:val="11"/>
    </w:rPr>
  </w:style>
  <w:style w:type="paragraph" w:customStyle="1" w:styleId="34">
    <w:name w:val="contentartic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5">
    <w:name w:val="t_black_12_b"/>
    <w:basedOn w:val="1"/>
    <w:autoRedefine/>
    <w:qFormat/>
    <w:uiPriority w:val="0"/>
    <w:pPr>
      <w:widowControl/>
      <w:jc w:val="left"/>
    </w:pPr>
    <w:rPr>
      <w:rFonts w:ascii="宋体" w:hAnsi="宋体" w:cs="宋体"/>
      <w:b/>
      <w:bCs/>
      <w:color w:val="212121"/>
      <w:kern w:val="0"/>
      <w:sz w:val="9"/>
      <w:szCs w:val="9"/>
    </w:rPr>
  </w:style>
  <w:style w:type="character" w:customStyle="1" w:styleId="36">
    <w:name w:val="批注文字 字符"/>
    <w:link w:val="8"/>
    <w:autoRedefine/>
    <w:qFormat/>
    <w:uiPriority w:val="99"/>
    <w:rPr>
      <w:kern w:val="2"/>
      <w:sz w:val="21"/>
      <w:szCs w:val="24"/>
    </w:rPr>
  </w:style>
  <w:style w:type="character" w:customStyle="1" w:styleId="37">
    <w:name w:val="批注主题 字符"/>
    <w:link w:val="21"/>
    <w:autoRedefine/>
    <w:qFormat/>
    <w:uiPriority w:val="0"/>
    <w:rPr>
      <w:b/>
      <w:bCs/>
      <w:kern w:val="2"/>
      <w:sz w:val="21"/>
      <w:szCs w:val="24"/>
    </w:rPr>
  </w:style>
  <w:style w:type="character" w:customStyle="1" w:styleId="38">
    <w:name w:val="批注框文本 字符"/>
    <w:link w:val="13"/>
    <w:autoRedefine/>
    <w:qFormat/>
    <w:uiPriority w:val="0"/>
    <w:rPr>
      <w:kern w:val="2"/>
      <w:sz w:val="18"/>
      <w:szCs w:val="18"/>
    </w:rPr>
  </w:style>
  <w:style w:type="paragraph" w:customStyle="1" w:styleId="39">
    <w:name w:val="WPSOffice手动目录 1"/>
    <w:autoRedefine/>
    <w:qFormat/>
    <w:uiPriority w:val="0"/>
    <w:pPr>
      <w:ind w:leftChars="0"/>
    </w:pPr>
    <w:rPr>
      <w:rFonts w:ascii="Times New Roman" w:hAnsi="Times New Roman" w:eastAsia="宋体" w:cs="Times New Roman"/>
      <w:sz w:val="20"/>
      <w:szCs w:val="20"/>
    </w:rPr>
  </w:style>
  <w:style w:type="paragraph" w:customStyle="1" w:styleId="40">
    <w:name w:val="WPSOffice手动目录 2"/>
    <w:autoRedefine/>
    <w:qFormat/>
    <w:uiPriority w:val="0"/>
    <w:pPr>
      <w:ind w:leftChars="200"/>
    </w:pPr>
    <w:rPr>
      <w:rFonts w:ascii="Times New Roman" w:hAnsi="Times New Roman" w:eastAsia="宋体" w:cs="Times New Roman"/>
      <w:sz w:val="20"/>
      <w:szCs w:val="20"/>
    </w:rPr>
  </w:style>
  <w:style w:type="paragraph" w:customStyle="1" w:styleId="41">
    <w:name w:val="WPSOffice手动目录 3"/>
    <w:autoRedefine/>
    <w:qFormat/>
    <w:uiPriority w:val="0"/>
    <w:pPr>
      <w:ind w:leftChars="400"/>
    </w:pPr>
    <w:rPr>
      <w:rFonts w:ascii="Times New Roman" w:hAnsi="Times New Roman" w:eastAsia="宋体" w:cs="Times New Roman"/>
      <w:sz w:val="20"/>
      <w:szCs w:val="20"/>
    </w:rPr>
  </w:style>
  <w:style w:type="paragraph" w:customStyle="1" w:styleId="42">
    <w:name w:val="TOC 标题1"/>
    <w:basedOn w:val="2"/>
    <w:next w:val="1"/>
    <w:autoRedefine/>
    <w:qFormat/>
    <w:uiPriority w:val="0"/>
    <w:pPr>
      <w:jc w:val="both"/>
      <w:outlineLvl w:val="9"/>
    </w:pPr>
  </w:style>
  <w:style w:type="paragraph" w:customStyle="1" w:styleId="43">
    <w:name w:val="列出段落2"/>
    <w:basedOn w:val="1"/>
    <w:autoRedefine/>
    <w:qFormat/>
    <w:uiPriority w:val="34"/>
    <w:pPr>
      <w:ind w:firstLine="420" w:firstLineChars="200"/>
    </w:pPr>
    <w:rPr>
      <w:rFonts w:ascii="Times New Roman" w:hAnsi="Times New Roman" w:eastAsia="宋体" w:cs="Times New Roman"/>
    </w:rPr>
  </w:style>
  <w:style w:type="paragraph" w:customStyle="1" w:styleId="44">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45">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46">
    <w:name w:val="Table Paragraph"/>
    <w:basedOn w:val="1"/>
    <w:unhideWhenUsed/>
    <w:qFormat/>
    <w:uiPriority w:val="1"/>
  </w:style>
  <w:style w:type="paragraph" w:customStyle="1" w:styleId="47">
    <w:name w:val="Table Text"/>
    <w:basedOn w:val="1"/>
    <w:autoRedefine/>
    <w:semiHidden/>
    <w:qFormat/>
    <w:uiPriority w:val="0"/>
    <w:rPr>
      <w:rFonts w:ascii="宋体" w:hAnsi="宋体" w:eastAsia="宋体" w:cs="宋体"/>
      <w:sz w:val="18"/>
      <w:szCs w:val="18"/>
      <w:lang w:val="en-US" w:eastAsia="en-US" w:bidi="ar-SA"/>
    </w:rPr>
  </w:style>
  <w:style w:type="table" w:customStyle="1" w:styleId="4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pb</Company>
  <Pages>97</Pages>
  <Words>5882</Words>
  <Characters>6487</Characters>
  <Lines>452</Lines>
  <Paragraphs>127</Paragraphs>
  <TotalTime>2</TotalTime>
  <ScaleCrop>false</ScaleCrop>
  <LinksUpToDate>false</LinksUpToDate>
  <CharactersWithSpaces>7254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2022-11-04T21:04:00Z</dcterms:created>
  <dc:creator>pb</dc:creator>
  <cp:lastModifiedBy>wtinger</cp:lastModifiedBy>
  <cp:lastPrinted>2010-08-04T10:59:00Z</cp:lastPrinted>
  <dcterms:modified xsi:type="dcterms:W3CDTF">2025-06-29T12:49:40Z</dcterms:modified>
  <dc:title>标题</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2507A6C5766A49BB90E0E21D319A1AEE_13</vt:lpwstr>
  </property>
  <property fmtid="{D5CDD505-2E9C-101B-9397-08002B2CF9AE}" pid="4" name="KSOTemplateDocerSaveRecord">
    <vt:lpwstr>eyJoZGlkIjoiNjFiYWNjZmE3MDE4Mjc1MDIzMWZmMGE3MjM4MDM3MTUiLCJ1c2VySWQiOiI1ODY2ODc0MTcifQ==</vt:lpwstr>
  </property>
</Properties>
</file>