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EF" w:rsidRDefault="002213EF" w:rsidP="002213EF">
      <w:pPr>
        <w:rPr>
          <w:rFonts w:ascii="黑体" w:eastAsia="黑体" w:hAnsi="黑体" w:cs="黑体" w:hint="eastAsia"/>
          <w:sz w:val="32"/>
          <w:szCs w:val="32"/>
        </w:rPr>
      </w:pPr>
      <w:r>
        <w:rPr>
          <w:rFonts w:ascii="黑体" w:eastAsia="黑体" w:hAnsi="黑体" w:cs="黑体" w:hint="eastAsia"/>
          <w:sz w:val="32"/>
          <w:szCs w:val="32"/>
        </w:rPr>
        <w:t>附件1</w:t>
      </w:r>
    </w:p>
    <w:p w:rsidR="002213EF" w:rsidRDefault="002213EF" w:rsidP="002213EF">
      <w:pPr>
        <w:pStyle w:val="a4"/>
        <w:widowControl/>
        <w:spacing w:beforeAutospacing="0" w:afterAutospacing="0" w:line="560" w:lineRule="exact"/>
        <w:ind w:firstLineChars="200" w:firstLine="72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color w:val="333333"/>
          <w:kern w:val="2"/>
          <w:sz w:val="36"/>
          <w:szCs w:val="36"/>
          <w:shd w:val="clear" w:color="auto" w:fill="FFFFFF"/>
          <w:lang w:bidi="ar-SA"/>
        </w:rPr>
        <w:t>农兽药残留限量标准宣贯落实情况调度表(季报)</w:t>
      </w:r>
    </w:p>
    <w:p w:rsidR="002213EF" w:rsidRDefault="002213EF" w:rsidP="002213EF"/>
    <w:p w:rsidR="002213EF" w:rsidRDefault="002213EF" w:rsidP="002213EF">
      <w:pPr>
        <w:rPr>
          <w:rFonts w:ascii="仿宋" w:eastAsia="仿宋" w:hAnsi="仿宋" w:cs="仿宋" w:hint="eastAsia"/>
          <w:sz w:val="28"/>
          <w:szCs w:val="28"/>
        </w:rPr>
      </w:pPr>
      <w:r>
        <w:rPr>
          <w:rFonts w:ascii="仿宋" w:eastAsia="仿宋" w:hAnsi="仿宋" w:cs="仿宋" w:hint="eastAsia"/>
          <w:sz w:val="28"/>
          <w:szCs w:val="28"/>
        </w:rPr>
        <w:t>填报单位：                                                       填报时间：2022年   月    日</w:t>
      </w:r>
    </w:p>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465"/>
        <w:gridCol w:w="2355"/>
        <w:gridCol w:w="3165"/>
        <w:gridCol w:w="2312"/>
        <w:gridCol w:w="2398"/>
      </w:tblGrid>
      <w:tr w:rsidR="002213EF" w:rsidTr="00176793">
        <w:trPr>
          <w:trHeight w:val="1148"/>
        </w:trPr>
        <w:tc>
          <w:tcPr>
            <w:tcW w:w="685" w:type="dxa"/>
          </w:tcPr>
          <w:p w:rsidR="002213EF" w:rsidRDefault="002213EF" w:rsidP="00176793">
            <w:pPr>
              <w:jc w:val="center"/>
              <w:rPr>
                <w:rFonts w:ascii="宋体" w:hAnsi="宋体" w:cs="宋体" w:hint="eastAsia"/>
                <w:sz w:val="28"/>
                <w:szCs w:val="28"/>
              </w:rPr>
            </w:pPr>
            <w:r>
              <w:rPr>
                <w:rFonts w:ascii="宋体" w:hAnsi="宋体" w:cs="宋体" w:hint="eastAsia"/>
                <w:sz w:val="28"/>
                <w:szCs w:val="28"/>
              </w:rPr>
              <w:t>序号</w:t>
            </w:r>
          </w:p>
        </w:tc>
        <w:tc>
          <w:tcPr>
            <w:tcW w:w="3465" w:type="dxa"/>
            <w:vAlign w:val="center"/>
          </w:tcPr>
          <w:p w:rsidR="002213EF" w:rsidRDefault="002213EF" w:rsidP="00176793">
            <w:pPr>
              <w:jc w:val="center"/>
              <w:rPr>
                <w:rFonts w:ascii="宋体" w:hAnsi="宋体" w:cs="宋体" w:hint="eastAsia"/>
                <w:sz w:val="28"/>
                <w:szCs w:val="28"/>
              </w:rPr>
            </w:pPr>
            <w:r>
              <w:rPr>
                <w:rFonts w:ascii="宋体" w:hAnsi="宋体" w:cs="宋体" w:hint="eastAsia"/>
                <w:sz w:val="28"/>
                <w:szCs w:val="28"/>
              </w:rPr>
              <w:t>贯标活动名称</w:t>
            </w:r>
          </w:p>
        </w:tc>
        <w:tc>
          <w:tcPr>
            <w:tcW w:w="2355" w:type="dxa"/>
            <w:vAlign w:val="center"/>
          </w:tcPr>
          <w:p w:rsidR="002213EF" w:rsidRDefault="002213EF" w:rsidP="00176793">
            <w:pPr>
              <w:jc w:val="center"/>
              <w:rPr>
                <w:rFonts w:ascii="宋体" w:hAnsi="宋体" w:cs="宋体" w:hint="eastAsia"/>
                <w:sz w:val="28"/>
                <w:szCs w:val="28"/>
              </w:rPr>
            </w:pPr>
            <w:r>
              <w:rPr>
                <w:rFonts w:ascii="宋体" w:hAnsi="宋体" w:cs="宋体" w:hint="eastAsia"/>
                <w:sz w:val="28"/>
                <w:szCs w:val="28"/>
              </w:rPr>
              <w:t>贯标单位名称</w:t>
            </w:r>
          </w:p>
        </w:tc>
        <w:tc>
          <w:tcPr>
            <w:tcW w:w="3165" w:type="dxa"/>
            <w:vAlign w:val="center"/>
          </w:tcPr>
          <w:p w:rsidR="002213EF" w:rsidRDefault="002213EF" w:rsidP="00176793">
            <w:pPr>
              <w:jc w:val="center"/>
              <w:rPr>
                <w:rFonts w:ascii="宋体" w:hAnsi="宋体" w:cs="宋体" w:hint="eastAsia"/>
                <w:sz w:val="28"/>
                <w:szCs w:val="28"/>
              </w:rPr>
            </w:pPr>
            <w:r>
              <w:rPr>
                <w:rFonts w:ascii="宋体" w:hAnsi="宋体" w:cs="宋体" w:hint="eastAsia"/>
                <w:sz w:val="28"/>
                <w:szCs w:val="28"/>
              </w:rPr>
              <w:t>贯标内容</w:t>
            </w:r>
          </w:p>
        </w:tc>
        <w:tc>
          <w:tcPr>
            <w:tcW w:w="2312" w:type="dxa"/>
            <w:vAlign w:val="center"/>
          </w:tcPr>
          <w:p w:rsidR="002213EF" w:rsidRDefault="002213EF" w:rsidP="00176793">
            <w:pPr>
              <w:jc w:val="center"/>
              <w:rPr>
                <w:rFonts w:ascii="宋体" w:hAnsi="宋体" w:cs="宋体" w:hint="eastAsia"/>
                <w:sz w:val="28"/>
                <w:szCs w:val="28"/>
              </w:rPr>
            </w:pPr>
            <w:r>
              <w:rPr>
                <w:rFonts w:ascii="宋体" w:hAnsi="宋体" w:cs="宋体" w:hint="eastAsia"/>
                <w:sz w:val="28"/>
                <w:szCs w:val="28"/>
              </w:rPr>
              <w:t>贯标对象及人数</w:t>
            </w:r>
          </w:p>
        </w:tc>
        <w:tc>
          <w:tcPr>
            <w:tcW w:w="2398" w:type="dxa"/>
            <w:vAlign w:val="center"/>
          </w:tcPr>
          <w:p w:rsidR="002213EF" w:rsidRDefault="002213EF" w:rsidP="00176793">
            <w:pPr>
              <w:jc w:val="center"/>
              <w:rPr>
                <w:rFonts w:ascii="宋体" w:hAnsi="宋体" w:cs="宋体" w:hint="eastAsia"/>
                <w:sz w:val="28"/>
                <w:szCs w:val="28"/>
              </w:rPr>
            </w:pPr>
            <w:r>
              <w:rPr>
                <w:rFonts w:ascii="宋体" w:hAnsi="宋体" w:cs="宋体" w:hint="eastAsia"/>
                <w:sz w:val="28"/>
                <w:szCs w:val="28"/>
              </w:rPr>
              <w:t>备注</w:t>
            </w:r>
          </w:p>
          <w:p w:rsidR="002213EF" w:rsidRDefault="002213EF" w:rsidP="00176793">
            <w:pPr>
              <w:jc w:val="center"/>
              <w:rPr>
                <w:rFonts w:ascii="宋体" w:hAnsi="宋体" w:cs="宋体" w:hint="eastAsia"/>
                <w:sz w:val="28"/>
                <w:szCs w:val="28"/>
              </w:rPr>
            </w:pPr>
            <w:r>
              <w:rPr>
                <w:rFonts w:ascii="宋体" w:hAnsi="宋体" w:cs="宋体" w:hint="eastAsia"/>
                <w:sz w:val="28"/>
                <w:szCs w:val="28"/>
              </w:rPr>
              <w:t>(存在、建议)</w:t>
            </w:r>
          </w:p>
        </w:tc>
      </w:tr>
      <w:tr w:rsidR="002213EF" w:rsidTr="00176793">
        <w:trPr>
          <w:trHeight w:val="1732"/>
        </w:trPr>
        <w:tc>
          <w:tcPr>
            <w:tcW w:w="685" w:type="dxa"/>
          </w:tcPr>
          <w:p w:rsidR="002213EF" w:rsidRDefault="002213EF" w:rsidP="00176793">
            <w:pPr>
              <w:jc w:val="center"/>
              <w:rPr>
                <w:rFonts w:ascii="宋体" w:hAnsi="宋体" w:cs="宋体" w:hint="eastAsia"/>
                <w:sz w:val="28"/>
                <w:szCs w:val="28"/>
              </w:rPr>
            </w:pPr>
          </w:p>
        </w:tc>
        <w:tc>
          <w:tcPr>
            <w:tcW w:w="3465" w:type="dxa"/>
          </w:tcPr>
          <w:p w:rsidR="002213EF" w:rsidRDefault="002213EF" w:rsidP="00176793">
            <w:pPr>
              <w:jc w:val="center"/>
              <w:rPr>
                <w:rFonts w:ascii="宋体" w:hAnsi="宋体" w:cs="宋体" w:hint="eastAsia"/>
                <w:sz w:val="28"/>
                <w:szCs w:val="28"/>
              </w:rPr>
            </w:pPr>
          </w:p>
        </w:tc>
        <w:tc>
          <w:tcPr>
            <w:tcW w:w="2355" w:type="dxa"/>
          </w:tcPr>
          <w:p w:rsidR="002213EF" w:rsidRDefault="002213EF" w:rsidP="00176793">
            <w:pPr>
              <w:jc w:val="center"/>
              <w:rPr>
                <w:rFonts w:ascii="宋体" w:hAnsi="宋体" w:cs="宋体" w:hint="eastAsia"/>
                <w:sz w:val="28"/>
                <w:szCs w:val="28"/>
              </w:rPr>
            </w:pPr>
          </w:p>
        </w:tc>
        <w:tc>
          <w:tcPr>
            <w:tcW w:w="3165" w:type="dxa"/>
          </w:tcPr>
          <w:p w:rsidR="002213EF" w:rsidRDefault="002213EF" w:rsidP="00176793">
            <w:pPr>
              <w:jc w:val="center"/>
              <w:rPr>
                <w:rFonts w:ascii="宋体" w:hAnsi="宋体" w:cs="宋体" w:hint="eastAsia"/>
                <w:sz w:val="28"/>
                <w:szCs w:val="28"/>
              </w:rPr>
            </w:pPr>
          </w:p>
        </w:tc>
        <w:tc>
          <w:tcPr>
            <w:tcW w:w="2312" w:type="dxa"/>
          </w:tcPr>
          <w:p w:rsidR="002213EF" w:rsidRDefault="002213EF" w:rsidP="00176793">
            <w:pPr>
              <w:jc w:val="center"/>
              <w:rPr>
                <w:rFonts w:ascii="宋体" w:hAnsi="宋体" w:cs="宋体" w:hint="eastAsia"/>
                <w:sz w:val="28"/>
                <w:szCs w:val="28"/>
              </w:rPr>
            </w:pPr>
          </w:p>
        </w:tc>
        <w:tc>
          <w:tcPr>
            <w:tcW w:w="2398" w:type="dxa"/>
          </w:tcPr>
          <w:p w:rsidR="002213EF" w:rsidRDefault="002213EF" w:rsidP="00176793">
            <w:pPr>
              <w:jc w:val="center"/>
              <w:rPr>
                <w:rFonts w:ascii="宋体" w:hAnsi="宋体" w:cs="宋体" w:hint="eastAsia"/>
                <w:sz w:val="28"/>
                <w:szCs w:val="28"/>
              </w:rPr>
            </w:pPr>
          </w:p>
        </w:tc>
      </w:tr>
      <w:tr w:rsidR="002213EF" w:rsidTr="00176793">
        <w:trPr>
          <w:trHeight w:val="2132"/>
        </w:trPr>
        <w:tc>
          <w:tcPr>
            <w:tcW w:w="685" w:type="dxa"/>
          </w:tcPr>
          <w:p w:rsidR="002213EF" w:rsidRDefault="002213EF" w:rsidP="00176793">
            <w:pPr>
              <w:jc w:val="center"/>
              <w:rPr>
                <w:rFonts w:ascii="宋体" w:hAnsi="宋体" w:cs="宋体" w:hint="eastAsia"/>
                <w:sz w:val="28"/>
                <w:szCs w:val="28"/>
              </w:rPr>
            </w:pPr>
          </w:p>
        </w:tc>
        <w:tc>
          <w:tcPr>
            <w:tcW w:w="3465" w:type="dxa"/>
          </w:tcPr>
          <w:p w:rsidR="002213EF" w:rsidRDefault="002213EF" w:rsidP="00176793">
            <w:pPr>
              <w:jc w:val="center"/>
              <w:rPr>
                <w:rFonts w:ascii="宋体" w:hAnsi="宋体" w:cs="宋体" w:hint="eastAsia"/>
                <w:sz w:val="28"/>
                <w:szCs w:val="28"/>
              </w:rPr>
            </w:pPr>
          </w:p>
        </w:tc>
        <w:tc>
          <w:tcPr>
            <w:tcW w:w="2355" w:type="dxa"/>
          </w:tcPr>
          <w:p w:rsidR="002213EF" w:rsidRDefault="002213EF" w:rsidP="00176793">
            <w:pPr>
              <w:jc w:val="center"/>
              <w:rPr>
                <w:rFonts w:ascii="宋体" w:hAnsi="宋体" w:cs="宋体" w:hint="eastAsia"/>
                <w:sz w:val="28"/>
                <w:szCs w:val="28"/>
              </w:rPr>
            </w:pPr>
          </w:p>
        </w:tc>
        <w:tc>
          <w:tcPr>
            <w:tcW w:w="3165" w:type="dxa"/>
          </w:tcPr>
          <w:p w:rsidR="002213EF" w:rsidRDefault="002213EF" w:rsidP="00176793">
            <w:pPr>
              <w:jc w:val="center"/>
              <w:rPr>
                <w:rFonts w:ascii="宋体" w:hAnsi="宋体" w:cs="宋体" w:hint="eastAsia"/>
                <w:sz w:val="28"/>
                <w:szCs w:val="28"/>
              </w:rPr>
            </w:pPr>
          </w:p>
        </w:tc>
        <w:tc>
          <w:tcPr>
            <w:tcW w:w="2312" w:type="dxa"/>
          </w:tcPr>
          <w:p w:rsidR="002213EF" w:rsidRDefault="002213EF" w:rsidP="00176793">
            <w:pPr>
              <w:jc w:val="center"/>
              <w:rPr>
                <w:rFonts w:ascii="宋体" w:hAnsi="宋体" w:cs="宋体" w:hint="eastAsia"/>
                <w:sz w:val="28"/>
                <w:szCs w:val="28"/>
              </w:rPr>
            </w:pPr>
          </w:p>
        </w:tc>
        <w:tc>
          <w:tcPr>
            <w:tcW w:w="2398" w:type="dxa"/>
          </w:tcPr>
          <w:p w:rsidR="002213EF" w:rsidRDefault="002213EF" w:rsidP="00176793">
            <w:pPr>
              <w:jc w:val="center"/>
              <w:rPr>
                <w:rFonts w:ascii="宋体" w:hAnsi="宋体" w:cs="宋体" w:hint="eastAsia"/>
                <w:sz w:val="28"/>
                <w:szCs w:val="28"/>
              </w:rPr>
            </w:pPr>
          </w:p>
        </w:tc>
      </w:tr>
    </w:tbl>
    <w:p w:rsidR="002213EF" w:rsidRDefault="002213EF" w:rsidP="002213EF">
      <w:pPr>
        <w:rPr>
          <w:rFonts w:ascii="仿宋" w:eastAsia="仿宋" w:hAnsi="仿宋" w:cs="仿宋" w:hint="eastAsia"/>
          <w:sz w:val="28"/>
          <w:szCs w:val="28"/>
        </w:rPr>
      </w:pPr>
      <w:r>
        <w:rPr>
          <w:rFonts w:ascii="仿宋" w:eastAsia="仿宋" w:hAnsi="仿宋" w:cs="仿宋" w:hint="eastAsia"/>
          <w:sz w:val="28"/>
          <w:szCs w:val="28"/>
        </w:rPr>
        <w:t>填报人：                                 联系电话：</w:t>
      </w:r>
    </w:p>
    <w:p w:rsidR="002213EF" w:rsidRDefault="002213EF" w:rsidP="002213EF">
      <w:pPr>
        <w:rPr>
          <w:rFonts w:ascii="仿宋" w:eastAsia="仿宋" w:hAnsi="仿宋" w:hint="eastAsia"/>
          <w:sz w:val="32"/>
          <w:szCs w:val="32"/>
        </w:rPr>
        <w:sectPr w:rsidR="002213EF">
          <w:pgSz w:w="16838" w:h="11906" w:orient="landscape"/>
          <w:pgMar w:top="1599" w:right="1843" w:bottom="1219" w:left="1559" w:header="851" w:footer="992" w:gutter="0"/>
          <w:pgNumType w:fmt="numberInDash"/>
          <w:cols w:space="720"/>
          <w:docGrid w:type="lines" w:linePitch="313"/>
        </w:sectPr>
      </w:pPr>
    </w:p>
    <w:p w:rsidR="002213EF" w:rsidRDefault="002213EF" w:rsidP="002213EF">
      <w:pPr>
        <w:pStyle w:val="a3"/>
        <w:spacing w:before="27" w:line="560" w:lineRule="exact"/>
        <w:jc w:val="left"/>
        <w:rPr>
          <w:rFonts w:ascii="黑体" w:eastAsia="黑体" w:hAnsi="黑体" w:cs="黑体" w:hint="eastAsia"/>
        </w:rPr>
      </w:pPr>
      <w:r>
        <w:rPr>
          <w:rFonts w:ascii="黑体" w:eastAsia="黑体" w:hAnsi="黑体" w:cs="黑体" w:hint="eastAsia"/>
          <w:lang w:val="en-US"/>
        </w:rPr>
        <w:lastRenderedPageBreak/>
        <w:t>附件2</w:t>
      </w:r>
    </w:p>
    <w:p w:rsidR="002213EF" w:rsidRDefault="002213EF" w:rsidP="002213EF">
      <w:pPr>
        <w:pStyle w:val="1"/>
        <w:spacing w:before="106" w:line="560" w:lineRule="exact"/>
        <w:ind w:left="1603" w:right="1762"/>
        <w:jc w:val="center"/>
        <w:rPr>
          <w:rFonts w:ascii="黑体" w:eastAsia="黑体" w:hAnsi="黑体" w:cs="黑体" w:hint="eastAsia"/>
          <w:b w:val="0"/>
          <w:bCs w:val="0"/>
          <w:sz w:val="44"/>
          <w:szCs w:val="44"/>
        </w:rPr>
      </w:pPr>
    </w:p>
    <w:p w:rsidR="002213EF" w:rsidRDefault="002213EF" w:rsidP="002213EF">
      <w:pPr>
        <w:pStyle w:val="1"/>
        <w:spacing w:before="106" w:line="560" w:lineRule="exact"/>
        <w:ind w:left="1603" w:right="1762"/>
        <w:jc w:val="center"/>
        <w:rPr>
          <w:rFonts w:ascii="方正小标宋简体" w:eastAsia="方正小标宋简体" w:hAnsi="方正小标宋简体" w:cs="方正小标宋简体" w:hint="eastAsia"/>
          <w:b w:val="0"/>
          <w:bCs w:val="0"/>
          <w:sz w:val="44"/>
          <w:szCs w:val="44"/>
        </w:rPr>
      </w:pPr>
      <w:r>
        <w:rPr>
          <w:rFonts w:ascii="方正小标宋简体" w:eastAsia="方正小标宋简体" w:hAnsi="方正小标宋简体" w:cs="方正小标宋简体" w:hint="eastAsia"/>
          <w:b w:val="0"/>
          <w:bCs w:val="0"/>
          <w:sz w:val="44"/>
          <w:szCs w:val="44"/>
        </w:rPr>
        <w:t>2021版GB</w:t>
      </w:r>
      <w:r>
        <w:rPr>
          <w:rFonts w:ascii="方正小标宋简体" w:eastAsia="方正小标宋简体" w:hAnsi="方正小标宋简体" w:cs="方正小标宋简体" w:hint="eastAsia"/>
          <w:b w:val="0"/>
          <w:bCs w:val="0"/>
          <w:sz w:val="44"/>
          <w:szCs w:val="44"/>
          <w:lang w:val="en-US"/>
        </w:rPr>
        <w:t xml:space="preserve"> </w:t>
      </w:r>
      <w:r>
        <w:rPr>
          <w:rFonts w:ascii="方正小标宋简体" w:eastAsia="方正小标宋简体" w:hAnsi="方正小标宋简体" w:cs="方正小标宋简体" w:hint="eastAsia"/>
          <w:b w:val="0"/>
          <w:bCs w:val="0"/>
          <w:sz w:val="44"/>
          <w:szCs w:val="44"/>
        </w:rPr>
        <w:t>2763宣传解读参考材料</w:t>
      </w:r>
    </w:p>
    <w:p w:rsidR="002213EF" w:rsidRDefault="002213EF" w:rsidP="002213EF">
      <w:pPr>
        <w:pStyle w:val="a3"/>
        <w:spacing w:before="11" w:line="560" w:lineRule="exact"/>
        <w:ind w:left="0"/>
        <w:jc w:val="left"/>
        <w:rPr>
          <w:rFonts w:ascii="仿宋" w:eastAsia="仿宋" w:hAnsi="仿宋" w:cs="仿宋" w:hint="eastAsia"/>
          <w:b/>
        </w:rPr>
      </w:pPr>
    </w:p>
    <w:p w:rsidR="002213EF" w:rsidRDefault="002213EF" w:rsidP="002213EF">
      <w:pPr>
        <w:widowControl/>
        <w:ind w:firstLineChars="200" w:firstLine="620"/>
        <w:rPr>
          <w:rFonts w:ascii="仿宋" w:eastAsia="仿宋" w:hAnsi="仿宋" w:cs="仿宋" w:hint="eastAsia"/>
        </w:rPr>
      </w:pPr>
      <w:r>
        <w:rPr>
          <w:rFonts w:ascii="仿宋" w:eastAsia="仿宋" w:hAnsi="仿宋" w:cs="仿宋" w:hint="eastAsia"/>
          <w:color w:val="000000"/>
          <w:kern w:val="0"/>
          <w:sz w:val="31"/>
          <w:szCs w:val="31"/>
          <w:lang w:bidi="ar"/>
        </w:rPr>
        <w:t xml:space="preserve">农药残留是影响农产品质量安全的重要因素。制定农药最大残留限量标准是加强农药残留风险管理的重要技术手段，也是世界各国的通行做法，对我国科学规范合理用药、加强农产品质量安全监管、维护农产品国际贸易等方面具有 重要意义。《食品安全国家标准 食品中农药最大残留限量》（GB 2763-2021，以下称2021版GB 2763）是目前我国统一规定的食品中农药最大残留限量的强制性国家标准。 </w:t>
      </w:r>
    </w:p>
    <w:p w:rsidR="002213EF" w:rsidRDefault="002213EF" w:rsidP="002213EF">
      <w:pPr>
        <w:widowControl/>
        <w:ind w:firstLineChars="200" w:firstLine="620"/>
        <w:jc w:val="left"/>
      </w:pPr>
      <w:r>
        <w:rPr>
          <w:rFonts w:ascii="黑体" w:eastAsia="黑体" w:hAnsi="宋体" w:cs="黑体"/>
          <w:color w:val="000000"/>
          <w:kern w:val="0"/>
          <w:sz w:val="31"/>
          <w:szCs w:val="31"/>
          <w:lang w:bidi="ar"/>
        </w:rPr>
        <w:t xml:space="preserve">一、食品中农药最大残留限量标准制修订情况 </w:t>
      </w:r>
    </w:p>
    <w:p w:rsidR="002213EF" w:rsidRDefault="002213EF" w:rsidP="002213EF">
      <w:pPr>
        <w:widowControl/>
        <w:ind w:firstLineChars="200" w:firstLine="640"/>
        <w:rPr>
          <w:rFonts w:ascii="仿宋" w:eastAsia="仿宋" w:hAnsi="仿宋" w:cs="仿宋" w:hint="eastAsia"/>
          <w:sz w:val="32"/>
          <w:szCs w:val="32"/>
        </w:rPr>
      </w:pPr>
      <w:r>
        <w:rPr>
          <w:rFonts w:ascii="仿宋" w:eastAsia="仿宋" w:hAnsi="仿宋" w:cs="仿宋" w:hint="eastAsia"/>
          <w:color w:val="000000"/>
          <w:kern w:val="0"/>
          <w:sz w:val="32"/>
          <w:szCs w:val="32"/>
          <w:lang w:bidi="ar"/>
        </w:rPr>
        <w:t>2009年《食品安全法》颁布实施前，我国农药残留限量标准主要由原卫生部和原农业部制定，截至2009年底，农药残留限量仅有870多项，存在标准缺失、重复和矛盾等诸多问题。根据《国务院办公厅关于印发食品安全整顿工作方案的通知》（国办发〔2009〕8号）和《卫生部、农业部关于印发2010年食品安全国家标准清理工作方案的通知》要求，原农业部对农药残留相关国家和行业标准进行了清理，2012年将相关标准统一合并后发布为 2012版GB 2763，实现了农药残留食品安全国家标准的统一发布，提高了标准的系统性</w:t>
      </w:r>
      <w:r>
        <w:rPr>
          <w:rFonts w:ascii="仿宋" w:eastAsia="仿宋" w:hAnsi="仿宋" w:cs="仿宋" w:hint="eastAsia"/>
          <w:color w:val="000000"/>
          <w:kern w:val="0"/>
          <w:sz w:val="32"/>
          <w:szCs w:val="32"/>
          <w:lang w:bidi="ar"/>
        </w:rPr>
        <w:lastRenderedPageBreak/>
        <w:t xml:space="preserve">和实用性。此后，2014年、2016年、2018年、2019年和2021年先后五次进行修订。其中，2021版GB 2763规定了2,4-滴等564种农药在376种（类）食品中10092项残留限量标准。其中，谷物、油料和油脂、蔬菜、干制蔬菜、水果、干制水果、坚果、糖料、饮料类、食用菌、调味料、药用植物、动物源食品的限量总数分别为1415、758、3226、55、2468、152、148、180、196、70、360、161、903项。全面覆盖了我国批准使用的农药品种和主要植物源性农产品，完成了国务院批准的《加快完善我国农药残留标准体系的工作方案》规定的“十三五”末1万项的目标任务，农药品种和限量标准数量达到国际食品法典委员会（CAC）相关标准的近2倍，标志着我国农药残留标准制定工作迈上新台阶。 </w:t>
      </w:r>
    </w:p>
    <w:p w:rsidR="002213EF" w:rsidRDefault="002213EF" w:rsidP="002213EF">
      <w:pPr>
        <w:widowControl/>
        <w:ind w:firstLineChars="200" w:firstLine="620"/>
        <w:jc w:val="left"/>
      </w:pPr>
      <w:r>
        <w:rPr>
          <w:rFonts w:ascii="黑体" w:eastAsia="黑体" w:hAnsi="宋体" w:cs="黑体" w:hint="eastAsia"/>
          <w:color w:val="000000"/>
          <w:kern w:val="0"/>
          <w:sz w:val="31"/>
          <w:szCs w:val="31"/>
          <w:lang w:bidi="ar"/>
        </w:rPr>
        <w:t>二、</w:t>
      </w:r>
      <w:r>
        <w:rPr>
          <w:color w:val="000000"/>
          <w:kern w:val="0"/>
          <w:sz w:val="31"/>
          <w:szCs w:val="31"/>
          <w:lang w:bidi="ar"/>
        </w:rPr>
        <w:t>2021</w:t>
      </w:r>
      <w:r>
        <w:rPr>
          <w:rFonts w:ascii="黑体" w:eastAsia="黑体" w:hAnsi="宋体" w:cs="黑体" w:hint="eastAsia"/>
          <w:color w:val="000000"/>
          <w:kern w:val="0"/>
          <w:sz w:val="31"/>
          <w:szCs w:val="31"/>
          <w:lang w:bidi="ar"/>
        </w:rPr>
        <w:t>版</w:t>
      </w:r>
      <w:r>
        <w:rPr>
          <w:color w:val="000000"/>
          <w:kern w:val="0"/>
          <w:sz w:val="31"/>
          <w:szCs w:val="31"/>
          <w:lang w:bidi="ar"/>
        </w:rPr>
        <w:t>GB 2763</w:t>
      </w:r>
      <w:r>
        <w:rPr>
          <w:rFonts w:ascii="黑体" w:eastAsia="黑体" w:hAnsi="宋体" w:cs="黑体" w:hint="eastAsia"/>
          <w:color w:val="000000"/>
          <w:kern w:val="0"/>
          <w:sz w:val="31"/>
          <w:szCs w:val="31"/>
          <w:lang w:bidi="ar"/>
        </w:rPr>
        <w:t xml:space="preserve">标准的主要变化 </w:t>
      </w:r>
    </w:p>
    <w:p w:rsidR="002213EF" w:rsidRDefault="002213EF" w:rsidP="002213EF">
      <w:pPr>
        <w:widowControl/>
        <w:ind w:firstLineChars="200" w:firstLine="622"/>
        <w:jc w:val="left"/>
        <w:rPr>
          <w:rFonts w:ascii="仿宋" w:eastAsia="仿宋" w:hAnsi="仿宋" w:cs="仿宋" w:hint="eastAsia"/>
          <w:sz w:val="32"/>
          <w:szCs w:val="32"/>
        </w:rPr>
      </w:pPr>
      <w:r>
        <w:rPr>
          <w:rFonts w:ascii="楷体_GB2312" w:eastAsia="楷体_GB2312" w:hAnsi="宋体" w:cs="楷体_GB2312"/>
          <w:b/>
          <w:bCs/>
          <w:color w:val="000000"/>
          <w:kern w:val="0"/>
          <w:sz w:val="31"/>
          <w:szCs w:val="31"/>
          <w:lang w:bidi="ar"/>
        </w:rPr>
        <w:t>（一）新增部分农药残留限量</w:t>
      </w:r>
      <w:r>
        <w:rPr>
          <w:b/>
          <w:bCs/>
          <w:color w:val="000000"/>
          <w:kern w:val="0"/>
          <w:sz w:val="31"/>
          <w:szCs w:val="31"/>
          <w:lang w:bidi="ar"/>
        </w:rPr>
        <w:t>2985</w:t>
      </w:r>
      <w:r>
        <w:rPr>
          <w:rFonts w:ascii="楷体_GB2312" w:eastAsia="楷体_GB2312" w:hAnsi="宋体" w:cs="楷体_GB2312"/>
          <w:b/>
          <w:bCs/>
          <w:color w:val="000000"/>
          <w:kern w:val="0"/>
          <w:sz w:val="31"/>
          <w:szCs w:val="31"/>
          <w:lang w:bidi="ar"/>
        </w:rPr>
        <w:t>项。</w:t>
      </w:r>
      <w:r>
        <w:rPr>
          <w:rFonts w:ascii="仿宋" w:eastAsia="仿宋" w:hAnsi="仿宋" w:cs="仿宋" w:hint="eastAsia"/>
          <w:color w:val="000000"/>
          <w:kern w:val="0"/>
          <w:sz w:val="32"/>
          <w:szCs w:val="32"/>
          <w:lang w:bidi="ar"/>
        </w:rPr>
        <w:t xml:space="preserve">与2019版GB 2763相比，2021版GB 2763的农药残留限量标准数量增加2985项。其中，蔬菜、水果等居民日常消费的重点农产品的限量标准数量增长明显，分别增加了960项和615项，占新增限量总数的32.2%和20.6%，两类限量总数分别占2021版GB 2763食品限量总数的32.0%和24.5%。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（二）修订农药残留限量194项。</w:t>
      </w:r>
      <w:r>
        <w:rPr>
          <w:rFonts w:ascii="仿宋" w:eastAsia="仿宋" w:hAnsi="仿宋" w:cs="仿宋" w:hint="eastAsia"/>
          <w:color w:val="000000"/>
          <w:kern w:val="0"/>
          <w:sz w:val="32"/>
          <w:szCs w:val="32"/>
          <w:lang w:bidi="ar"/>
        </w:rPr>
        <w:t>由于实施禁限用管理政策、获得新的农药登记残留试验数据或规范统一残留物定义等原因，基于膳食风险评估结果，对2,4-滴等46种农药</w:t>
      </w:r>
      <w:r>
        <w:rPr>
          <w:rFonts w:ascii="仿宋" w:eastAsia="仿宋" w:hAnsi="仿宋" w:cs="仿宋" w:hint="eastAsia"/>
          <w:color w:val="000000"/>
          <w:kern w:val="0"/>
          <w:sz w:val="32"/>
          <w:szCs w:val="32"/>
          <w:lang w:bidi="ar"/>
        </w:rPr>
        <w:lastRenderedPageBreak/>
        <w:t xml:space="preserve">在玉米等106种（类）食品中194项残留限量标准进行了修订。同时，由于推荐增补了配套农药残留检测方法，将2甲4氯（钠）等17种农药的176项限量由临时限量修改为正式限量；由于缺乏配套检测方法，将噻草酮等3种农药的19项限量由正式限量修改为临时限量。需要重点关注的是，此次制修订涉及的胺苯磺隆等7种禁用农药和毒死蜱等9种限用农药，均按照检测方法的定量限水平设定限量值，实现了对相应禁限用范围食品种类的全覆盖。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（三）新增农药品种 81 种。</w:t>
      </w:r>
      <w:r>
        <w:rPr>
          <w:rFonts w:ascii="仿宋" w:eastAsia="仿宋" w:hAnsi="仿宋" w:cs="仿宋" w:hint="eastAsia"/>
          <w:color w:val="000000"/>
          <w:kern w:val="0"/>
          <w:sz w:val="32"/>
          <w:szCs w:val="32"/>
          <w:lang w:bidi="ar"/>
        </w:rPr>
        <w:t xml:space="preserve">与2019版GB 2763相比，2021版GB 2763新增了81种农药，相应增加限量标准1343项。其中，42 种农药已在我国批准登记，39 种农药尚未在我国取得登记。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（四）修订部分农药残留物监测定义和每日允许摄入量（ADI）。</w:t>
      </w:r>
      <w:r>
        <w:rPr>
          <w:rFonts w:ascii="仿宋" w:eastAsia="仿宋" w:hAnsi="仿宋" w:cs="仿宋" w:hint="eastAsia"/>
          <w:color w:val="000000"/>
          <w:kern w:val="0"/>
          <w:sz w:val="32"/>
          <w:szCs w:val="32"/>
          <w:lang w:bidi="ar"/>
        </w:rPr>
        <w:t xml:space="preserve">为保证膳食风险评估数据的科学性，参考FAO/WHO农药残留专家联席会议（JMPR）评审结果，2021版GB 2763修订了2,4-滴异辛酯、吡氟禾草灵和精吡氟禾草灵、氟噻草胺、甲基碘磺隆钠盐、井冈霉素、喹禾灵和精喹禾灵、螺虫乙酯、氰霜唑、三唑醇、噻唑锌等12种农药残留物监测定义及表述，修订了丁苯吗啉、氟苯脲、喹禾灵和精喹禾灵等4种农药每日允许摄入量（ADI）。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（五）新增或修订食品名称。</w:t>
      </w:r>
      <w:r>
        <w:rPr>
          <w:rFonts w:ascii="仿宋" w:eastAsia="仿宋" w:hAnsi="仿宋" w:cs="仿宋" w:hint="eastAsia"/>
          <w:color w:val="000000"/>
          <w:kern w:val="0"/>
          <w:sz w:val="32"/>
          <w:szCs w:val="32"/>
          <w:lang w:bidi="ar"/>
        </w:rPr>
        <w:t>根据农产品商品形态、主要用途以及相关残留限量制定等情况，2021版GB 2763修订</w:t>
      </w:r>
      <w:r>
        <w:rPr>
          <w:rFonts w:ascii="仿宋" w:eastAsia="仿宋" w:hAnsi="仿宋" w:cs="仿宋" w:hint="eastAsia"/>
          <w:color w:val="000000"/>
          <w:kern w:val="0"/>
          <w:sz w:val="32"/>
          <w:szCs w:val="32"/>
          <w:lang w:bidi="ar"/>
        </w:rPr>
        <w:lastRenderedPageBreak/>
        <w:t xml:space="preserve">了规范性附录 A（食品类别及测定部位），增加了小麦全粉、黄花菜（干）、番茄干、马铃薯干、香瓜茄、柑橘肉（干）、苹果干、茉莉花、蒌叶、马郁兰、夏香草、番茄酱、贝母（鲜）、贝母（干）、百合（干）、三七花（干）、哺乳动物脂肪（乳脂肪除外）、鸡脂肪、鸭脂肪、鹅脂肪等 20 种食品名称，修订了小茴香、莲子、人参、三七、白术、百合、元胡、石斛黄花菜、菊花、浆果和其他小型水果、热带和亚热带类水果、羊肉、羊脂肪、羊乳等15种食品名称，并将枸杞（干）的食品类别从干制水果调整为药用植物的花及果实类。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（六）调整部分配套农药残留检测方法。</w:t>
      </w:r>
      <w:r>
        <w:rPr>
          <w:rFonts w:ascii="仿宋" w:eastAsia="仿宋" w:hAnsi="仿宋" w:cs="仿宋" w:hint="eastAsia"/>
          <w:color w:val="000000"/>
          <w:kern w:val="0"/>
          <w:sz w:val="32"/>
          <w:szCs w:val="32"/>
          <w:lang w:bidi="ar"/>
        </w:rPr>
        <w:t>根据农药残留限量标准制修订情况，2021版GB 2763增加了GB23200.116、GB 23200.117、NY/T 1721、SN/T 1971、SN/T 4066、SN/T 4591、SN/T 4655共7项农药残留检测方法标准；由于检测方法标准进行了修订，对引用的2项检测方法标准表述作了相应更新，即更新后的《出口水果中克菌丹残留量的检测气相色谱法和气相色谱-质谱/质谱法》（SN/T 0654）和《进出口植物性产品中氰草津、氟草隆、莠去津、敌稗、利谷隆残留量检验方法液相色谱-质谱/质谱法》（SN/T1605）；由于前处理要求使用危险化学品等原因，不再推荐《植物性食品中氯氰菊酯、氰戊菊酯和溴氰菊酯残留量的测定》（GB/T 5009.110）和《食品安全国家标准食品中苯酰胺类农药残留</w:t>
      </w:r>
      <w:r>
        <w:rPr>
          <w:rFonts w:ascii="仿宋" w:eastAsia="仿宋" w:hAnsi="仿宋" w:cs="仿宋" w:hint="eastAsia"/>
          <w:color w:val="000000"/>
          <w:kern w:val="0"/>
          <w:sz w:val="32"/>
          <w:szCs w:val="32"/>
          <w:lang w:bidi="ar"/>
        </w:rPr>
        <w:lastRenderedPageBreak/>
        <w:t xml:space="preserve">量的测定气相色谱-质谱法》（GB 23200.72）等2项检测方法标准。 </w:t>
      </w:r>
    </w:p>
    <w:p w:rsidR="002213EF" w:rsidRDefault="002213EF" w:rsidP="002213EF">
      <w:pPr>
        <w:widowControl/>
        <w:ind w:firstLineChars="200" w:firstLine="640"/>
        <w:rPr>
          <w:rFonts w:ascii="黑体" w:eastAsia="黑体" w:hAnsi="黑体" w:cs="黑体" w:hint="eastAsia"/>
          <w:sz w:val="32"/>
          <w:szCs w:val="32"/>
        </w:rPr>
      </w:pPr>
      <w:r>
        <w:rPr>
          <w:rFonts w:ascii="黑体" w:eastAsia="黑体" w:hAnsi="黑体" w:cs="黑体" w:hint="eastAsia"/>
          <w:color w:val="000000"/>
          <w:kern w:val="0"/>
          <w:sz w:val="32"/>
          <w:szCs w:val="32"/>
          <w:lang w:bidi="ar"/>
        </w:rPr>
        <w:t xml:space="preserve">三、2021版GB 2763标准的主要特点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（一）涵盖农药品种和限量标准数量大幅增加。</w:t>
      </w:r>
      <w:r>
        <w:rPr>
          <w:rFonts w:ascii="仿宋" w:eastAsia="仿宋" w:hAnsi="仿宋" w:cs="仿宋" w:hint="eastAsia"/>
          <w:color w:val="000000"/>
          <w:kern w:val="0"/>
          <w:sz w:val="32"/>
          <w:szCs w:val="32"/>
          <w:lang w:bidi="ar"/>
        </w:rPr>
        <w:t>2021版GB 276规定了564种农药残留限量标准，包括我国批准登记农药428种、禁限用农药49种、我国禁用农药以外的尚未登记农药87种，同时规定了豁免制定残留限量的低风险农药44种。从涵盖的农药品种数量看，已超过CAC、美国，基本接近欧盟。与2019版GB 2763相比，新版标准中农药品种增加81个，增幅为16.7%；农药残留限量标准增加2985项，增幅为42%，基本覆盖我国批准使用的农药品种和主要植物源性农产品，为加强我国农产品质量安全监管提供了充分的技术支撑。</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（二）高风险农药品种监管力度持续加大。</w:t>
      </w:r>
      <w:r>
        <w:rPr>
          <w:rFonts w:ascii="仿宋" w:eastAsia="仿宋" w:hAnsi="仿宋" w:cs="仿宋" w:hint="eastAsia"/>
          <w:color w:val="000000"/>
          <w:kern w:val="0"/>
          <w:sz w:val="32"/>
          <w:szCs w:val="32"/>
          <w:lang w:bidi="ar"/>
        </w:rPr>
        <w:t>2021版GB 2763重点突出高风险禁限用农药的监管，规定了</w:t>
      </w:r>
      <w:r>
        <w:rPr>
          <w:rFonts w:ascii="仿宋" w:eastAsia="仿宋" w:hAnsi="仿宋" w:cs="仿宋" w:hint="eastAsia"/>
          <w:color w:val="333333"/>
          <w:kern w:val="0"/>
          <w:sz w:val="32"/>
          <w:szCs w:val="32"/>
          <w:lang w:bidi="ar"/>
        </w:rPr>
        <w:t>29种禁用农药792项限量值、20种限用农药</w:t>
      </w:r>
      <w:r>
        <w:rPr>
          <w:rFonts w:ascii="仿宋" w:eastAsia="仿宋" w:hAnsi="仿宋" w:cs="仿宋" w:hint="eastAsia"/>
          <w:color w:val="000000"/>
          <w:kern w:val="0"/>
          <w:sz w:val="32"/>
          <w:szCs w:val="32"/>
          <w:lang w:bidi="ar"/>
        </w:rPr>
        <w:t>在限用作物上的</w:t>
      </w:r>
      <w:r>
        <w:rPr>
          <w:rFonts w:ascii="仿宋" w:eastAsia="仿宋" w:hAnsi="仿宋" w:cs="仿宋" w:hint="eastAsia"/>
          <w:color w:val="333333"/>
          <w:kern w:val="0"/>
          <w:sz w:val="32"/>
          <w:szCs w:val="32"/>
          <w:lang w:bidi="ar"/>
        </w:rPr>
        <w:t>345项限量值</w:t>
      </w:r>
      <w:r>
        <w:rPr>
          <w:rFonts w:ascii="仿宋" w:eastAsia="仿宋" w:hAnsi="仿宋" w:cs="仿宋" w:hint="eastAsia"/>
          <w:color w:val="000000"/>
          <w:kern w:val="0"/>
          <w:sz w:val="32"/>
          <w:szCs w:val="32"/>
          <w:lang w:bidi="ar"/>
        </w:rPr>
        <w:t>。按照农药残留检测方法能够检测的最低浓度水平（定量限），制修订了胺苯磺隆等16种禁限用农药的限量值，实现了禁用农药在12类植物源性农产品、限用农药在相应限用农产品种类上限量的全覆盖，强化了禁限用农药监管。同时，通过评估转化CAC标准等方式，制定了除我国禁用农药外的87种尚未在我国批准使用农药的1742项残留限量，为</w:t>
      </w:r>
      <w:r>
        <w:rPr>
          <w:rFonts w:ascii="仿宋" w:eastAsia="仿宋" w:hAnsi="仿宋" w:cs="仿宋" w:hint="eastAsia"/>
          <w:color w:val="000000"/>
          <w:kern w:val="0"/>
          <w:sz w:val="32"/>
          <w:szCs w:val="32"/>
          <w:lang w:bidi="ar"/>
        </w:rPr>
        <w:lastRenderedPageBreak/>
        <w:t xml:space="preserve">加强进口农产品监管、保障我国居民消费安全提供了技术依据。 </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（三）蔬菜等特色小宗作物限量标准显著增加。</w:t>
      </w:r>
      <w:r>
        <w:rPr>
          <w:rFonts w:ascii="仿宋" w:eastAsia="仿宋" w:hAnsi="仿宋" w:cs="仿宋" w:hint="eastAsia"/>
          <w:color w:val="000000"/>
          <w:kern w:val="0"/>
          <w:sz w:val="32"/>
          <w:szCs w:val="32"/>
          <w:lang w:bidi="ar"/>
        </w:rPr>
        <w:t>特色小宗作物用药登记是一个国际性难题，由于农药市场小、回报低等原因，企业主动申请农药登记的积极性不足，导致无合法药可用、无限量标准可依的问题突出。近年来农业农村部高度重视，重点针对社会关注度高的蔬菜、水果等鲜食农产品，制修订了5766 项残留限量，占目前限量总数的57.1%。同时，在广泛开展农业生产实际用药调研、验证试验、征求意见和专家论证等基础上，制定了阿维菌素等67种农药589项特色小宗作物上的限量标准，发布了505项农药残留风险控制技术方案，指导地方制定临时用药措施并鼓励企业申请农药扩大使用范围登记，创新探索解决特色小宗作物“无药可用、无标可依”难题的工作机制，一些区域性集中种植、产业规模大的特色作物用药短缺问题得到有效缓解。</w:t>
      </w:r>
    </w:p>
    <w:p w:rsidR="002213EF" w:rsidRDefault="002213EF" w:rsidP="002213EF">
      <w:pPr>
        <w:widowControl/>
        <w:ind w:firstLineChars="200" w:firstLine="643"/>
        <w:rPr>
          <w:rFonts w:ascii="仿宋" w:eastAsia="仿宋" w:hAnsi="仿宋" w:cs="仿宋" w:hint="eastAsia"/>
          <w:sz w:val="32"/>
          <w:szCs w:val="32"/>
        </w:rPr>
      </w:pPr>
      <w:r>
        <w:rPr>
          <w:rFonts w:ascii="仿宋" w:eastAsia="仿宋" w:hAnsi="仿宋" w:cs="仿宋" w:hint="eastAsia"/>
          <w:b/>
          <w:bCs/>
          <w:color w:val="000000"/>
          <w:kern w:val="0"/>
          <w:sz w:val="32"/>
          <w:szCs w:val="32"/>
          <w:lang w:bidi="ar"/>
        </w:rPr>
        <w:t>（四）农药残留限量配套检测方法标准更加完善。</w:t>
      </w:r>
      <w:r>
        <w:rPr>
          <w:rFonts w:ascii="仿宋" w:eastAsia="仿宋" w:hAnsi="仿宋" w:cs="仿宋" w:hint="eastAsia"/>
          <w:color w:val="000000"/>
          <w:kern w:val="0"/>
          <w:sz w:val="32"/>
          <w:szCs w:val="32"/>
          <w:lang w:bidi="ar"/>
        </w:rPr>
        <w:t xml:space="preserve">2021版GB 2763新增推荐7项配套检测方法，同步发布了《食品安全国家标准植物源性食品中331种农药及其代谢物残留量的测定液相色谱－质谱联用法》等4项新制定的农药残留检测方法国家标准，可以作为相关农药残留限量的配套检测方法，将有效解决1000多项农药残留限量标准“有限量、无方法”问题。同时，为提高配套检测方法的适用性，2021版GB </w:t>
      </w:r>
      <w:r>
        <w:rPr>
          <w:rFonts w:ascii="仿宋" w:eastAsia="仿宋" w:hAnsi="仿宋" w:cs="仿宋" w:hint="eastAsia"/>
          <w:color w:val="000000"/>
          <w:kern w:val="0"/>
          <w:sz w:val="32"/>
          <w:szCs w:val="32"/>
          <w:lang w:bidi="ar"/>
        </w:rPr>
        <w:lastRenderedPageBreak/>
        <w:t>2763按照每种农药同类基质不超过5个且同类仪器的检测方法仅限1个的原则推荐配套检测方法，以兼顾不同检测机构的实际需要。</w:t>
      </w:r>
    </w:p>
    <w:p w:rsidR="00BA2F31" w:rsidRDefault="00BA2F31">
      <w:bookmarkStart w:id="0" w:name="_GoBack"/>
      <w:bookmarkEnd w:id="0"/>
    </w:p>
    <w:sectPr w:rsidR="00BA2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EF"/>
    <w:rsid w:val="002213EF"/>
    <w:rsid w:val="00BA2F3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62E1-4972-45AF-8212-7C441C42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3E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213EF"/>
    <w:pPr>
      <w:ind w:left="763"/>
      <w:outlineLvl w:val="0"/>
    </w:pPr>
    <w:rPr>
      <w:rFonts w:ascii="Microsoft JhengHei" w:eastAsia="Microsoft JhengHei" w:hAnsi="Microsoft JhengHei" w:cs="Microsoft JhengHei"/>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13EF"/>
    <w:rPr>
      <w:rFonts w:ascii="Microsoft JhengHei" w:eastAsia="Microsoft JhengHei" w:hAnsi="Microsoft JhengHei" w:cs="Microsoft JhengHei"/>
      <w:b/>
      <w:bCs/>
      <w:sz w:val="32"/>
      <w:szCs w:val="32"/>
      <w:lang w:val="zh-CN" w:bidi="zh-CN"/>
    </w:rPr>
  </w:style>
  <w:style w:type="paragraph" w:styleId="a3">
    <w:name w:val="Body Text"/>
    <w:basedOn w:val="a"/>
    <w:link w:val="Char"/>
    <w:uiPriority w:val="99"/>
    <w:unhideWhenUsed/>
    <w:rsid w:val="002213EF"/>
    <w:pPr>
      <w:spacing w:before="117"/>
      <w:ind w:left="120"/>
    </w:pPr>
    <w:rPr>
      <w:rFonts w:ascii="宋体" w:hAnsi="宋体" w:cs="宋体"/>
      <w:sz w:val="32"/>
      <w:szCs w:val="32"/>
      <w:lang w:val="zh-CN" w:bidi="zh-CN"/>
    </w:rPr>
  </w:style>
  <w:style w:type="character" w:customStyle="1" w:styleId="Char">
    <w:name w:val="正文文本 Char"/>
    <w:basedOn w:val="a0"/>
    <w:link w:val="a3"/>
    <w:uiPriority w:val="99"/>
    <w:rsid w:val="002213EF"/>
    <w:rPr>
      <w:rFonts w:ascii="宋体" w:eastAsia="宋体" w:hAnsi="宋体" w:cs="宋体"/>
      <w:sz w:val="32"/>
      <w:szCs w:val="32"/>
      <w:lang w:val="zh-CN" w:bidi="zh-CN"/>
    </w:rPr>
  </w:style>
  <w:style w:type="paragraph" w:styleId="a4">
    <w:name w:val="Normal (Web)"/>
    <w:basedOn w:val="a"/>
    <w:uiPriority w:val="99"/>
    <w:unhideWhenUsed/>
    <w:rsid w:val="002213EF"/>
    <w:pPr>
      <w:spacing w:before="100" w:beforeAutospacing="1" w:after="100" w:afterAutospacing="1"/>
      <w:jc w:val="left"/>
    </w:pPr>
    <w:rPr>
      <w:kern w:val="0"/>
      <w:sz w:val="24"/>
      <w:szCs w:val="20"/>
      <w:lang w:bidi="mn-Mong-CN"/>
    </w:rPr>
  </w:style>
  <w:style w:type="paragraph" w:customStyle="1" w:styleId="CharCharCharChar">
    <w:name w:val=" Char Char Char Char"/>
    <w:basedOn w:val="a"/>
    <w:rsid w:val="002213E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552</Words>
  <Characters>3149</Characters>
  <Application>Microsoft Office Word</Application>
  <DocSecurity>0</DocSecurity>
  <Lines>26</Lines>
  <Paragraphs>7</Paragraphs>
  <ScaleCrop>false</ScaleCrop>
  <Company>Microsoft</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2022-08-02T08:24:00Z</dcterms:created>
  <dcterms:modified xsi:type="dcterms:W3CDTF">2022-08-02T08:24:00Z</dcterms:modified>
</cp:coreProperties>
</file>