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autoSpaceDE/>
        <w:autoSpaceDN/>
        <w:bidi w:val="0"/>
        <w:adjustRightInd/>
        <w:snapToGrid/>
        <w:spacing w:line="580" w:lineRule="exact"/>
        <w:ind w:left="0" w:leftChars="0" w:firstLine="0" w:firstLineChars="0"/>
        <w:textAlignment w:val="auto"/>
        <w:rPr>
          <w:color w:val="000000"/>
          <w:sz w:val="32"/>
          <w:szCs w:val="32"/>
          <w:highlight w:val="none"/>
        </w:rPr>
      </w:pPr>
      <w:bookmarkStart w:id="0" w:name="_Toc10473"/>
      <w:bookmarkStart w:id="1" w:name="_Toc27764"/>
      <w:bookmarkStart w:id="2" w:name="_Toc10625"/>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Times New Roman"/>
          <w:b/>
          <w:sz w:val="44"/>
          <w:szCs w:val="44"/>
          <w:highlight w:val="none"/>
        </w:rPr>
      </w:pP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Times New Roman"/>
          <w:b/>
          <w:sz w:val="44"/>
          <w:szCs w:val="44"/>
          <w:highlight w:val="none"/>
        </w:rPr>
      </w:pP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Times New Roman"/>
          <w:b/>
          <w:sz w:val="44"/>
          <w:szCs w:val="44"/>
          <w:highlight w:val="none"/>
        </w:rPr>
      </w:pP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宋体" w:hAnsi="宋体" w:eastAsia="宋体" w:cs="Times New Roman"/>
          <w:b/>
          <w:sz w:val="44"/>
          <w:szCs w:val="44"/>
          <w:highlight w:val="none"/>
        </w:rPr>
      </w:pPr>
    </w:p>
    <w:p>
      <w:pPr>
        <w:keepNext w:val="0"/>
        <w:keepLines w:val="0"/>
        <w:pageBreakBefore w:val="0"/>
        <w:widowControl w:val="0"/>
        <w:kinsoku/>
        <w:wordWrap/>
        <w:overflowPunct/>
        <w:topLinePunct w:val="0"/>
        <w:autoSpaceDE/>
        <w:autoSpaceDN/>
        <w:bidi w:val="0"/>
        <w:adjustRightInd/>
        <w:snapToGrid/>
        <w:spacing w:beforeLines="-2147483648" w:afterLines="-2147483648" w:line="900" w:lineRule="exact"/>
        <w:ind w:firstLine="0" w:firstLineChars="0"/>
        <w:jc w:val="center"/>
        <w:textAlignment w:val="auto"/>
        <w:outlineLvl w:val="9"/>
        <w:rPr>
          <w:rFonts w:hint="eastAsia" w:ascii="方正小标宋_GBK" w:hAnsi="方正小标宋_GBK" w:eastAsia="方正小标宋_GBK" w:cs="方正小标宋_GBK"/>
          <w:b w:val="0"/>
          <w:bCs/>
          <w:sz w:val="48"/>
          <w:szCs w:val="48"/>
          <w:highlight w:val="none"/>
        </w:rPr>
      </w:pPr>
      <w:bookmarkStart w:id="3" w:name="_Toc2041"/>
      <w:bookmarkStart w:id="4" w:name="_Toc29500"/>
      <w:r>
        <w:rPr>
          <w:rFonts w:hint="eastAsia" w:ascii="方正小标宋_GBK" w:hAnsi="方正小标宋_GBK" w:eastAsia="方正小标宋_GBK" w:cs="方正小标宋_GBK"/>
          <w:b w:val="0"/>
          <w:bCs/>
          <w:sz w:val="48"/>
          <w:szCs w:val="48"/>
          <w:highlight w:val="none"/>
        </w:rPr>
        <w:t>海南省“十五五”加快</w:t>
      </w:r>
    </w:p>
    <w:p>
      <w:pPr>
        <w:keepNext w:val="0"/>
        <w:keepLines w:val="0"/>
        <w:pageBreakBefore w:val="0"/>
        <w:widowControl w:val="0"/>
        <w:kinsoku/>
        <w:wordWrap/>
        <w:overflowPunct/>
        <w:topLinePunct w:val="0"/>
        <w:autoSpaceDE/>
        <w:autoSpaceDN/>
        <w:bidi w:val="0"/>
        <w:adjustRightInd/>
        <w:snapToGrid/>
        <w:spacing w:beforeLines="-2147483648" w:afterLines="-2147483648" w:line="900" w:lineRule="exact"/>
        <w:ind w:firstLine="0" w:firstLineChars="0"/>
        <w:jc w:val="center"/>
        <w:textAlignment w:val="auto"/>
        <w:outlineLvl w:val="9"/>
        <w:rPr>
          <w:rFonts w:hint="eastAsia" w:ascii="方正小标宋_GBK" w:hAnsi="方正小标宋_GBK" w:eastAsia="方正小标宋_GBK" w:cs="方正小标宋_GBK"/>
          <w:b w:val="0"/>
          <w:bCs/>
          <w:sz w:val="48"/>
          <w:szCs w:val="48"/>
          <w:highlight w:val="none"/>
        </w:rPr>
      </w:pPr>
      <w:r>
        <w:rPr>
          <w:rFonts w:hint="eastAsia" w:ascii="方正小标宋_GBK" w:hAnsi="方正小标宋_GBK" w:eastAsia="方正小标宋_GBK" w:cs="方正小标宋_GBK"/>
          <w:b w:val="0"/>
          <w:bCs/>
          <w:sz w:val="48"/>
          <w:szCs w:val="48"/>
          <w:highlight w:val="none"/>
        </w:rPr>
        <w:t>农业农村现代化规划</w:t>
      </w:r>
      <w:bookmarkEnd w:id="3"/>
      <w:bookmarkEnd w:id="4"/>
    </w:p>
    <w:p>
      <w:pPr>
        <w:keepNext w:val="0"/>
        <w:keepLines w:val="0"/>
        <w:pageBreakBefore w:val="0"/>
        <w:widowControl w:val="0"/>
        <w:kinsoku/>
        <w:wordWrap/>
        <w:overflowPunct/>
        <w:topLinePunct w:val="0"/>
        <w:autoSpaceDE/>
        <w:autoSpaceDN/>
        <w:bidi w:val="0"/>
        <w:adjustRightInd/>
        <w:snapToGrid/>
        <w:spacing w:beforeLines="-2147483648" w:afterLines="-2147483648" w:line="900" w:lineRule="exact"/>
        <w:ind w:firstLine="0" w:firstLineChars="0"/>
        <w:jc w:val="center"/>
        <w:textAlignment w:val="auto"/>
        <w:rPr>
          <w:rFonts w:hint="eastAsia" w:ascii="楷体" w:hAnsi="楷体" w:eastAsia="楷体" w:cs="楷体"/>
          <w:b w:val="0"/>
          <w:bCs/>
          <w:sz w:val="48"/>
          <w:szCs w:val="48"/>
          <w:highlight w:val="none"/>
          <w:lang w:val="en-US" w:eastAsia="zh-CN"/>
        </w:rPr>
      </w:pPr>
      <w:r>
        <w:rPr>
          <w:rFonts w:hint="eastAsia" w:ascii="楷体" w:hAnsi="楷体" w:eastAsia="楷体" w:cs="楷体"/>
          <w:b w:val="0"/>
          <w:bCs/>
          <w:sz w:val="48"/>
          <w:szCs w:val="48"/>
          <w:highlight w:val="none"/>
          <w:lang w:val="en-US" w:eastAsia="zh-CN"/>
        </w:rPr>
        <w:t>（</w:t>
      </w:r>
      <w:r>
        <w:rPr>
          <w:rFonts w:hint="default" w:ascii="楷体" w:hAnsi="楷体" w:eastAsia="楷体" w:cs="楷体"/>
          <w:b w:val="0"/>
          <w:bCs/>
          <w:sz w:val="48"/>
          <w:szCs w:val="48"/>
          <w:highlight w:val="none"/>
          <w:lang w:val="en" w:eastAsia="zh-CN"/>
        </w:rPr>
        <w:t>征求意见</w:t>
      </w:r>
      <w:r>
        <w:rPr>
          <w:rFonts w:hint="eastAsia" w:ascii="楷体" w:hAnsi="楷体" w:eastAsia="楷体" w:cs="楷体"/>
          <w:b w:val="0"/>
          <w:bCs/>
          <w:sz w:val="48"/>
          <w:szCs w:val="48"/>
          <w:highlight w:val="none"/>
          <w:lang w:val="en-US" w:eastAsia="zh-CN"/>
        </w:rPr>
        <w:t>稿）</w:t>
      </w:r>
    </w:p>
    <w:p>
      <w:pPr>
        <w:keepNext w:val="0"/>
        <w:keepLines w:val="0"/>
        <w:pageBreakBefore w:val="0"/>
        <w:widowControl w:val="0"/>
        <w:kinsoku/>
        <w:wordWrap/>
        <w:overflowPunct/>
        <w:topLinePunct w:val="0"/>
        <w:autoSpaceDE/>
        <w:autoSpaceDN/>
        <w:bidi w:val="0"/>
        <w:adjustRightInd/>
        <w:snapToGrid/>
        <w:spacing w:line="600" w:lineRule="auto"/>
        <w:ind w:firstLine="0" w:firstLineChars="0"/>
        <w:jc w:val="center"/>
        <w:textAlignment w:val="auto"/>
        <w:rPr>
          <w:rFonts w:hint="eastAsia" w:ascii="宋体" w:hAnsi="宋体" w:eastAsia="宋体" w:cs="Times New Roman"/>
          <w:b/>
          <w:sz w:val="48"/>
          <w:szCs w:val="48"/>
          <w:highlight w:val="none"/>
          <w:lang w:eastAsia="zh-CN"/>
        </w:rPr>
      </w:pPr>
    </w:p>
    <w:p>
      <w:pPr>
        <w:bidi w:val="0"/>
        <w:ind w:left="0" w:leftChars="0" w:firstLine="0" w:firstLineChars="0"/>
        <w:jc w:val="center"/>
        <w:outlineLvl w:val="9"/>
        <w:rPr>
          <w:rFonts w:hint="default"/>
          <w:b w:val="0"/>
          <w:bCs w:val="0"/>
          <w:sz w:val="36"/>
          <w:szCs w:val="36"/>
          <w:highlight w:val="none"/>
          <w:lang w:val="en-US" w:eastAsia="zh-CN"/>
        </w:rPr>
      </w:pPr>
    </w:p>
    <w:p>
      <w:pPr>
        <w:bidi w:val="0"/>
        <w:ind w:left="0" w:leftChars="0" w:firstLine="0" w:firstLineChars="0"/>
        <w:jc w:val="center"/>
        <w:outlineLvl w:val="9"/>
        <w:rPr>
          <w:rFonts w:hint="eastAsia"/>
          <w:b w:val="0"/>
          <w:bCs w:val="0"/>
          <w:sz w:val="36"/>
          <w:szCs w:val="36"/>
          <w:highlight w:val="none"/>
          <w:lang w:val="en-US" w:eastAsia="zh-CN"/>
        </w:rPr>
      </w:pPr>
    </w:p>
    <w:p>
      <w:pPr>
        <w:bidi w:val="0"/>
        <w:ind w:left="0" w:leftChars="0" w:firstLine="0" w:firstLineChars="0"/>
        <w:jc w:val="center"/>
        <w:outlineLvl w:val="9"/>
        <w:rPr>
          <w:rFonts w:hint="eastAsia"/>
          <w:b w:val="0"/>
          <w:bCs w:val="0"/>
          <w:sz w:val="36"/>
          <w:szCs w:val="36"/>
          <w:highlight w:val="none"/>
          <w:lang w:val="en-US" w:eastAsia="zh-CN"/>
        </w:rPr>
      </w:pPr>
      <w:bookmarkStart w:id="1463" w:name="_GoBack"/>
      <w:bookmarkEnd w:id="1463"/>
    </w:p>
    <w:p>
      <w:pPr>
        <w:bidi w:val="0"/>
        <w:ind w:left="0" w:leftChars="0" w:firstLine="0" w:firstLineChars="0"/>
        <w:jc w:val="center"/>
        <w:outlineLvl w:val="9"/>
        <w:rPr>
          <w:rFonts w:hint="eastAsia"/>
          <w:b w:val="0"/>
          <w:bCs w:val="0"/>
          <w:sz w:val="36"/>
          <w:szCs w:val="36"/>
          <w:highlight w:val="none"/>
          <w:lang w:val="en-US" w:eastAsia="zh-CN"/>
        </w:rPr>
      </w:pPr>
    </w:p>
    <w:p>
      <w:pPr>
        <w:bidi w:val="0"/>
        <w:ind w:left="0" w:leftChars="0" w:firstLine="0" w:firstLineChars="0"/>
        <w:jc w:val="center"/>
        <w:outlineLvl w:val="9"/>
        <w:rPr>
          <w:rFonts w:hint="eastAsia"/>
          <w:b w:val="0"/>
          <w:bCs w:val="0"/>
          <w:sz w:val="36"/>
          <w:szCs w:val="36"/>
          <w:highlight w:val="none"/>
          <w:lang w:val="en-US" w:eastAsia="zh-CN"/>
        </w:rPr>
      </w:pPr>
    </w:p>
    <w:p>
      <w:pPr>
        <w:bidi w:val="0"/>
        <w:ind w:left="0" w:leftChars="0" w:firstLine="0" w:firstLineChars="0"/>
        <w:jc w:val="center"/>
        <w:outlineLvl w:val="9"/>
        <w:rPr>
          <w:rFonts w:hint="eastAsia"/>
          <w:b w:val="0"/>
          <w:bCs w:val="0"/>
          <w:sz w:val="36"/>
          <w:szCs w:val="36"/>
          <w:highlight w:val="none"/>
          <w:lang w:val="en-US" w:eastAsia="zh-CN"/>
        </w:rPr>
      </w:pPr>
    </w:p>
    <w:p>
      <w:pPr>
        <w:bidi w:val="0"/>
        <w:ind w:left="0" w:leftChars="0" w:firstLine="0" w:firstLineChars="0"/>
        <w:jc w:val="center"/>
        <w:outlineLvl w:val="9"/>
        <w:rPr>
          <w:rFonts w:hint="eastAsia"/>
          <w:b w:val="0"/>
          <w:bCs w:val="0"/>
          <w:sz w:val="36"/>
          <w:szCs w:val="36"/>
          <w:highlight w:val="none"/>
          <w:lang w:val="en-US" w:eastAsia="zh-CN"/>
        </w:rPr>
      </w:pPr>
    </w:p>
    <w:p>
      <w:pPr>
        <w:bidi w:val="0"/>
        <w:ind w:left="0" w:leftChars="0" w:firstLine="0" w:firstLineChars="0"/>
        <w:jc w:val="center"/>
        <w:outlineLvl w:val="9"/>
        <w:rPr>
          <w:rFonts w:hint="eastAsia"/>
          <w:b w:val="0"/>
          <w:bCs w:val="0"/>
          <w:sz w:val="36"/>
          <w:szCs w:val="36"/>
          <w:highlight w:val="none"/>
          <w:lang w:val="en-US" w:eastAsia="zh-CN"/>
        </w:rPr>
      </w:pPr>
    </w:p>
    <w:p>
      <w:pPr>
        <w:bidi w:val="0"/>
        <w:ind w:left="0" w:leftChars="0" w:firstLine="0" w:firstLineChars="0"/>
        <w:jc w:val="center"/>
        <w:outlineLvl w:val="9"/>
        <w:rPr>
          <w:rFonts w:hint="eastAsia"/>
          <w:b w:val="0"/>
          <w:bCs w:val="0"/>
          <w:sz w:val="36"/>
          <w:szCs w:val="36"/>
          <w:highlight w:val="none"/>
          <w:lang w:val="en-US" w:eastAsia="zh-CN"/>
        </w:rPr>
      </w:pPr>
    </w:p>
    <w:p>
      <w:pPr>
        <w:keepNext w:val="0"/>
        <w:keepLines w:val="0"/>
        <w:pageBreakBefore w:val="0"/>
        <w:widowControl/>
        <w:kinsoku/>
        <w:wordWrap/>
        <w:overflowPunct/>
        <w:topLinePunct w:val="0"/>
        <w:autoSpaceDE/>
        <w:autoSpaceDN/>
        <w:bidi w:val="0"/>
        <w:adjustRightInd/>
        <w:snapToGrid/>
        <w:spacing w:beforeLines="-2147483648" w:afterLines="-2147483648" w:line="560" w:lineRule="exact"/>
        <w:ind w:firstLine="0" w:firstLineChars="0"/>
        <w:jc w:val="center"/>
        <w:textAlignment w:val="auto"/>
        <w:outlineLvl w:val="9"/>
        <w:rPr>
          <w:rFonts w:hint="default" w:ascii="Times New Roman" w:hAnsi="Times New Roman" w:eastAsia="方正小标宋简体" w:cs="Times New Roman"/>
          <w:color w:val="000000" w:themeColor="text1"/>
          <w:sz w:val="36"/>
          <w:szCs w:val="36"/>
          <w:highlight w:val="none"/>
          <w14:textFill>
            <w14:solidFill>
              <w14:schemeClr w14:val="tx1"/>
            </w14:solidFill>
          </w14:textFill>
        </w:rPr>
        <w:sectPr>
          <w:headerReference r:id="rId5" w:type="even"/>
          <w:footerReference r:id="rId6" w:type="even"/>
          <w:pgSz w:w="11906" w:h="16838"/>
          <w:pgMar w:top="2024" w:right="1406" w:bottom="1559" w:left="1576" w:header="851" w:footer="992" w:gutter="0"/>
          <w:pgNumType w:fmt="upperRoman" w:start="1"/>
          <w:cols w:space="0" w:num="1"/>
          <w:rtlGutter w:val="0"/>
          <w:docGrid w:type="lines" w:linePitch="316" w:charSpace="0"/>
        </w:sectPr>
      </w:pPr>
      <w:r>
        <w:rPr>
          <w:rFonts w:hint="eastAsia" w:ascii="黑体" w:hAnsi="黑体" w:eastAsia="黑体" w:cs="黑体"/>
          <w:b w:val="0"/>
          <w:bCs w:val="0"/>
          <w:sz w:val="36"/>
          <w:szCs w:val="36"/>
          <w:highlight w:val="none"/>
          <w:lang w:val="en-US" w:eastAsia="zh-CN"/>
        </w:rPr>
        <w:t>2026年3月</w:t>
      </w:r>
    </w:p>
    <w:p>
      <w:pPr>
        <w:pStyle w:val="2"/>
        <w:bidi w:val="0"/>
        <w:jc w:val="center"/>
        <w:rPr>
          <w:rFonts w:hint="eastAsia" w:ascii="方正小标宋_GBK" w:hAnsi="方正小标宋_GBK" w:eastAsia="方正小标宋_GBK" w:cs="方正小标宋_GBK"/>
          <w:i w:val="0"/>
          <w:caps w:val="0"/>
          <w:color w:val="000000"/>
          <w:spacing w:val="0"/>
          <w:sz w:val="44"/>
          <w:szCs w:val="44"/>
          <w:highlight w:val="none"/>
          <w:u w:val="none"/>
          <w:shd w:val="clear" w:color="auto" w:fill="auto"/>
          <w:lang w:val="en-US" w:eastAsia="zh-CN"/>
        </w:rPr>
      </w:pPr>
      <w:bookmarkStart w:id="5" w:name="_Toc12821"/>
      <w:bookmarkStart w:id="6" w:name="_Toc27851"/>
      <w:bookmarkStart w:id="7" w:name="_Toc31885"/>
      <w:bookmarkStart w:id="8" w:name="_Toc6839"/>
      <w:bookmarkStart w:id="9" w:name="_Toc17963"/>
      <w:bookmarkStart w:id="10" w:name="_Toc3666"/>
      <w:bookmarkStart w:id="11" w:name="_Toc3588"/>
      <w:bookmarkStart w:id="12" w:name="_Toc4555"/>
      <w:bookmarkStart w:id="13" w:name="_Toc24260"/>
      <w:bookmarkStart w:id="14" w:name="_Toc97"/>
      <w:bookmarkStart w:id="15" w:name="_Toc14972"/>
      <w:bookmarkStart w:id="16" w:name="_Toc27372"/>
      <w:bookmarkStart w:id="17" w:name="_Toc9762"/>
      <w:bookmarkStart w:id="18" w:name="_Toc30103"/>
      <w:bookmarkStart w:id="19" w:name="_Toc22757"/>
      <w:bookmarkStart w:id="20" w:name="_Toc7761"/>
      <w:bookmarkStart w:id="21" w:name="_Toc14444"/>
      <w:bookmarkStart w:id="22" w:name="_Toc29433"/>
      <w:bookmarkStart w:id="23" w:name="_Toc23138"/>
      <w:bookmarkStart w:id="24" w:name="_Toc6101"/>
      <w:bookmarkStart w:id="25" w:name="_Toc6875"/>
      <w:bookmarkStart w:id="26" w:name="_Toc949"/>
      <w:bookmarkStart w:id="27" w:name="_Toc14562"/>
      <w:bookmarkStart w:id="28" w:name="_Toc32662"/>
      <w:bookmarkStart w:id="29" w:name="_Toc12823"/>
      <w:bookmarkStart w:id="30" w:name="_Toc28055"/>
      <w:bookmarkStart w:id="31" w:name="_Toc9553"/>
      <w:bookmarkStart w:id="32" w:name="_Toc25607"/>
      <w:bookmarkStart w:id="33" w:name="_Toc8828"/>
      <w:bookmarkStart w:id="34" w:name="_Toc4519"/>
      <w:bookmarkStart w:id="35" w:name="_Toc8717"/>
      <w:bookmarkStart w:id="36" w:name="_Toc5217"/>
      <w:bookmarkStart w:id="37" w:name="_Toc20116"/>
      <w:bookmarkStart w:id="38" w:name="_Toc3010"/>
      <w:bookmarkStart w:id="39" w:name="_Toc18040"/>
      <w:bookmarkStart w:id="40" w:name="_Toc2161"/>
      <w:bookmarkStart w:id="41" w:name="_Toc881"/>
      <w:bookmarkStart w:id="42" w:name="_Toc20982"/>
      <w:bookmarkStart w:id="43" w:name="_Toc26924"/>
      <w:bookmarkStart w:id="44" w:name="_Toc3382"/>
      <w:bookmarkStart w:id="45" w:name="_Toc31241"/>
      <w:bookmarkStart w:id="46" w:name="_Toc7369"/>
      <w:bookmarkStart w:id="47" w:name="_Toc324"/>
      <w:bookmarkStart w:id="48" w:name="_Toc17990"/>
      <w:bookmarkStart w:id="49" w:name="_Toc31575"/>
      <w:bookmarkStart w:id="50" w:name="_Toc6623"/>
      <w:bookmarkStart w:id="51" w:name="_Toc15354"/>
      <w:bookmarkStart w:id="52" w:name="_Toc9944"/>
      <w:r>
        <w:rPr>
          <w:rFonts w:hint="eastAsia" w:ascii="方正小标宋_GBK" w:hAnsi="方正小标宋_GBK" w:eastAsia="方正小标宋_GBK" w:cs="方正小标宋_GBK"/>
          <w:b/>
          <w:bCs/>
          <w:kern w:val="2"/>
          <w:sz w:val="44"/>
          <w:szCs w:val="44"/>
          <w:highlight w:val="none"/>
          <w:lang w:val="en-US" w:eastAsia="zh-CN" w:bidi="ar-SA"/>
        </w:rPr>
        <w:t>序  言</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bookmarkEnd w:id="0"/>
    <w:bookmarkEnd w:id="1"/>
    <w:bookmarkEnd w:id="2"/>
    <w:bookmarkEnd w:id="51"/>
    <w:bookmarkEnd w:id="52"/>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农业农村现代化关系中国式现代化全局和成色。到2035年农业现代化基本实现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农村基本具备现代生活条件</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需要经过三个五年规划的接续奋斗</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十四五</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时期已实现良好开局，打下坚实基础。</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十五五</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时期是夯实基础、全面发力的关键时期，在基本实现农业农村现代化进程中具有承前启后的重要地位。</w:t>
      </w:r>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面对海南自由贸易港全岛封关运作给</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“三农”</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带来的新机遇新挑战，必须立足国家战略、国际视角，系统谋划、一体推进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海南省</w:t>
      </w:r>
      <w:r>
        <w:rPr>
          <w:rFonts w:hint="eastAsia" w:ascii="仿宋_GB2312" w:hAnsi="仿宋_GB2312" w:eastAsia="仿宋_GB2312" w:cs="仿宋_GB2312"/>
          <w:color w:val="000000" w:themeColor="text1"/>
          <w:sz w:val="32"/>
          <w:szCs w:val="32"/>
          <w:highlight w:val="none"/>
          <w14:textFill>
            <w14:solidFill>
              <w14:schemeClr w14:val="tx1"/>
            </w14:solidFill>
          </w14:textFill>
        </w:rPr>
        <w:t>“十五五”</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农业农村现代化，</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全面提升热带特色高效农业质量效益和国际竞争力，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推动海南农村经济社会持续健康发展，为如期基本实现农业农村现代化</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和建设农业强省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奠定基础。</w:t>
      </w:r>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依据《加快建设农业强国规划（2024</w:t>
      </w:r>
      <w:r>
        <w:rPr>
          <w:rFonts w:hint="eastAsia" w:ascii="仿宋_GB2312" w:hAnsi="仿宋_GB2312" w:eastAsia="仿宋_GB2312" w:cs="仿宋_GB2312"/>
          <w:i w:val="0"/>
          <w:caps w:val="0"/>
          <w:color w:val="000000"/>
          <w:spacing w:val="0"/>
          <w:sz w:val="32"/>
          <w:szCs w:val="32"/>
          <w:highlight w:val="none"/>
          <w:u w:val="none"/>
          <w:shd w:val="clear" w:color="auto" w:fill="auto"/>
          <w:lang w:val="en-US" w:eastAsia="zh-CN"/>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2035年）》《乡村全面振兴规划（2024</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2027年）》《中共海南省委关于制定国民经济和社会发展第十五个五年规划的建议》</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海南省国民经济和社会发展第十五个五年规划纲要</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等</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，在总结</w:t>
      </w:r>
      <w:r>
        <w:rPr>
          <w:rFonts w:hint="eastAsia" w:ascii="仿宋_GB2312" w:hAnsi="仿宋_GB2312" w:eastAsia="仿宋_GB2312" w:cs="仿宋_GB2312"/>
          <w:color w:val="000000" w:themeColor="text1"/>
          <w:sz w:val="32"/>
          <w:szCs w:val="32"/>
          <w:highlight w:val="none"/>
          <w14:textFill>
            <w14:solidFill>
              <w14:schemeClr w14:val="tx1"/>
            </w14:solidFill>
          </w14:textFill>
        </w:rPr>
        <w:t>“十四五”</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发展成就与经验，分析研究</w:t>
      </w:r>
      <w:r>
        <w:rPr>
          <w:rFonts w:hint="eastAsia" w:ascii="仿宋_GB2312" w:hAnsi="仿宋_GB2312" w:eastAsia="仿宋_GB2312" w:cs="仿宋_GB2312"/>
          <w:color w:val="000000" w:themeColor="text1"/>
          <w:sz w:val="32"/>
          <w:szCs w:val="32"/>
          <w:highlight w:val="none"/>
          <w14:textFill>
            <w14:solidFill>
              <w14:schemeClr w14:val="tx1"/>
            </w14:solidFill>
          </w14:textFill>
        </w:rPr>
        <w:t>“十五五”</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面临的形势和目标任务基础上，编制形成本规划。</w:t>
      </w:r>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sectPr>
          <w:footerReference r:id="rId7" w:type="default"/>
          <w:footerReference r:id="rId8" w:type="even"/>
          <w:pgSz w:w="11906" w:h="16838"/>
          <w:pgMar w:top="2024" w:right="1406" w:bottom="1559" w:left="1576" w:header="851" w:footer="992" w:gutter="0"/>
          <w:pgBorders>
            <w:top w:val="none" w:sz="0" w:space="0"/>
            <w:left w:val="none" w:sz="0" w:space="0"/>
            <w:bottom w:val="none" w:sz="0" w:space="0"/>
            <w:right w:val="none" w:sz="0" w:space="0"/>
          </w:pgBorders>
          <w:pgNumType w:fmt="upperRoman" w:start="1"/>
          <w:cols w:space="0" w:num="1"/>
          <w:rtlGutter w:val="0"/>
          <w:docGrid w:type="lines" w:linePitch="316" w:charSpace="0"/>
        </w:sectPr>
      </w:pPr>
    </w:p>
    <w:sdt>
      <w:sdtP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id w:val="147459049"/>
        <w15:color w:val="DBDBDB"/>
        <w:docPartObj>
          <w:docPartGallery w:val="Table of Contents"/>
          <w:docPartUnique/>
        </w:docPartObj>
      </w:sdtPr>
      <w:sdtEndPr>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sdtEndPr>
      <w:sdtContent>
        <w:p>
          <w:pPr>
            <w:spacing w:before="0" w:beforeLines="0" w:after="0" w:afterLines="0" w:line="560" w:lineRule="exact"/>
            <w:ind w:left="0" w:leftChars="0" w:right="0" w:rightChars="0" w:firstLine="0" w:firstLineChars="0"/>
            <w:jc w:val="center"/>
            <w:rPr>
              <w:rFonts w:ascii="Times New Roman" w:hAnsi="Times New Roman" w:eastAsia="方正小标宋简体"/>
              <w:color w:val="000000" w:themeColor="text1"/>
              <w:sz w:val="36"/>
              <w:szCs w:val="36"/>
              <w:highlight w:val="none"/>
              <w14:textFill>
                <w14:solidFill>
                  <w14:schemeClr w14:val="tx1"/>
                </w14:solidFill>
              </w14:textFill>
            </w:rPr>
          </w:pPr>
          <w:r>
            <w:rPr>
              <w:rFonts w:hint="eastAsia" w:ascii="宋体" w:hAnsi="宋体" w:eastAsia="宋体" w:cs="宋体"/>
              <w:b/>
              <w:sz w:val="44"/>
              <w:szCs w:val="44"/>
              <w:highlight w:val="none"/>
            </w:rPr>
            <w:t>目</w:t>
          </w:r>
          <w:r>
            <w:rPr>
              <w:rFonts w:hint="eastAsia" w:ascii="宋体" w:hAnsi="宋体" w:eastAsia="宋体" w:cs="宋体"/>
              <w:b/>
              <w:sz w:val="44"/>
              <w:szCs w:val="44"/>
              <w:highlight w:val="none"/>
              <w:lang w:val="en-US" w:eastAsia="zh-CN"/>
            </w:rPr>
            <w:t xml:space="preserve">  </w:t>
          </w:r>
          <w:r>
            <w:rPr>
              <w:rFonts w:hint="eastAsia" w:ascii="宋体" w:hAnsi="宋体" w:eastAsia="宋体" w:cs="宋体"/>
              <w:b/>
              <w:sz w:val="44"/>
              <w:szCs w:val="44"/>
              <w:highlight w:val="none"/>
            </w:rPr>
            <w:t>录</w:t>
          </w:r>
        </w:p>
        <w:p>
          <w:pPr>
            <w:pStyle w:val="13"/>
            <w:tabs>
              <w:tab w:val="right" w:leader="dot" w:pos="8924"/>
            </w:tabs>
            <w:spacing w:line="560" w:lineRule="exact"/>
          </w:pPr>
          <w:r>
            <w:rPr>
              <w:rFonts w:ascii="Times New Roman" w:hAnsi="Times New Roman" w:cs="Times New Roman"/>
              <w:color w:val="000000" w:themeColor="text1"/>
              <w:sz w:val="24"/>
              <w14:textFill>
                <w14:solidFill>
                  <w14:schemeClr w14:val="tx1"/>
                </w14:solidFill>
              </w14:textFill>
            </w:rPr>
            <w:fldChar w:fldCharType="begin"/>
          </w:r>
          <w:r>
            <w:rPr>
              <w:rFonts w:ascii="Times New Roman" w:hAnsi="Times New Roman" w:cs="Times New Roman"/>
              <w:color w:val="000000" w:themeColor="text1"/>
              <w:sz w:val="24"/>
              <w14:textFill>
                <w14:solidFill>
                  <w14:schemeClr w14:val="tx1"/>
                </w14:solidFill>
              </w14:textFill>
            </w:rPr>
            <w:instrText xml:space="preserve">TOC \o "1-9" \h \u </w:instrText>
          </w:r>
          <w:r>
            <w:rPr>
              <w:rFonts w:ascii="Times New Roman" w:hAnsi="Times New Roman" w:cs="Times New Roman"/>
              <w:color w:val="000000" w:themeColor="text1"/>
              <w:sz w:val="24"/>
              <w14:textFill>
                <w14:solidFill>
                  <w14:schemeClr w14:val="tx1"/>
                </w14:solidFill>
              </w14:textFill>
            </w:rPr>
            <w:fldChar w:fldCharType="separate"/>
          </w:r>
        </w:p>
        <w:p>
          <w:pPr>
            <w:pStyle w:val="13"/>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_Toc29220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第一章</w:t>
          </w:r>
          <w:r>
            <w:rPr>
              <w:rFonts w:hint="default"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rPr>
            <w:t>科学把握农业农村发展新形势</w:t>
          </w:r>
          <w:r>
            <w:rPr>
              <w:rFonts w:hint="default"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rPr>
            <w:t>加快农业农村现代化</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_Toc29220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1</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_Toc15328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第一节 发展基础</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_Toc15328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1</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_Toc15485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第二节 面临形势</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_Toc15485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3</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_Toc12314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第三节 总体要求</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_Toc12314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_Toc920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rPr>
            <w:t>一、指导思想</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_Toc920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5</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_Toc4625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rPr>
            <w:t>二、基本原则</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_Toc4625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6</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_Toc20476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第四节 战略重点</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_Toc20476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7</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_Toc3495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 xml:space="preserve">第五节 </w:t>
          </w:r>
          <w:r>
            <w:rPr>
              <w:rFonts w:hint="default" w:ascii="Times New Roman" w:hAnsi="Times New Roman" w:eastAsia="黑体" w:cs="Times New Roman"/>
              <w:sz w:val="28"/>
              <w:szCs w:val="28"/>
              <w:highlight w:val="none"/>
              <w:lang w:val="en-US" w:eastAsia="zh-CN"/>
            </w:rPr>
            <w:t>发展布局</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_Toc3495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9</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_Toc5135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一、区域布局</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_Toc5135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9</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_Toc4498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二、乡村布局</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_Toc4498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10</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ascii="Times New Roman" w:hAnsi="Times New Roman" w:cs="Times New Roman"/>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_Toc14855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三、产业布局</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_Toc14855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10</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_Toc9242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w:t>
          </w:r>
          <w:r>
            <w:rPr>
              <w:rFonts w:hint="default" w:ascii="Times New Roman" w:hAnsi="Times New Roman" w:eastAsia="黑体" w:cs="Times New Roman"/>
              <w:sz w:val="28"/>
              <w:szCs w:val="28"/>
              <w:highlight w:val="none"/>
              <w:lang w:val="en-US" w:eastAsia="zh-CN"/>
            </w:rPr>
            <w:t>六</w:t>
          </w:r>
          <w:r>
            <w:rPr>
              <w:rFonts w:hint="default" w:ascii="Times New Roman" w:hAnsi="Times New Roman" w:eastAsia="黑体" w:cs="Times New Roman"/>
              <w:sz w:val="28"/>
              <w:szCs w:val="28"/>
              <w:highlight w:val="none"/>
            </w:rPr>
            <w:t>节 主要目标</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_Toc9242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11</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3"/>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_Toc10296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第二章  聚焦国家重大战略需求</w:t>
          </w:r>
          <w:r>
            <w:rPr>
              <w:rFonts w:hint="default"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rPr>
            <w:t>做好南繁种业与橡胶保供两篇文章</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_Toc10296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15</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_Toc5230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第一节 加快建设服务全国的南繁硅谷</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_Toc5230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15</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_Toc24787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一、高标准建设南繁科技城</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_Toc24787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15</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_Toc1927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二、优化提升国家南繁科研育种基地</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_Toc1927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15</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_Toc1209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三、推动全球动植物种质资源引进中转基地高效发展</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_Toc1209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16</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_Toc14950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eastAsia="zh-CN"/>
            </w:rPr>
            <w:t>四、做大做强</w:t>
          </w:r>
          <w:r>
            <w:rPr>
              <w:rFonts w:hint="eastAsia" w:ascii="Times New Roman" w:hAnsi="Times New Roman" w:eastAsia="楷体" w:cs="Times New Roman"/>
              <w:bCs w:val="0"/>
              <w:sz w:val="28"/>
              <w:szCs w:val="28"/>
              <w:highlight w:val="none"/>
            </w:rPr>
            <w:t>“</w:t>
          </w:r>
          <w:r>
            <w:rPr>
              <w:rFonts w:hint="default" w:ascii="Times New Roman" w:hAnsi="Times New Roman" w:eastAsia="楷体" w:cs="Times New Roman"/>
              <w:bCs w:val="0"/>
              <w:sz w:val="28"/>
              <w:szCs w:val="28"/>
              <w:highlight w:val="none"/>
            </w:rPr>
            <w:t>种源+种业+种市</w:t>
          </w:r>
          <w:r>
            <w:rPr>
              <w:rFonts w:hint="eastAsia" w:ascii="Times New Roman" w:hAnsi="Times New Roman" w:eastAsia="楷体" w:cs="Times New Roman"/>
              <w:bCs w:val="0"/>
              <w:sz w:val="28"/>
              <w:szCs w:val="28"/>
              <w:highlight w:val="none"/>
            </w:rPr>
            <w:t>”</w:t>
          </w:r>
          <w:r>
            <w:rPr>
              <w:rFonts w:hint="default" w:ascii="Times New Roman" w:hAnsi="Times New Roman" w:eastAsia="楷体" w:cs="Times New Roman"/>
              <w:bCs w:val="0"/>
              <w:sz w:val="28"/>
              <w:szCs w:val="28"/>
              <w:highlight w:val="none"/>
            </w:rPr>
            <w:t>南繁产业</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_Toc14950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16</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_Toc19970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w:t>
          </w:r>
          <w:r>
            <w:rPr>
              <w:rFonts w:hint="default" w:ascii="Times New Roman" w:hAnsi="Times New Roman" w:eastAsia="黑体" w:cs="Times New Roman"/>
              <w:sz w:val="28"/>
              <w:szCs w:val="28"/>
              <w:highlight w:val="none"/>
              <w:lang w:eastAsia="zh-CN"/>
            </w:rPr>
            <w:t>二</w:t>
          </w:r>
          <w:r>
            <w:rPr>
              <w:rFonts w:hint="default" w:ascii="Times New Roman" w:hAnsi="Times New Roman" w:eastAsia="黑体" w:cs="Times New Roman"/>
              <w:sz w:val="28"/>
              <w:szCs w:val="28"/>
              <w:highlight w:val="none"/>
            </w:rPr>
            <w:t>节 提升天然橡胶生产能力和质量效益</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_Toc19970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17</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_Toc32758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rPr>
            <w:t>一、建设高端标准化胶园</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_Toc32758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17</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_Toc17332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rPr>
            <w:t>二、建设现代化橡胶产业园</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_Toc17332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17</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_Toc19419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rPr>
            <w:t>三、扩展天然橡胶贸易业务</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_Toc19419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18</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_Toc22705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rPr>
            <w:t>四、推动橡胶产学研体系化攻关</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_Toc22705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18</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_Toc9210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rPr>
            <w:t>五、做强天然橡胶产业发展基金</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_Toc9210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18</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13"/>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_Toc31496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第三章  全链条推动农业产业体系转型升级</w:t>
          </w:r>
          <w:r>
            <w:rPr>
              <w:rFonts w:hint="default"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rPr>
            <w:t>加快农业现代化</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_Toc31496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20</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_Toc31127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第一节 构建特色优势现代农业产业体系</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_Toc31127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20</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_Toc22596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一、全方位夯实粮食安全根基</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_Toc22596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20</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_Toc22976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二、做精做优冬季瓜菜产业</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_Toc22976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21</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_Toc7279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三、做大做强热带优异水果产业</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_Toc7279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22</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_Toc24552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四、因地制宜发展热带作物产业</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_Toc24552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23</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_Toc4127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五、大力发展林业和林下经济</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_Toc4127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25</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_Toc23873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六、推动畜禽产业高质量发展</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_Toc23873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26</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_Toc673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七、深化渔业</w:t>
          </w:r>
          <w:r>
            <w:rPr>
              <w:rFonts w:hint="eastAsia" w:ascii="Times New Roman" w:hAnsi="Times New Roman" w:eastAsia="楷体" w:cs="Times New Roman"/>
              <w:bCs w:val="0"/>
              <w:sz w:val="28"/>
              <w:szCs w:val="28"/>
              <w:highlight w:val="none"/>
              <w:lang w:val="en-US" w:eastAsia="zh-CN"/>
            </w:rPr>
            <w:t>“</w:t>
          </w:r>
          <w:r>
            <w:rPr>
              <w:rFonts w:hint="default" w:ascii="Times New Roman" w:hAnsi="Times New Roman" w:eastAsia="楷体" w:cs="Times New Roman"/>
              <w:bCs w:val="0"/>
              <w:sz w:val="28"/>
              <w:szCs w:val="28"/>
              <w:highlight w:val="none"/>
              <w:lang w:val="en-US" w:eastAsia="zh-CN"/>
            </w:rPr>
            <w:t>三走</w:t>
          </w:r>
          <w:r>
            <w:rPr>
              <w:rFonts w:hint="eastAsia" w:ascii="Times New Roman" w:hAnsi="Times New Roman" w:eastAsia="楷体" w:cs="Times New Roman"/>
              <w:bCs w:val="0"/>
              <w:sz w:val="28"/>
              <w:szCs w:val="28"/>
              <w:highlight w:val="none"/>
              <w:lang w:val="en-US" w:eastAsia="zh-CN"/>
            </w:rPr>
            <w:t>”</w:t>
          </w:r>
          <w:r>
            <w:rPr>
              <w:rFonts w:hint="default" w:ascii="Times New Roman" w:hAnsi="Times New Roman" w:eastAsia="楷体" w:cs="Times New Roman"/>
              <w:bCs w:val="0"/>
              <w:sz w:val="28"/>
              <w:szCs w:val="28"/>
              <w:highlight w:val="none"/>
              <w:lang w:val="en-US" w:eastAsia="zh-CN"/>
            </w:rPr>
            <w:t>转型</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_Toc673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27</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_Toc20397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八、打造国际热带农产品加工中心</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_Toc20397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30</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ascii="Times New Roman" w:hAnsi="Times New Roman" w:cs="Times New Roman"/>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_Toc15475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九、打造一流乡村旅游目的地</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_Toc15475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31</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_Toc1633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第二节 打造绿色高效现代农业生产体系</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_Toc1633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33</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_Toc17186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一、加快发展现代设施农业</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_Toc17186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34</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_Toc5169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二、大力发展智慧农业</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_Toc5169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34</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_Toc28609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三、积极发展绿色农业</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_Toc28609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34</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_Toc718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四、统筹发展品牌农业</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_Toc718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35</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_Toc25247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五、稳步发展质量农业</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_Toc25247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36</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_Toc6574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六、补齐农业机械化短板</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_Toc6574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36</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ascii="Times New Roman" w:hAnsi="Times New Roman" w:cs="Times New Roman"/>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_Toc19625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七、提升农业防灾减灾救灾能力</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_Toc19625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37</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_Toc332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第三节 健全立体式复合型现代农业经营体系</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_Toc332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39</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_Toc14150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一、充分发挥农垦与供销系统引领作用</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_Toc14150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39</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_Toc1093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二、着力培育新型农业经营主体和社会化服务组织</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_Toc1093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39</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hint="default" w:ascii="Times New Roman" w:hAnsi="Times New Roman" w:eastAsia="楷体" w:cs="Times New Roman"/>
              <w:sz w:val="28"/>
              <w:szCs w:val="28"/>
              <w:highlight w:val="none"/>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_Toc2160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val="en-US" w:eastAsia="zh-CN"/>
            </w:rPr>
            <w:t>三、健全农业企业联农带农机制</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_Toc2160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40</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9"/>
            <w:tabs>
              <w:tab w:val="right" w:leader="dot" w:pos="8924"/>
            </w:tabs>
            <w:spacing w:line="560" w:lineRule="exact"/>
            <w:rPr>
              <w:rFonts w:ascii="Times New Roman" w:hAnsi="Times New Roman" w:cs="Times New Roman"/>
            </w:rPr>
          </w:pP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HYPERLINK \l _Toc21159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bCs w:val="0"/>
              <w:sz w:val="28"/>
              <w:szCs w:val="28"/>
              <w:highlight w:val="none"/>
              <w:lang w:eastAsia="zh-CN"/>
            </w:rPr>
            <w:t>四、</w:t>
          </w:r>
          <w:r>
            <w:rPr>
              <w:rFonts w:hint="default" w:ascii="Times New Roman" w:hAnsi="Times New Roman" w:eastAsia="楷体" w:cs="Times New Roman"/>
              <w:bCs w:val="0"/>
              <w:i w:val="0"/>
              <w:iCs w:val="0"/>
              <w:caps w:val="0"/>
              <w:spacing w:val="0"/>
              <w:kern w:val="2"/>
              <w:sz w:val="28"/>
              <w:szCs w:val="28"/>
              <w:highlight w:val="none"/>
              <w:shd w:val="clear"/>
              <w:lang w:val="en-US" w:eastAsia="zh-CN" w:bidi="ar"/>
            </w:rPr>
            <w:t>持续完善农产品产运销体系</w:t>
          </w:r>
          <w:r>
            <w:rPr>
              <w:rFonts w:hint="default" w:ascii="Times New Roman" w:hAnsi="Times New Roman" w:eastAsia="楷体" w:cs="Times New Roman"/>
              <w:sz w:val="28"/>
              <w:szCs w:val="28"/>
              <w:highlight w:val="none"/>
            </w:rPr>
            <w:tab/>
          </w:r>
          <w:r>
            <w:rPr>
              <w:rFonts w:hint="default" w:ascii="Times New Roman" w:hAnsi="Times New Roman" w:eastAsia="楷体" w:cs="Times New Roman"/>
              <w:sz w:val="28"/>
              <w:szCs w:val="28"/>
              <w:highlight w:val="none"/>
            </w:rPr>
            <w:fldChar w:fldCharType="begin"/>
          </w:r>
          <w:r>
            <w:rPr>
              <w:rFonts w:hint="default" w:ascii="Times New Roman" w:hAnsi="Times New Roman" w:eastAsia="楷体" w:cs="Times New Roman"/>
              <w:sz w:val="28"/>
              <w:szCs w:val="28"/>
              <w:highlight w:val="none"/>
            </w:rPr>
            <w:instrText xml:space="preserve"> PAGEREF _Toc21159 \h </w:instrText>
          </w:r>
          <w:r>
            <w:rPr>
              <w:rFonts w:hint="default" w:ascii="Times New Roman" w:hAnsi="Times New Roman" w:eastAsia="楷体" w:cs="Times New Roman"/>
              <w:sz w:val="28"/>
              <w:szCs w:val="28"/>
              <w:highlight w:val="none"/>
            </w:rPr>
            <w:fldChar w:fldCharType="separate"/>
          </w:r>
          <w:r>
            <w:rPr>
              <w:rFonts w:hint="default" w:ascii="Times New Roman" w:hAnsi="Times New Roman" w:eastAsia="楷体" w:cs="Times New Roman"/>
              <w:sz w:val="28"/>
              <w:szCs w:val="28"/>
              <w:highlight w:val="none"/>
            </w:rPr>
            <w:t>40</w:t>
          </w:r>
          <w:r>
            <w:rPr>
              <w:rFonts w:hint="default" w:ascii="Times New Roman" w:hAnsi="Times New Roman" w:eastAsia="楷体" w:cs="Times New Roman"/>
              <w:sz w:val="28"/>
              <w:szCs w:val="28"/>
              <w:highlight w:val="none"/>
            </w:rPr>
            <w:fldChar w:fldCharType="end"/>
          </w:r>
          <w:r>
            <w:rPr>
              <w:rFonts w:hint="default" w:ascii="Times New Roman" w:hAnsi="Times New Roman" w:eastAsia="楷体" w:cs="Times New Roman"/>
              <w:sz w:val="28"/>
              <w:szCs w:val="28"/>
              <w:highlight w:val="none"/>
            </w:rPr>
            <w:fldChar w:fldCharType="end"/>
          </w:r>
        </w:p>
        <w:p>
          <w:pPr>
            <w:pStyle w:val="13"/>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_Toc10540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第四章  促进县域城乡融合发展</w:t>
          </w:r>
          <w:r>
            <w:rPr>
              <w:rFonts w:hint="default"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rPr>
            <w:t>加快农村现代化</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_Toc10540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42</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_Toc5901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第一节 高质量推进宜居宜业和美乡村建设</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_Toc5901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42</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_Toc23068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第二节 推动城乡要素双向流动</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_Toc23068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42</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_Toc13647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第三节 提高农村基础设施完备度</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_Toc13647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43</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_Toc13484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第四节 提高农村基本公共服务便利度</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_Toc13484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44</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_Toc30933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第五节 提高农村人居环境舒适度</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_Toc30933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44</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3"/>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_Toc14761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第五章  坚持物质文明和精神文明协调发展</w:t>
          </w:r>
          <w:r>
            <w:rPr>
              <w:rFonts w:hint="default"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rPr>
            <w:t>加快农民现代化</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_Toc14761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47</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_Toc31761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第一节 持续巩固拓展脱贫攻坚成果</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_Toc31761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47</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_Toc13307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第二节</w:t>
          </w:r>
          <w:r>
            <w:rPr>
              <w:rFonts w:hint="default"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rPr>
            <w:t>常态化开展产业帮扶</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_Toc13307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47</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_Toc23614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w:t>
          </w:r>
          <w:r>
            <w:rPr>
              <w:rFonts w:hint="default" w:ascii="Times New Roman" w:hAnsi="Times New Roman" w:eastAsia="黑体" w:cs="Times New Roman"/>
              <w:sz w:val="28"/>
              <w:szCs w:val="28"/>
              <w:highlight w:val="none"/>
            </w:rPr>
            <w:t>三</w:t>
          </w:r>
          <w:r>
            <w:rPr>
              <w:rFonts w:hint="default" w:ascii="Times New Roman" w:hAnsi="Times New Roman" w:eastAsia="黑体" w:cs="Times New Roman"/>
              <w:sz w:val="28"/>
              <w:szCs w:val="28"/>
              <w:highlight w:val="none"/>
              <w:lang w:val="en-US" w:eastAsia="zh-CN"/>
            </w:rPr>
            <w:t>节 拓宽农民增收致富渠道</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_Toc23614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48</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_Toc8813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第四节 全面促进农村消费扩容升级</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_Toc8813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49</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_Toc3164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第五节 加强农村精神文明建设</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_Toc3164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49</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_Toc11257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第六节 全面提高农民综合素质</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_Toc11257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50</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3"/>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_Toc28522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第六章  完善党全面领导基层治理制度</w:t>
          </w:r>
          <w:r>
            <w:rPr>
              <w:rFonts w:hint="default"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rPr>
            <w:t>加快乡村治理现代化</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_Toc28522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53</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_Toc5581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第一节 加强农村基层党组织建设</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_Toc5581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53</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_Toc6465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第二节 加强乡镇政权治理能力建设</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_Toc6465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53</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_Toc8590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第三节 健全村民自治制度</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_Toc8590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54</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_Toc16857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第四节 推进乡村法治和德治建设</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_Toc16857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54</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_Toc8663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第五节 加强乡村智慧治理建设</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_Toc8663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55</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3"/>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_Toc6491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 xml:space="preserve">第七章  </w:t>
          </w:r>
          <w:r>
            <w:rPr>
              <w:rFonts w:hint="default" w:ascii="Times New Roman" w:hAnsi="Times New Roman" w:eastAsia="黑体" w:cs="Times New Roman"/>
              <w:sz w:val="28"/>
              <w:szCs w:val="28"/>
              <w:highlight w:val="none"/>
              <w:lang w:eastAsia="zh-CN"/>
            </w:rPr>
            <w:t>高标准打造农业科技创新高地</w:t>
          </w:r>
          <w:r>
            <w:rPr>
              <w:rFonts w:hint="default" w:ascii="Times New Roman" w:hAnsi="Times New Roman" w:eastAsia="黑体" w:cs="Times New Roman"/>
              <w:sz w:val="28"/>
              <w:szCs w:val="28"/>
              <w:highlight w:val="none"/>
              <w:lang w:val="en-US" w:eastAsia="zh-CN"/>
            </w:rPr>
            <w:t xml:space="preserve"> </w:t>
          </w:r>
          <w:r>
            <w:rPr>
              <w:rFonts w:hint="default" w:ascii="Times New Roman" w:hAnsi="Times New Roman" w:eastAsia="黑体" w:cs="Times New Roman"/>
              <w:sz w:val="28"/>
              <w:szCs w:val="28"/>
              <w:highlight w:val="none"/>
            </w:rPr>
            <w:t>大力发展农业新质生产力</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_Toc6491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57</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_Toc26637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第一节 加快提升农业科技创新体系整体效能</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_Toc26637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57</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_Toc12591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第二节 以农业科技创新推动农业产业创新</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_Toc12591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57</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_Toc4665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第三节 扎实推进农业科技体制机制创新</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_Toc4665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58</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_Toc6400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第四节 推进农业教育科技人才一体化发展</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_Toc6400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59</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3"/>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_Toc25252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kern w:val="2"/>
              <w:sz w:val="28"/>
              <w:szCs w:val="28"/>
              <w:highlight w:val="none"/>
              <w:lang w:val="en-US" w:eastAsia="zh-CN" w:bidi="ar-SA"/>
            </w:rPr>
            <w:t xml:space="preserve">第八章  </w:t>
          </w:r>
          <w:r>
            <w:rPr>
              <w:rFonts w:hint="default" w:ascii="Times New Roman" w:hAnsi="Times New Roman" w:eastAsia="黑体" w:cs="Times New Roman"/>
              <w:spacing w:val="-11"/>
              <w:w w:val="100"/>
              <w:kern w:val="2"/>
              <w:sz w:val="28"/>
              <w:szCs w:val="28"/>
              <w:highlight w:val="none"/>
              <w:lang w:val="en-US" w:eastAsia="zh-CN" w:bidi="ar-SA"/>
            </w:rPr>
            <w:t>高水平打造农业对外开放高地 助力高标准建设海南自由贸易港</w:t>
          </w:r>
          <w:r>
            <w:rPr>
              <w:rFonts w:hint="default" w:ascii="Times New Roman" w:hAnsi="Times New Roman" w:eastAsia="黑体" w:cs="Times New Roman"/>
              <w:spacing w:val="-11"/>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_Toc25252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61</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_Toc1891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第一节 建设热带农业科技中心和交流平台</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_Toc1891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61</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_Toc12224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第二节 打造热带农产品贸易中心</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_Toc12224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62</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_Toc9306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第三节 加大农业对外引资和投资力度</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_Toc9306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62</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_Toc3692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第四节 促进贸易和生产协调发展</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_Toc3692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63</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3"/>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_Toc6030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第九章  进一步深化农村改革 持续释放农业农村发展活力</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_Toc6030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65</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_Toc4585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第一节 统筹推进农村土地制度改革</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_Toc4585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65</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_Toc21078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第二节 持续发展壮大新型农村集体经济</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_Toc21078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65</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_Toc26358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第三节 推动垦地深度融合发展</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_Toc26358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66</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_Toc13582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第四节 深化供销合作社综合改革</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_Toc13582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67</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3"/>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_Toc17845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第十章  健全规划实施保障机制</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_Toc17845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69</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_Toc5637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第一节 加强组织领导</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_Toc5637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69</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_Toc11052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第二节 强化政策支持</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_Toc11052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69</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_Toc9126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第三节 加大资金投入</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_Toc9126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70</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_Toc27703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第四节 筑牢风险防线</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_Toc27703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70</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15"/>
            <w:tabs>
              <w:tab w:val="right" w:leader="dot" w:pos="8924"/>
            </w:tabs>
            <w:spacing w:line="560" w:lineRule="exact"/>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_Toc18488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第五节 开展评估考核</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_Toc18488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71</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rPr>
              <w:rFonts w:hint="default" w:ascii="Times New Roman" w:hAnsi="Times New Roman" w:eastAsia="黑体" w:cs="Times New Roman"/>
              <w:b w:val="0"/>
              <w:bCs/>
              <w:color w:val="000000" w:themeColor="text1"/>
              <w:sz w:val="32"/>
              <w:szCs w:val="32"/>
              <w:highlight w:val="none"/>
              <w14:textFill>
                <w14:solidFill>
                  <w14:schemeClr w14:val="tx1"/>
                </w14:solidFill>
              </w14:textFill>
            </w:rPr>
            <w:sectPr>
              <w:footerReference r:id="rId9" w:type="default"/>
              <w:pgSz w:w="11906" w:h="16838"/>
              <w:pgMar w:top="2024" w:right="1406" w:bottom="1559" w:left="1576" w:header="851" w:footer="992" w:gutter="0"/>
              <w:pgBorders>
                <w:top w:val="none" w:sz="0" w:space="0"/>
                <w:left w:val="none" w:sz="0" w:space="0"/>
                <w:bottom w:val="none" w:sz="0" w:space="0"/>
                <w:right w:val="none" w:sz="0" w:space="0"/>
              </w:pgBorders>
              <w:pgNumType w:fmt="upperRoman" w:start="1"/>
              <w:cols w:space="0" w:num="1"/>
              <w:rtlGutter w:val="0"/>
              <w:docGrid w:type="lines" w:linePitch="318" w:charSpace="0"/>
            </w:sectPr>
          </w:pPr>
          <w:r>
            <w:rPr>
              <w:rFonts w:ascii="Times New Roman" w:hAnsi="Times New Roman" w:cs="Times New Roman"/>
              <w:color w:val="000000" w:themeColor="text1"/>
              <w:szCs w:val="24"/>
              <w14:textFill>
                <w14:solidFill>
                  <w14:schemeClr w14:val="tx1"/>
                </w14:solidFill>
              </w14:textFill>
            </w:rPr>
            <w:fldChar w:fldCharType="end"/>
          </w:r>
          <w:bookmarkStart w:id="53" w:name="_Toc32146"/>
          <w:bookmarkStart w:id="54" w:name="_Toc8575"/>
          <w:bookmarkStart w:id="55" w:name="_Toc1445"/>
        </w:p>
      </w:sdtContent>
    </w:sdt>
    <w:p>
      <w:pPr>
        <w:jc w:val="center"/>
        <w:outlineLvl w:val="0"/>
        <w:rPr>
          <w:rFonts w:hint="eastAsia" w:ascii="黑体" w:hAnsi="黑体" w:eastAsia="黑体" w:cs="黑体"/>
          <w:color w:val="000000" w:themeColor="text1"/>
          <w:sz w:val="36"/>
          <w:szCs w:val="36"/>
          <w:highlight w:val="none"/>
          <w14:textFill>
            <w14:solidFill>
              <w14:schemeClr w14:val="tx1"/>
            </w14:solidFill>
          </w14:textFill>
        </w:rPr>
      </w:pPr>
      <w:bookmarkStart w:id="56" w:name="_Toc27759"/>
      <w:bookmarkStart w:id="57" w:name="_Toc11018"/>
      <w:bookmarkStart w:id="58" w:name="_Toc207"/>
      <w:bookmarkStart w:id="59" w:name="_Toc18031"/>
      <w:bookmarkStart w:id="60" w:name="_Toc12534"/>
      <w:bookmarkStart w:id="61" w:name="_Toc18068"/>
      <w:bookmarkStart w:id="62" w:name="_Toc29220"/>
      <w:bookmarkStart w:id="63" w:name="_Toc17042"/>
      <w:bookmarkStart w:id="64" w:name="_Toc1598"/>
      <w:bookmarkStart w:id="65" w:name="_Toc9448"/>
      <w:bookmarkStart w:id="66" w:name="_Toc16095"/>
      <w:bookmarkStart w:id="67" w:name="_Toc27474"/>
      <w:r>
        <w:rPr>
          <w:rFonts w:hint="eastAsia" w:ascii="黑体" w:hAnsi="黑体" w:eastAsia="黑体" w:cs="黑体"/>
          <w:color w:val="000000" w:themeColor="text1"/>
          <w:sz w:val="36"/>
          <w:szCs w:val="36"/>
          <w:highlight w:val="none"/>
          <w14:textFill>
            <w14:solidFill>
              <w14:schemeClr w14:val="tx1"/>
            </w14:solidFill>
          </w14:textFill>
        </w:rPr>
        <w:t>第一章</w:t>
      </w:r>
      <w:r>
        <w:rPr>
          <w:rFonts w:hint="eastAsia" w:ascii="黑体" w:hAnsi="黑体" w:eastAsia="黑体" w:cs="黑体"/>
          <w:color w:val="000000" w:themeColor="text1"/>
          <w:sz w:val="36"/>
          <w:szCs w:val="36"/>
          <w:highlight w:val="none"/>
          <w:lang w:val="en-US" w:eastAsia="zh-CN"/>
          <w14:textFill>
            <w14:solidFill>
              <w14:schemeClr w14:val="tx1"/>
            </w14:solidFill>
          </w14:textFill>
        </w:rPr>
        <w:t xml:space="preserve">  </w:t>
      </w:r>
      <w:r>
        <w:rPr>
          <w:rFonts w:hint="eastAsia" w:ascii="黑体" w:hAnsi="黑体" w:eastAsia="黑体" w:cs="黑体"/>
          <w:color w:val="000000" w:themeColor="text1"/>
          <w:sz w:val="36"/>
          <w:szCs w:val="36"/>
          <w:highlight w:val="none"/>
          <w14:textFill>
            <w14:solidFill>
              <w14:schemeClr w14:val="tx1"/>
            </w14:solidFill>
          </w14:textFill>
        </w:rPr>
        <w:t>科学把握农业农村发展新形势</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pPr>
        <w:jc w:val="center"/>
        <w:outlineLvl w:val="1"/>
        <w:rPr>
          <w:rFonts w:hint="eastAsia" w:ascii="黑体" w:hAnsi="黑体" w:eastAsia="黑体" w:cs="黑体"/>
          <w:color w:val="000000" w:themeColor="text1"/>
          <w:sz w:val="36"/>
          <w:szCs w:val="36"/>
          <w:highlight w:val="none"/>
          <w14:textFill>
            <w14:solidFill>
              <w14:schemeClr w14:val="tx1"/>
            </w14:solidFill>
          </w14:textFill>
        </w:rPr>
      </w:pPr>
      <w:bookmarkStart w:id="68" w:name="_Toc3744"/>
      <w:bookmarkStart w:id="69" w:name="_Toc27778"/>
      <w:bookmarkStart w:id="70" w:name="_Toc14322"/>
      <w:bookmarkStart w:id="71" w:name="_Toc29539"/>
      <w:bookmarkStart w:id="72" w:name="_Toc5401"/>
      <w:bookmarkStart w:id="73" w:name="_Toc49"/>
      <w:bookmarkStart w:id="74" w:name="_Toc2284"/>
      <w:bookmarkStart w:id="75" w:name="_Toc27208"/>
      <w:bookmarkStart w:id="76" w:name="_Toc14614"/>
      <w:bookmarkStart w:id="77" w:name="_Toc18683"/>
      <w:bookmarkStart w:id="78" w:name="_Toc27170"/>
      <w:bookmarkStart w:id="79" w:name="_Toc26658"/>
      <w:bookmarkStart w:id="80" w:name="_Toc19436"/>
      <w:bookmarkStart w:id="81" w:name="_Toc9988"/>
      <w:bookmarkStart w:id="82" w:name="_Toc5159"/>
      <w:r>
        <w:rPr>
          <w:rFonts w:hint="eastAsia" w:ascii="黑体" w:hAnsi="黑体" w:eastAsia="黑体" w:cs="黑体"/>
          <w:color w:val="000000" w:themeColor="text1"/>
          <w:sz w:val="36"/>
          <w:szCs w:val="36"/>
          <w:highlight w:val="none"/>
          <w14:textFill>
            <w14:solidFill>
              <w14:schemeClr w14:val="tx1"/>
            </w14:solidFill>
          </w14:textFill>
        </w:rPr>
        <w:t>加快农业农村现代化</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谋划</w:t>
      </w:r>
      <w:r>
        <w:rPr>
          <w:rFonts w:hint="eastAsia" w:ascii="仿宋_GB2312" w:hAnsi="仿宋_GB2312" w:eastAsia="仿宋_GB2312" w:cs="仿宋_GB2312"/>
          <w:color w:val="000000" w:themeColor="text1"/>
          <w:sz w:val="32"/>
          <w:szCs w:val="32"/>
          <w:highlight w:val="none"/>
          <w14:textFill>
            <w14:solidFill>
              <w14:schemeClr w14:val="tx1"/>
            </w14:solidFill>
          </w14:textFill>
        </w:rPr>
        <w:t>“十五五”</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时期农业农村经济社会发展，既要同</w:t>
      </w:r>
      <w:r>
        <w:rPr>
          <w:rFonts w:hint="eastAsia" w:ascii="仿宋_GB2312" w:hAnsi="仿宋_GB2312" w:eastAsia="仿宋_GB2312" w:cs="仿宋_GB2312"/>
          <w:color w:val="000000" w:themeColor="text1"/>
          <w:sz w:val="32"/>
          <w:szCs w:val="32"/>
          <w:highlight w:val="none"/>
          <w14:textFill>
            <w14:solidFill>
              <w14:schemeClr w14:val="tx1"/>
            </w14:solidFill>
          </w14:textFill>
        </w:rPr>
        <w:t>“十四五”</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规划提出的理念和思路保持连续性，又要准确把握</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海南自由贸易港全岛封关运作的历史性机遇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，提出符合海南实际、具有前瞻性的总体要求、战略重点和主要目标。</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eastAsia" w:ascii="黑体" w:hAnsi="黑体" w:eastAsia="黑体" w:cs="黑体"/>
          <w:color w:val="000000" w:themeColor="text1"/>
          <w:sz w:val="32"/>
          <w:szCs w:val="32"/>
          <w:highlight w:val="none"/>
          <w14:textFill>
            <w14:solidFill>
              <w14:schemeClr w14:val="tx1"/>
            </w14:solidFill>
          </w14:textFill>
        </w:rPr>
      </w:pPr>
      <w:bookmarkStart w:id="83" w:name="_Toc11753"/>
      <w:bookmarkStart w:id="84" w:name="_Toc30955"/>
      <w:bookmarkStart w:id="85" w:name="_Toc24009"/>
      <w:bookmarkStart w:id="86" w:name="_Toc30002"/>
      <w:bookmarkStart w:id="87" w:name="_Toc23505"/>
      <w:bookmarkStart w:id="88" w:name="_Toc29225"/>
      <w:bookmarkStart w:id="89" w:name="_Toc3185"/>
      <w:bookmarkStart w:id="90" w:name="_Toc15328"/>
      <w:bookmarkStart w:id="91" w:name="_Toc15244"/>
      <w:bookmarkStart w:id="92" w:name="_Toc5129"/>
      <w:bookmarkStart w:id="93" w:name="_Toc8755"/>
      <w:bookmarkStart w:id="94" w:name="_Toc18888"/>
      <w:bookmarkStart w:id="95" w:name="_Toc7399"/>
      <w:bookmarkStart w:id="96" w:name="_Toc4265"/>
      <w:bookmarkStart w:id="97" w:name="_Toc29321"/>
      <w:r>
        <w:rPr>
          <w:rFonts w:hint="eastAsia" w:ascii="黑体" w:hAnsi="黑体" w:eastAsia="黑体" w:cs="黑体"/>
          <w:color w:val="000000" w:themeColor="text1"/>
          <w:sz w:val="32"/>
          <w:szCs w:val="32"/>
          <w:highlight w:val="none"/>
          <w14:textFill>
            <w14:solidFill>
              <w14:schemeClr w14:val="tx1"/>
            </w14:solidFill>
          </w14:textFill>
        </w:rPr>
        <w:t>第一节 发展基础</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“十四五”时</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期，面对</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错综复杂的国际形势和国内省内多重超预期因素影响，经受住</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世纪疫情</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和超强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台风</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考验，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全省</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上下坚持以习近平新时代中国特色社会主义思想为指导，深入贯彻习近平总书记关于海南工作的系列重要讲话和指示批示精神，加快推进热带特色高效农业发展，稳步推进宜居宜业和美乡村建设，多渠道促进农民增收，农业农村发展取得新的重大成就。</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国家战略</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保障更加有力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崖州湾国家实验室落地并转段运行，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“南繁硅谷”</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建成全国数量最多、空间最大、体系最全的生物育种创新平台，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“种源+种业+种市”</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南繁产业加快发展，产值突破20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0亿元；天然橡胶</w:t>
      </w:r>
      <w:r>
        <w:rPr>
          <w:rFonts w:hint="eastAsia" w:ascii="仿宋_GB2312" w:hAnsi="仿宋_GB2312" w:eastAsia="仿宋_GB2312" w:cs="仿宋_GB2312"/>
          <w:color w:val="000000" w:themeColor="text1"/>
          <w:sz w:val="32"/>
          <w:szCs w:val="32"/>
          <w:highlight w:val="none"/>
          <w14:textFill>
            <w14:solidFill>
              <w14:schemeClr w14:val="tx1"/>
            </w14:solidFill>
          </w14:textFill>
        </w:rPr>
        <w:t>“五个一”</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工程扎实推进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，橡胶产能</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和综合效益稳步提升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守住不发生规模性返贫致贫底线</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建立健全防止返贫致贫监测帮扶体系，</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脱贫群众义务教育、基本医疗、住房安全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“三保障”</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和饮水安全保障水平不断提升，产业和就业帮扶成效明显，在国家脱贫攻坚成果后评估考核中连续三年获得</w:t>
      </w:r>
      <w:r>
        <w:rPr>
          <w:rFonts w:hint="eastAsia" w:ascii="仿宋_GB2312" w:hAnsi="仿宋_GB2312" w:eastAsia="仿宋_GB2312" w:cs="仿宋_GB2312"/>
          <w:color w:val="000000" w:themeColor="text1"/>
          <w:sz w:val="32"/>
          <w:szCs w:val="32"/>
          <w:highlight w:val="none"/>
          <w14:textFill>
            <w14:solidFill>
              <w14:schemeClr w14:val="tx1"/>
            </w14:solidFill>
          </w14:textFill>
        </w:rPr>
        <w:t>“好”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等次。</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农业现代化</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步伐加快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17条农业产业链加快建设，51个国家和省级现代农业产业园、产业集群、产业强镇梯次创建，热带特色高效农业增加值占农业比重约65%，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农业科技进步贡献率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突破65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农作物耕种收综合机械化率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提升15个百分点、达</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75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农业土地产出率、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农业劳动生产率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分别位居全国第1和第</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宜居宜业和美乡村建设取得新成效。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建成</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350个美丽乡村、500个</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和美乡村，整治提升清洁乡村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000个</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农村人居环境明显改善，农村卫生户厕普及率达99.8%，农村</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生活垃圾分类屋（亭）基本</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实现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行政村全覆盖，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农村教育、医疗、养老等公共服务水平不断提升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农村居民</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收入水平持续提升。</w:t>
      </w:r>
      <w:r>
        <w:rPr>
          <w:rFonts w:hint="default" w:ascii="Times New Roman" w:hAnsi="Times New Roman" w:eastAsia="仿宋_GB2312" w:cs="Times New Roman"/>
          <w:b w:val="0"/>
          <w:bCs w:val="0"/>
          <w:sz w:val="32"/>
          <w:szCs w:val="32"/>
        </w:rPr>
        <w:t>打好农民增收行动收官战，</w:t>
      </w:r>
      <w:r>
        <w:rPr>
          <w:rFonts w:hint="default" w:ascii="Times New Roman" w:hAnsi="Times New Roman" w:eastAsia="仿宋_GB2312" w:cs="Times New Roman"/>
          <w:sz w:val="32"/>
          <w:szCs w:val="32"/>
          <w:lang w:val="en-US" w:eastAsia="zh-CN"/>
        </w:rPr>
        <w:t>如期完成农民增收三年行动确定的</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“三个快于”</w:t>
      </w:r>
      <w:r>
        <w:rPr>
          <w:rFonts w:hint="default" w:ascii="Times New Roman" w:hAnsi="Times New Roman" w:eastAsia="仿宋_GB2312" w:cs="Times New Roman"/>
          <w:sz w:val="32"/>
          <w:szCs w:val="32"/>
          <w:lang w:val="en-US" w:eastAsia="zh-CN"/>
        </w:rPr>
        <w:t>目标</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我省农村居民人均可</w:t>
      </w:r>
      <w:r>
        <w:rPr>
          <w:rFonts w:hint="eastAsia" w:ascii="Times New Roman" w:hAnsi="Times New Roman" w:eastAsia="仿宋_GB2312" w:cs="Times New Roman"/>
          <w:sz w:val="32"/>
          <w:szCs w:val="32"/>
          <w:lang w:val="en-US" w:eastAsia="zh-CN"/>
        </w:rPr>
        <w:t>支配收入突破2万元大关达到</w:t>
      </w:r>
      <w:r>
        <w:rPr>
          <w:rFonts w:ascii="Times New Roman" w:hAnsi="Times New Roman" w:eastAsia="仿宋_GB2312" w:cs="Times New Roman"/>
          <w:i w:val="0"/>
          <w:iCs w:val="0"/>
          <w:caps w:val="0"/>
          <w:spacing w:val="0"/>
          <w:sz w:val="32"/>
          <w:szCs w:val="32"/>
          <w:shd w:val="clear"/>
        </w:rPr>
        <w:t>23307</w:t>
      </w:r>
      <w:r>
        <w:rPr>
          <w:rFonts w:hint="default" w:ascii="Times New Roman" w:hAnsi="Times New Roman" w:eastAsia="仿宋_GB2312" w:cs="Times New Roman"/>
          <w:sz w:val="32"/>
          <w:szCs w:val="32"/>
          <w:lang w:val="en-US" w:eastAsia="zh-CN"/>
        </w:rPr>
        <w:t>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农村居民收入增速连续15年快于城镇居民。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城乡居民收入比</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缩小至</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1.9</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排名全国第6</w:t>
      </w:r>
      <w:r>
        <w:rPr>
          <w:rFonts w:hint="default" w:ascii="Times New Roman" w:hAnsi="Times New Roman" w:eastAsia="仿宋_GB2312" w:cs="Times New Roman"/>
          <w:sz w:val="32"/>
          <w:szCs w:val="32"/>
          <w:lang w:val="en-US" w:eastAsia="zh-CN"/>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农村发展活力不断焕发。</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第二轮土地承包到期后再延长30年试点扎实开展，农村集体产权制度改革</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阶段性任务基本完成</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“机器管三资”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全面推广</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累计培育240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家省级以上农业龙头企业</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1.5万家农民专业合作社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2万个家庭农场，有力促进小农户和现代农业发展有机衔接。总体来看，</w:t>
      </w:r>
      <w:r>
        <w:rPr>
          <w:rFonts w:hint="eastAsia" w:ascii="仿宋_GB2312" w:hAnsi="仿宋_GB2312" w:eastAsia="仿宋_GB2312" w:cs="仿宋_GB2312"/>
          <w:color w:val="000000" w:themeColor="text1"/>
          <w:sz w:val="32"/>
          <w:szCs w:val="32"/>
          <w:highlight w:val="none"/>
          <w14:textFill>
            <w14:solidFill>
              <w14:schemeClr w14:val="tx1"/>
            </w14:solidFill>
          </w14:textFill>
        </w:rPr>
        <w:t>“十四五”</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时期，海南</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农业基础更加稳固、农村地区更加繁荣、农民生活更加红火，朝着农业强省建设目标扎实推进，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为</w:t>
      </w:r>
      <w:r>
        <w:rPr>
          <w:rFonts w:hint="eastAsia" w:ascii="仿宋_GB2312" w:hAnsi="仿宋_GB2312" w:eastAsia="仿宋_GB2312" w:cs="仿宋_GB2312"/>
          <w:color w:val="000000" w:themeColor="text1"/>
          <w:sz w:val="32"/>
          <w:szCs w:val="32"/>
          <w:highlight w:val="none"/>
          <w14:textFill>
            <w14:solidFill>
              <w14:schemeClr w14:val="tx1"/>
            </w14:solidFill>
          </w14:textFill>
        </w:rPr>
        <w:t>“十五五”</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时期加快农业农村现代化奠定了坚实基础。</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eastAsia" w:ascii="黑体" w:hAnsi="黑体" w:eastAsia="黑体" w:cs="黑体"/>
          <w:color w:val="000000" w:themeColor="text1"/>
          <w:sz w:val="32"/>
          <w:szCs w:val="32"/>
          <w:highlight w:val="none"/>
          <w14:textFill>
            <w14:solidFill>
              <w14:schemeClr w14:val="tx1"/>
            </w14:solidFill>
          </w14:textFill>
        </w:rPr>
      </w:pPr>
      <w:bookmarkStart w:id="98" w:name="_Toc23410"/>
      <w:bookmarkStart w:id="99" w:name="_Toc6115"/>
      <w:bookmarkStart w:id="100" w:name="_Toc16035"/>
      <w:bookmarkStart w:id="101" w:name="_Toc18025"/>
      <w:bookmarkStart w:id="102" w:name="_Toc21766"/>
      <w:bookmarkStart w:id="103" w:name="_Toc16551"/>
      <w:bookmarkStart w:id="104" w:name="_Toc5198"/>
      <w:bookmarkStart w:id="105" w:name="_Toc27248"/>
      <w:bookmarkStart w:id="106" w:name="_Toc3833"/>
      <w:bookmarkStart w:id="107" w:name="_Toc7658"/>
      <w:bookmarkStart w:id="108" w:name="_Toc13278"/>
      <w:bookmarkStart w:id="109" w:name="_Toc21340"/>
      <w:bookmarkStart w:id="110" w:name="_Toc29472"/>
      <w:bookmarkStart w:id="111" w:name="_Toc15485"/>
      <w:bookmarkStart w:id="112" w:name="_Toc30234"/>
      <w:r>
        <w:rPr>
          <w:rFonts w:hint="eastAsia" w:ascii="黑体" w:hAnsi="黑体" w:eastAsia="黑体" w:cs="黑体"/>
          <w:color w:val="000000" w:themeColor="text1"/>
          <w:sz w:val="32"/>
          <w:szCs w:val="32"/>
          <w:highlight w:val="none"/>
          <w14:textFill>
            <w14:solidFill>
              <w14:schemeClr w14:val="tx1"/>
            </w14:solidFill>
          </w14:textFill>
        </w:rPr>
        <w:t>第二节 面临形势</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highlight w:val="none"/>
          <w14:textFill>
            <w14:solidFill>
              <w14:schemeClr w14:val="tx1"/>
            </w14:solidFill>
          </w14:textFill>
        </w:rPr>
        <w:t>“十五五”</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时期，海南发展环境面临深刻复杂变化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国际形势演变深刻影响国内发展，海南作为全球最大的自由贸易港、我国新时代对外开放前沿阵地，正处于机遇与挑战交织、动力与压力并存的时期。</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从不利因素看，</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海南农业农村发展面临诸多挑战。</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一是不确定难预料因素增多。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海南作为全面深化改革开放试验区，全岛封关运作后的农业农村建设在国内尚无成熟经验可供借鉴，需要不断探索。地缘政治冲突频发、全球贸易政策持续波动等不确定因素深刻影响海南农业</w:t>
      </w:r>
      <w:r>
        <w:rPr>
          <w:rFonts w:hint="eastAsia" w:ascii="仿宋_GB2312" w:hAnsi="仿宋_GB2312" w:eastAsia="仿宋_GB2312" w:cs="仿宋_GB2312"/>
          <w:color w:val="000000" w:themeColor="text1"/>
          <w:sz w:val="32"/>
          <w:szCs w:val="32"/>
          <w:highlight w:val="none"/>
          <w14:textFill>
            <w14:solidFill>
              <w14:schemeClr w14:val="tx1"/>
            </w14:solidFill>
          </w14:textFill>
        </w:rPr>
        <w:t>“走出去”和“引进来”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的广度和深度。</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二是农业对外开放竞争与风险压力增大。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封关后的便利化使海南农产品本地市场直接承压于国际竞争，农产品价格与传统农业生产模式首当其冲，产业深加工不足与品牌国际竞争力不强等短板在冲击下更显突出</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岛内生物安全风险加剧。</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三是农业生产要素配置约束增强。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旅游业、现代服务业等虹吸效应强的产业快速发展，与城市建设不断加快，对土地、劳动力等农业生产要素形成</w:t>
      </w:r>
      <w:r>
        <w:rPr>
          <w:rFonts w:hint="eastAsia" w:ascii="仿宋_GB2312" w:hAnsi="仿宋_GB2312" w:eastAsia="仿宋_GB2312" w:cs="仿宋_GB2312"/>
          <w:color w:val="000000" w:themeColor="text1"/>
          <w:sz w:val="32"/>
          <w:szCs w:val="32"/>
          <w:highlight w:val="none"/>
          <w14:textFill>
            <w14:solidFill>
              <w14:schemeClr w14:val="tx1"/>
            </w14:solidFill>
          </w14:textFill>
        </w:rPr>
        <w:t>“双重挤压”</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，导致农业发展空间与资源约束趋紧；与内地相比，海南农业要素成本居高不下，农产品利润空间长期受到严重压缩。</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四是气候变化导致农业灾害多发频发。</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台风、干旱、渍涝等气象灾害与热区环境衍生的病虫害问题交织叠加，直接威胁农业农村生产生活，亟需完善农业防灾减灾救灾体系。</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五是乡村社会治理面临挑战和压力。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海南自由贸易港人员进出自由便利和外来多元文化融入，对乡村既有治理模式形成深刻挑战，亟待构建与之相适应的乡村治理新格局。</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从有利因素看，</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海南农业农村发展拥有诸多机遇。</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一是海南自由贸易港政策举措优势凸显，为农业农村发展注入新活力。</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借助</w:t>
      </w:r>
      <w:r>
        <w:rPr>
          <w:rFonts w:hint="eastAsia" w:ascii="仿宋_GB2312" w:hAnsi="仿宋_GB2312" w:eastAsia="仿宋_GB2312" w:cs="仿宋_GB2312"/>
          <w:color w:val="000000" w:themeColor="text1"/>
          <w:sz w:val="32"/>
          <w:szCs w:val="32"/>
          <w:highlight w:val="none"/>
          <w14:textFill>
            <w14:solidFill>
              <w14:schemeClr w14:val="tx1"/>
            </w14:solidFill>
          </w14:textFill>
        </w:rPr>
        <w:t>“零</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关税、低税率、简税制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加工增值30%内销免关税等优惠政策</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和地缘优势</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海南将吸引全球高端农业资源集聚</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，促进生产要素自由流动，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降低农业企业运营成本，</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深入促进热带农业产业链协同升级，更能借助</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国内国际双循环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节点优势</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推动海南从</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“热带基地”到“全球枢纽”</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转变</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二是新一轮科技革命和产业变革加速突破，为农业农村发展带来新动力。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南繁硅谷汇聚全国优质农业科研资源，平台经济、体验经济等新业态快速发展，生物技术、人工智能等新技术在农业农村领域应用场景不断拓展，推动农业农村发展进入快车道。</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三是市场规模持续扩大，为农业农村发展提供新空间。</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背靠国内超大规模市场，为应对各类风险挑战提供坚实支撑；对外开放水平不断提高，进一步激发国际市场潜力，消费市场不断扩大升级，促进农业经济持续向好。</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四是城乡融合发展态势良好，为农业农村发展奠定坚实基础。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海南农村劳动力相对充裕，基本公共服务相对均等，城乡交通相对便利，在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全省一盘棋、全岛同城化</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的发展格局下，为技术、资金、人才等要素流动，加快城乡融合发展，推进农业农村现代化提供良好条件。</w:t>
      </w:r>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总的来看，变局蕴含机遇，挑战激发斗志。我们必须深刻牢记国家赋予海南的战略任务和重大使命，发挥海南热带资源禀赋和区位优势，保持战略定力，增强必胜信心，积极识变应变求变，敢于面对风高浪急甚至惊涛骇浪的重大考验，以历史主动精神克难关、战风险、迎挑战，锚定</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2035年农业现代化基本实现和农村基本具备现代生活条件</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目标，进一步强基础、补短板、提质效，千方百计推动农业增效益、农民增收入、农村增活力，推动乡村全面振兴、农业强省建设不断取得新进展，持续推动农业农村现代化迈上新台阶。</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eastAsia" w:ascii="黑体" w:hAnsi="黑体" w:eastAsia="黑体" w:cs="黑体"/>
          <w:color w:val="000000" w:themeColor="text1"/>
          <w:sz w:val="32"/>
          <w:szCs w:val="32"/>
          <w:highlight w:val="none"/>
          <w14:textFill>
            <w14:solidFill>
              <w14:schemeClr w14:val="tx1"/>
            </w14:solidFill>
          </w14:textFill>
        </w:rPr>
      </w:pPr>
      <w:bookmarkStart w:id="113" w:name="_Toc28071"/>
      <w:bookmarkStart w:id="114" w:name="_Toc32581"/>
      <w:bookmarkStart w:id="115" w:name="_Toc13870"/>
      <w:bookmarkStart w:id="116" w:name="_Toc13518"/>
      <w:bookmarkStart w:id="117" w:name="_Toc29547"/>
      <w:bookmarkStart w:id="118" w:name="_Toc32162"/>
      <w:bookmarkStart w:id="119" w:name="_Toc10349"/>
      <w:bookmarkStart w:id="120" w:name="_Toc120"/>
      <w:bookmarkStart w:id="121" w:name="_Toc9836"/>
      <w:bookmarkStart w:id="122" w:name="_Toc4948"/>
      <w:bookmarkStart w:id="123" w:name="_Toc12314"/>
      <w:bookmarkStart w:id="124" w:name="_Toc20738"/>
      <w:bookmarkStart w:id="125" w:name="_Toc30810"/>
      <w:bookmarkStart w:id="126" w:name="_Toc32540"/>
      <w:bookmarkStart w:id="127" w:name="_Toc5925"/>
      <w:r>
        <w:rPr>
          <w:rFonts w:hint="eastAsia" w:ascii="黑体" w:hAnsi="黑体" w:eastAsia="黑体" w:cs="黑体"/>
          <w:color w:val="000000" w:themeColor="text1"/>
          <w:sz w:val="32"/>
          <w:szCs w:val="32"/>
          <w:highlight w:val="none"/>
          <w14:textFill>
            <w14:solidFill>
              <w14:schemeClr w14:val="tx1"/>
            </w14:solidFill>
          </w14:textFill>
        </w:rPr>
        <w:t>第三节 总体要求</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14:textFill>
            <w14:solidFill>
              <w14:schemeClr w14:val="tx1"/>
            </w14:solidFill>
          </w14:textFill>
        </w:rPr>
      </w:pPr>
      <w:bookmarkStart w:id="128" w:name="_Toc23445"/>
      <w:bookmarkStart w:id="129" w:name="_Toc5915"/>
      <w:bookmarkStart w:id="130" w:name="_Toc14257"/>
      <w:bookmarkStart w:id="131" w:name="_Toc20695"/>
      <w:bookmarkStart w:id="132" w:name="_Toc20794"/>
      <w:bookmarkStart w:id="133" w:name="_Toc16648"/>
      <w:bookmarkStart w:id="134" w:name="_Toc30540"/>
      <w:bookmarkStart w:id="135" w:name="_Toc14995"/>
      <w:bookmarkStart w:id="136" w:name="_Toc32156"/>
      <w:bookmarkStart w:id="137" w:name="_Toc31367"/>
      <w:bookmarkStart w:id="138" w:name="_Toc26857"/>
      <w:bookmarkStart w:id="139" w:name="_Toc920"/>
      <w:r>
        <w:rPr>
          <w:rFonts w:hint="eastAsia" w:ascii="楷体_GB2312" w:hAnsi="楷体_GB2312" w:eastAsia="楷体_GB2312" w:cs="楷体_GB2312"/>
          <w:b/>
          <w:bCs/>
          <w:color w:val="000000" w:themeColor="text1"/>
          <w:sz w:val="32"/>
          <w:szCs w:val="32"/>
          <w:highlight w:val="none"/>
          <w14:textFill>
            <w14:solidFill>
              <w14:schemeClr w14:val="tx1"/>
            </w14:solidFill>
          </w14:textFill>
        </w:rPr>
        <w:t>一、指导思想</w:t>
      </w:r>
      <w:bookmarkEnd w:id="128"/>
      <w:bookmarkEnd w:id="129"/>
      <w:bookmarkEnd w:id="130"/>
      <w:bookmarkEnd w:id="131"/>
      <w:bookmarkEnd w:id="132"/>
      <w:bookmarkEnd w:id="133"/>
      <w:bookmarkEnd w:id="134"/>
      <w:bookmarkEnd w:id="135"/>
      <w:bookmarkEnd w:id="136"/>
      <w:bookmarkEnd w:id="137"/>
      <w:bookmarkEnd w:id="138"/>
      <w:bookmarkEnd w:id="139"/>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全面贯彻习近平新时代中国特色社会主义思想，深入贯彻党的二十大和二十届历次全会精神以及习近平总书记关</w:t>
      </w:r>
      <w:r>
        <w:rPr>
          <w:rFonts w:hint="eastAsia" w:ascii="仿宋_GB2312" w:hAnsi="仿宋_GB2312" w:eastAsia="仿宋_GB2312" w:cs="仿宋_GB2312"/>
          <w:color w:val="000000" w:themeColor="text1"/>
          <w:sz w:val="32"/>
          <w:szCs w:val="32"/>
          <w:highlight w:val="none"/>
          <w14:textFill>
            <w14:solidFill>
              <w14:schemeClr w14:val="tx1"/>
            </w14:solidFill>
          </w14:textFill>
        </w:rPr>
        <w:t>于“三农”</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工作的重要论述和重要指示精神，特别是关于海南工作的系列重要讲话和指示批示精神，锚定海南建设农业强省，扎实推进乡村全面振兴目标，立足国家战略与国际视角</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做好南繁种业与橡胶保供</w:t>
      </w:r>
      <w:r>
        <w:rPr>
          <w:rFonts w:hint="eastAsia" w:ascii="仿宋_GB2312" w:hAnsi="仿宋_GB2312" w:eastAsia="仿宋_GB2312" w:cs="仿宋_GB2312"/>
          <w:color w:val="000000" w:themeColor="text1"/>
          <w:sz w:val="32"/>
          <w:szCs w:val="32"/>
          <w:highlight w:val="none"/>
          <w14:textFill>
            <w14:solidFill>
              <w14:schemeClr w14:val="tx1"/>
            </w14:solidFill>
          </w14:textFill>
        </w:rPr>
        <w:t>“两篇文章”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，以推进农业科技创新、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扩大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农业高水平对外开放、进一步深化农村改革为</w:t>
      </w:r>
      <w:r>
        <w:rPr>
          <w:rFonts w:hint="eastAsia" w:ascii="仿宋_GB2312" w:hAnsi="仿宋_GB2312" w:eastAsia="仿宋_GB2312" w:cs="仿宋_GB2312"/>
          <w:color w:val="000000" w:themeColor="text1"/>
          <w:sz w:val="32"/>
          <w:szCs w:val="32"/>
          <w:highlight w:val="none"/>
          <w14:textFill>
            <w14:solidFill>
              <w14:schemeClr w14:val="tx1"/>
            </w14:solidFill>
          </w14:textFill>
        </w:rPr>
        <w:t>“三个动力”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，加快推进农业、农村、农民、乡村治理</w:t>
      </w:r>
      <w:r>
        <w:rPr>
          <w:rFonts w:hint="eastAsia" w:ascii="仿宋_GB2312" w:hAnsi="仿宋_GB2312" w:eastAsia="仿宋_GB2312" w:cs="仿宋_GB2312"/>
          <w:color w:val="000000" w:themeColor="text1"/>
          <w:sz w:val="32"/>
          <w:szCs w:val="32"/>
          <w:highlight w:val="none"/>
          <w14:textFill>
            <w14:solidFill>
              <w14:schemeClr w14:val="tx1"/>
            </w14:solidFill>
          </w14:textFill>
        </w:rPr>
        <w:t>“四个现代化”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，努力</w:t>
      </w:r>
      <w:r>
        <w:rPr>
          <w:rFonts w:hint="eastAsia" w:ascii="仿宋_GB2312" w:hAnsi="仿宋_GB2312" w:eastAsia="仿宋_GB2312" w:cs="仿宋_GB2312"/>
          <w:color w:val="000000" w:themeColor="text1"/>
          <w:sz w:val="32"/>
          <w:szCs w:val="32"/>
          <w:u w:val="none"/>
          <w14:textFill>
            <w14:solidFill>
              <w14:schemeClr w14:val="tx1"/>
            </w14:solidFill>
          </w14:textFill>
        </w:rPr>
        <w:t>把热带特色高效农业打造成</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为优势特色大产业和</w:t>
      </w:r>
      <w:r>
        <w:rPr>
          <w:rFonts w:hint="eastAsia" w:ascii="仿宋_GB2312" w:hAnsi="仿宋_GB2312" w:eastAsia="仿宋_GB2312" w:cs="仿宋_GB2312"/>
          <w:color w:val="000000" w:themeColor="text1"/>
          <w:sz w:val="32"/>
          <w:szCs w:val="32"/>
          <w:u w:val="none"/>
          <w14:textFill>
            <w14:solidFill>
              <w14:schemeClr w14:val="tx1"/>
            </w14:solidFill>
          </w14:textFill>
        </w:rPr>
        <w:t>海南经济的一张</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王牌</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14:textFill>
            <w14:solidFill>
              <w14:schemeClr w14:val="tx1"/>
            </w14:solidFill>
          </w14:textFill>
        </w:rPr>
        <w:t>，把海南农业打造成农业强国不可或缺的重要板块，</w:t>
      </w:r>
      <w:r>
        <w:rPr>
          <w:rFonts w:hint="default"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t>把海南乡村打造成为展示中国式现代化</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“三农”</w:t>
      </w:r>
      <w:r>
        <w:rPr>
          <w:rFonts w:hint="default"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t>风范的靓丽名片</w:t>
      </w:r>
      <w:r>
        <w:rPr>
          <w:rFonts w:hint="eastAsia"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为海南自由贸易港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建设和全省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经济社会高质量发展夯实</w:t>
      </w:r>
      <w:r>
        <w:rPr>
          <w:rFonts w:hint="eastAsia" w:ascii="仿宋_GB2312" w:hAnsi="仿宋_GB2312" w:eastAsia="仿宋_GB2312" w:cs="仿宋_GB2312"/>
          <w:color w:val="000000" w:themeColor="text1"/>
          <w:sz w:val="32"/>
          <w:szCs w:val="32"/>
          <w:highlight w:val="none"/>
          <w14:textFill>
            <w14:solidFill>
              <w14:schemeClr w14:val="tx1"/>
            </w14:solidFill>
          </w14:textFill>
        </w:rPr>
        <w:t>“三农”根基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14:textFill>
            <w14:solidFill>
              <w14:schemeClr w14:val="tx1"/>
            </w14:solidFill>
          </w14:textFill>
        </w:rPr>
      </w:pPr>
      <w:bookmarkStart w:id="140" w:name="_Toc9909"/>
      <w:bookmarkStart w:id="141" w:name="_Toc10976"/>
      <w:bookmarkStart w:id="142" w:name="_Toc32695"/>
      <w:bookmarkStart w:id="143" w:name="_Toc23463"/>
      <w:bookmarkStart w:id="144" w:name="_Toc20933"/>
      <w:bookmarkStart w:id="145" w:name="_Toc14497"/>
      <w:bookmarkStart w:id="146" w:name="_Toc4681"/>
      <w:bookmarkStart w:id="147" w:name="_Toc4625"/>
      <w:bookmarkStart w:id="148" w:name="_Toc28001"/>
      <w:bookmarkStart w:id="149" w:name="_Toc15212"/>
      <w:bookmarkStart w:id="150" w:name="_Toc29820"/>
      <w:bookmarkStart w:id="151" w:name="_Toc26881"/>
      <w:r>
        <w:rPr>
          <w:rFonts w:hint="eastAsia" w:ascii="楷体_GB2312" w:hAnsi="楷体_GB2312" w:eastAsia="楷体_GB2312" w:cs="楷体_GB2312"/>
          <w:b/>
          <w:bCs/>
          <w:color w:val="000000" w:themeColor="text1"/>
          <w:sz w:val="32"/>
          <w:szCs w:val="32"/>
          <w:highlight w:val="none"/>
          <w14:textFill>
            <w14:solidFill>
              <w14:schemeClr w14:val="tx1"/>
            </w14:solidFill>
          </w14:textFill>
        </w:rPr>
        <w:t>二、基本原则</w:t>
      </w:r>
      <w:bookmarkEnd w:id="140"/>
      <w:bookmarkEnd w:id="141"/>
      <w:bookmarkEnd w:id="142"/>
      <w:bookmarkEnd w:id="143"/>
      <w:bookmarkEnd w:id="144"/>
      <w:bookmarkEnd w:id="145"/>
      <w:bookmarkEnd w:id="146"/>
      <w:bookmarkEnd w:id="147"/>
      <w:bookmarkEnd w:id="148"/>
      <w:bookmarkEnd w:id="149"/>
      <w:bookmarkEnd w:id="150"/>
      <w:bookmarkEnd w:id="151"/>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坚持党的全面领导。</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深入贯彻落实《中国共产党农村工作条例》，坚持和加强党对</w:t>
      </w:r>
      <w:r>
        <w:rPr>
          <w:rFonts w:hint="eastAsia" w:ascii="仿宋_GB2312" w:hAnsi="仿宋_GB2312" w:eastAsia="仿宋_GB2312" w:cs="仿宋_GB2312"/>
          <w:color w:val="000000" w:themeColor="text1"/>
          <w:sz w:val="32"/>
          <w:szCs w:val="32"/>
          <w:highlight w:val="none"/>
          <w14:textFill>
            <w14:solidFill>
              <w14:schemeClr w14:val="tx1"/>
            </w14:solidFill>
          </w14:textFill>
        </w:rPr>
        <w:t>“三农”</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工作的领导，把党的领导贯穿农业农村各方面全过程，提高党把方向、谋大局、定政策、促改革能力，为海南农业农村现代化建设提供根本保证。</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坚持以人民为中心。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尊重农民主体地位，维护农民根本利益，充分调动广大农民积极性、主动性、创造性。进一步保障和改善民生，着力解决好农民群众急难愁盼问题，推动民生建设更加公平、均衡、普惠、可及。让广大农民平等参与现代化过程，共同分享现代化成果，增强农民获得感、幸福感、安全感。</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坚持农业农村优先发展。</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牢固树立农业农村优先发展的政策导向，在资金投入、要素配置、公共服务和干部配备等方面采取有力措施，引导和撬动更多资源投入农业农村现代化建设重点领域，提高强农惠农富农政策效能，加快补齐农业农村短板，夯实农业农村现代化发展基础。</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坚持高质量发展。</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贯彻创新、协调、绿色、开放、共享新发展理念，</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进一步深化农村改革，扩大农业高水平对外开放，深化农业供给侧结构性改革，坚持强化科技赋能</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大力发展绿色生态农业，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因地制宜发展农业新质生产力，着力提高农业全要素生产率，着力提升农业产业链供应链韧性，推动农业农村经济实现质的有效提升和量的合理增长。</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坚持城乡融合发展。</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统筹推进新型城镇化与乡村全面振兴，完善城乡融合发展体制机制，促进城乡要素平等交换、双向流动，推动城乡基础设施一体化和公共服务均等化，推进垦地融合与县域城乡融合发展，缩小城乡差距，促进共同繁荣。</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坚持统筹发展和安全。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在加快推进海南自由贸易港建设中，坚持底线思维，有效防范化解农业生产和市场风险，强化生态安全风险管控，严密防控动植物疫病和外来物种入侵，全面提升农业产业发展韧性和安全水平。</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152" w:name="_Toc10412"/>
      <w:bookmarkStart w:id="153" w:name="_Toc17649"/>
      <w:bookmarkStart w:id="154" w:name="_Toc7035"/>
      <w:bookmarkStart w:id="155" w:name="_Toc7534"/>
      <w:bookmarkStart w:id="156" w:name="_Toc16084"/>
      <w:bookmarkStart w:id="157" w:name="_Toc20754"/>
      <w:bookmarkStart w:id="158" w:name="_Toc20476"/>
      <w:bookmarkStart w:id="159" w:name="_Toc10058"/>
      <w:bookmarkStart w:id="160" w:name="_Toc11126"/>
      <w:bookmarkStart w:id="161" w:name="_Toc22946"/>
      <w:bookmarkStart w:id="162" w:name="_Toc2280"/>
      <w:bookmarkStart w:id="163" w:name="_Toc1748"/>
      <w:bookmarkStart w:id="164" w:name="_Toc7937"/>
      <w:bookmarkStart w:id="165" w:name="_Toc9961"/>
      <w:bookmarkStart w:id="166" w:name="_Toc11905"/>
      <w:r>
        <w:rPr>
          <w:rFonts w:hint="default" w:ascii="Times New Roman" w:hAnsi="Times New Roman" w:eastAsia="黑体" w:cs="Times New Roman"/>
          <w:color w:val="000000" w:themeColor="text1"/>
          <w:sz w:val="32"/>
          <w:szCs w:val="32"/>
          <w:highlight w:val="none"/>
          <w14:textFill>
            <w14:solidFill>
              <w14:schemeClr w14:val="tx1"/>
            </w14:solidFill>
          </w14:textFill>
        </w:rPr>
        <w:t>第四节 战略重点</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聚焦国家战略，扛牢使命担当。</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坚决扛起保障国家粮食安全和重要农产品安全供给的海南担当，统筹热带优势资源，落实南繁种业与天然橡胶两大国家战略的保障任务，加快建成服务全国的南繁硅谷，</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做大做强</w:t>
      </w:r>
      <w:r>
        <w:rPr>
          <w:rFonts w:hint="eastAsia" w:ascii="仿宋_GB2312" w:hAnsi="仿宋_GB2312" w:eastAsia="仿宋_GB2312" w:cs="仿宋_GB2312"/>
          <w:color w:val="000000" w:themeColor="text1"/>
          <w:sz w:val="32"/>
          <w:szCs w:val="32"/>
          <w:highlight w:val="none"/>
          <w14:textFill>
            <w14:solidFill>
              <w14:schemeClr w14:val="tx1"/>
            </w14:solidFill>
          </w14:textFill>
        </w:rPr>
        <w:t>“种源+种业+种市”</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南繁产业，提升天然橡胶生产能力和质量效益。</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聚焦特色优势，建设农业强省。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锚定农业强省建设目标，立足资源禀赋、区位优势和政策优势，统筹发展科技农业、绿色农业、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设施农业、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质量农业、品牌农业</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开放农业</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因地制宜</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培育</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农业新质生产力，全面推进传统产业转型升级，</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强化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农业风险防范，增强农业发展韧性</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加快构建具有海南特色和优势的现代化农业产业体系、生产体系、经营体系，加快推动热带特色高效农业补链延链、优化升级。</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聚焦宜居宜业，建设和美乡村。</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学习运用</w:t>
      </w:r>
      <w:r>
        <w:rPr>
          <w:rFonts w:hint="eastAsia" w:ascii="仿宋_GB2312" w:hAnsi="仿宋_GB2312" w:eastAsia="仿宋_GB2312" w:cs="仿宋_GB2312"/>
          <w:color w:val="000000" w:themeColor="text1"/>
          <w:sz w:val="32"/>
          <w:szCs w:val="32"/>
          <w:highlight w:val="none"/>
          <w14:textFill>
            <w14:solidFill>
              <w14:schemeClr w14:val="tx1"/>
            </w14:solidFill>
          </w14:textFill>
        </w:rPr>
        <w:t>“千万工程”</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经验，</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扎实抓好城乡融合与区域联动，统筹推进新型城镇化和乡村全面振兴</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，推动城乡要素双向流动，建设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“双环”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旅游公路和美乡村风景线，分类有序、片区化推进乡村振兴，逐步提高农村基础设施完备度、公共服务便利度、人居环境舒适度，推动农村基本具备现代生活条件。</w:t>
      </w:r>
    </w:p>
    <w:p>
      <w:pPr>
        <w:snapToGrid w:val="0"/>
        <w:spacing w:line="590" w:lineRule="exact"/>
        <w:ind w:firstLine="642" w:firstLineChars="200"/>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聚焦共同富裕，增进民生福祉。</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千方百计拓宽农民增收致富渠道，不断缩小城乡收入差距；全面促进农村消费扩容升级，加强农村精神文明和公共文化建设，提高农民综合素质；</w:t>
      </w:r>
      <w:r>
        <w:rPr>
          <w:rFonts w:hint="default" w:ascii="Times New Roman" w:hAnsi="Times New Roman" w:eastAsia="仿宋_GB2312" w:cs="Times New Roman"/>
          <w:color w:val="000000" w:themeColor="text1"/>
          <w:sz w:val="32"/>
          <w:szCs w:val="32"/>
          <w:highlight w:val="none"/>
          <w:lang w:val="en-US" w:eastAsia="zh"/>
          <w14:textFill>
            <w14:solidFill>
              <w14:schemeClr w14:val="tx1"/>
            </w14:solidFill>
          </w14:textFill>
        </w:rPr>
        <w:t>把常态化帮扶纳入乡村振兴战略统筹实施，持续巩固拓展脱贫攻坚成果，</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建立健全</w:t>
      </w:r>
      <w:r>
        <w:rPr>
          <w:rFonts w:hint="default" w:ascii="Times New Roman" w:hAnsi="Times New Roman" w:eastAsia="仿宋_GB2312" w:cs="Times New Roman"/>
          <w:color w:val="000000" w:themeColor="text1"/>
          <w:sz w:val="32"/>
          <w:szCs w:val="32"/>
          <w:highlight w:val="none"/>
          <w:lang w:val="en-US" w:eastAsia="zh"/>
          <w14:textFill>
            <w14:solidFill>
              <w14:schemeClr w14:val="tx1"/>
            </w14:solidFill>
          </w14:textFill>
        </w:rPr>
        <w:t>常态化防止返贫致贫机制，确保不发生规模性返贫致贫</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聚焦党建引领，推进乡村治理。</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加强农村基层党组织和基层政权建设，健全党组织领导</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下</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的自治、法治、德治相结合的乡村治理体系，推动基层智慧治理提质增效，整体提升乡村治理数字化水平，走出一条具有海南自由贸易港特色的乡村善治之路。</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聚焦改革创新，激活发展动能。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进一步深化农村改革，推进农村土地制度改革、农村集体</w:t>
      </w:r>
      <w:r>
        <w:rPr>
          <w:rFonts w:hint="eastAsia" w:ascii="仿宋_GB2312" w:hAnsi="仿宋_GB2312" w:eastAsia="仿宋_GB2312" w:cs="仿宋_GB2312"/>
          <w:color w:val="000000" w:themeColor="text1"/>
          <w:sz w:val="32"/>
          <w:szCs w:val="32"/>
          <w:highlight w:val="none"/>
          <w14:textFill>
            <w14:solidFill>
              <w14:schemeClr w14:val="tx1"/>
            </w14:solidFill>
          </w14:textFill>
        </w:rPr>
        <w:t>“三资”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管理改革，加快垦地融合综合改革，持续释放农业农村发展活力；加快提升农业科技创新体系整体效能，促进农业科技创新和农业产业创新深度融合，</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建设农业科技创新高地，</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扎实推进农业科技体制机制创新，培育农业农村高质量发展新动能。</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聚焦自贸港建设，扩大对外开放。</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发挥海南自由贸易港独特政策优势，主动对接国际高标准经贸规则，高水平打造农业对外开放高地。以种质资源、科技创新、国际贸易、合作交流等为重点，建设具有世界影响力的全球热带农业中心</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以</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两个基地、</w:t>
      </w:r>
      <w:r>
        <w:rPr>
          <w:rFonts w:hint="default" w:ascii="Times New Roman" w:hAnsi="Times New Roman" w:eastAsia="仿宋_GB2312" w:cs="Times New Roman"/>
          <w:color w:val="auto"/>
          <w:sz w:val="32"/>
          <w:szCs w:val="32"/>
          <w:highlight w:val="none"/>
        </w:rPr>
        <w:t>两个枢纽</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两个网络</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建设为契机，推动农业引进来、走出去，深化与世界热区农业合作。</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pPr>
      <w:bookmarkStart w:id="167" w:name="_Toc24763"/>
      <w:bookmarkStart w:id="168" w:name="_Toc6964"/>
      <w:bookmarkStart w:id="169" w:name="_Toc11886"/>
      <w:bookmarkStart w:id="170" w:name="_Toc3495"/>
      <w:bookmarkStart w:id="171" w:name="_Toc27714"/>
      <w:bookmarkStart w:id="172" w:name="_Toc964"/>
      <w:bookmarkStart w:id="173" w:name="_Toc7309"/>
      <w:bookmarkStart w:id="174" w:name="_Toc11039"/>
      <w:bookmarkStart w:id="175" w:name="_Toc15739"/>
      <w:bookmarkStart w:id="176" w:name="_Toc15316"/>
      <w:bookmarkStart w:id="177" w:name="_Toc20716"/>
      <w:bookmarkStart w:id="178" w:name="_Toc16619"/>
      <w:bookmarkStart w:id="179" w:name="_Toc13262"/>
      <w:bookmarkStart w:id="180" w:name="_Toc26905"/>
      <w:bookmarkStart w:id="181" w:name="_Toc9083"/>
      <w:r>
        <w:rPr>
          <w:rFonts w:hint="default" w:ascii="Times New Roman" w:hAnsi="Times New Roman" w:eastAsia="黑体" w:cs="Times New Roman"/>
          <w:color w:val="000000" w:themeColor="text1"/>
          <w:sz w:val="32"/>
          <w:szCs w:val="32"/>
          <w:highlight w:val="none"/>
          <w14:textFill>
            <w14:solidFill>
              <w14:schemeClr w14:val="tx1"/>
            </w14:solidFill>
          </w14:textFill>
        </w:rPr>
        <w:t xml:space="preserve">第五节 </w:t>
      </w: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发展布局</w:t>
      </w:r>
      <w:bookmarkEnd w:id="167"/>
      <w:bookmarkEnd w:id="168"/>
      <w:bookmarkEnd w:id="169"/>
      <w:bookmarkEnd w:id="170"/>
      <w:bookmarkEnd w:id="171"/>
      <w:bookmarkEnd w:id="172"/>
      <w:bookmarkEnd w:id="173"/>
      <w:bookmarkEnd w:id="174"/>
      <w:bookmarkEnd w:id="175"/>
      <w:bookmarkEnd w:id="176"/>
      <w:bookmarkEnd w:id="177"/>
      <w:bookmarkEnd w:id="178"/>
    </w:p>
    <w:p>
      <w:pPr>
        <w:keepNext w:val="0"/>
        <w:keepLines w:val="0"/>
        <w:pageBreakBefore w:val="0"/>
        <w:widowControl w:val="0"/>
        <w:kinsoku/>
        <w:wordWrap/>
        <w:overflowPunct/>
        <w:topLinePunct w:val="0"/>
        <w:autoSpaceDE/>
        <w:autoSpaceDN/>
        <w:bidi w:val="0"/>
        <w:adjustRightInd/>
        <w:snapToGrid/>
        <w:spacing w:beforeLines="-2147483648" w:afterLines="-2147483648"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坚持</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“全省一盘棋、全岛同城化”</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，按照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三极一带一区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区域协调发展格局，加强陆海统筹、山海协作，深化区域协调和城乡融合发展，分类有序、片区化推进乡村振兴，打造热带特色高效农业产业集群，构建彰显海南特色、与海南自由贸易港建设相适应的农业农村现代化发展格局。</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182" w:name="_Toc24492"/>
      <w:bookmarkStart w:id="183" w:name="_Toc2108"/>
      <w:bookmarkStart w:id="184" w:name="_Toc22915"/>
      <w:bookmarkStart w:id="185" w:name="_Toc2915"/>
      <w:bookmarkStart w:id="186" w:name="_Toc22789"/>
      <w:bookmarkStart w:id="187" w:name="_Toc28177"/>
      <w:bookmarkStart w:id="188" w:name="_Toc16227"/>
      <w:bookmarkStart w:id="189" w:name="_Toc9280"/>
      <w:bookmarkStart w:id="190" w:name="_Toc5757"/>
      <w:bookmarkStart w:id="191" w:name="_Toc11184"/>
      <w:bookmarkStart w:id="192" w:name="_Toc4988"/>
      <w:bookmarkStart w:id="193" w:name="_Toc5135"/>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一、区域布局</w:t>
      </w:r>
      <w:bookmarkEnd w:id="182"/>
      <w:bookmarkEnd w:id="183"/>
      <w:bookmarkEnd w:id="184"/>
      <w:bookmarkEnd w:id="185"/>
      <w:bookmarkEnd w:id="186"/>
      <w:bookmarkEnd w:id="187"/>
      <w:bookmarkEnd w:id="188"/>
      <w:bookmarkEnd w:id="189"/>
      <w:bookmarkEnd w:id="190"/>
      <w:bookmarkEnd w:id="191"/>
      <w:bookmarkEnd w:id="192"/>
      <w:bookmarkEnd w:id="193"/>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根据</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“三极一带一区”</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资源禀赋和功能定位，完善资源要素省级统筹配置机制，强化基础设施硬联通和利益共享软协同，推动形成特色鲜明、优势突出、功能互补、协同发展的农业农村发展格局。</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海口经济圈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重点打造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农产品贸易与冷链物流枢纽、农业科技创新与服务中心、乡村产业融合与创新创业引领区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三亚经济圈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重点打造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种业科技产业创新示范区、热带特色高效农业引领区、城乡融合发展示范区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儋洋经济圈</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重点打造</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国际农产品加工贸易中心、城乡融合发展试验区、热带特色高效农业高地</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滨海城市带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重点打造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现代渔业绿色发展先行区、农文旅融合发展带</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中部山区生态保育区</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重点打造</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热带高效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生态农业发展区、黎苗文化赋能乡村振兴样板区</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194" w:name="_Toc1563"/>
      <w:bookmarkStart w:id="195" w:name="_Toc29814"/>
      <w:bookmarkStart w:id="196" w:name="_Toc17214"/>
      <w:bookmarkStart w:id="197" w:name="_Toc219"/>
      <w:bookmarkStart w:id="198" w:name="_Toc1198"/>
      <w:bookmarkStart w:id="199" w:name="_Toc15780"/>
      <w:bookmarkStart w:id="200" w:name="_Toc4498"/>
      <w:bookmarkStart w:id="201" w:name="_Toc11900"/>
      <w:bookmarkStart w:id="202" w:name="_Toc19074"/>
      <w:bookmarkStart w:id="203" w:name="_Toc13384"/>
      <w:bookmarkStart w:id="204" w:name="_Toc21155"/>
      <w:bookmarkStart w:id="205" w:name="_Toc31172"/>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二、乡村布局</w:t>
      </w:r>
      <w:bookmarkEnd w:id="194"/>
      <w:bookmarkEnd w:id="195"/>
      <w:bookmarkEnd w:id="196"/>
      <w:bookmarkEnd w:id="197"/>
      <w:bookmarkEnd w:id="198"/>
      <w:bookmarkEnd w:id="199"/>
      <w:bookmarkEnd w:id="200"/>
      <w:bookmarkEnd w:id="201"/>
      <w:bookmarkEnd w:id="202"/>
      <w:bookmarkEnd w:id="203"/>
      <w:bookmarkEnd w:id="204"/>
      <w:bookmarkEnd w:id="205"/>
    </w:p>
    <w:p>
      <w:pPr>
        <w:keepNext w:val="0"/>
        <w:keepLines w:val="0"/>
        <w:pageBreakBefore w:val="0"/>
        <w:widowControl w:val="0"/>
        <w:kinsoku/>
        <w:wordWrap/>
        <w:overflowPunct/>
        <w:topLinePunct w:val="0"/>
        <w:autoSpaceDE/>
        <w:autoSpaceDN/>
        <w:bidi w:val="0"/>
        <w:adjustRightInd/>
        <w:snapToGrid/>
        <w:spacing w:beforeLines="-2147483648" w:afterLines="-2147483648"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锚定</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农业强、农村美、农民富</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总目标，深入实施</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“千万工程”</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，构建全域整治、万村清洁、千村和美、双环引领、片区带动、全面振兴新格局，把海南乡村打造成为展示中国式现代化</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“三农”风范的靓丽名片</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全域整治</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重点是</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统筹优化城乡国土空间格局，</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稳步开展全域土地综合整治，</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推动城乡基础设施一体化规划建设管护和产业经济发展</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万村清洁</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重点是累计整治提升1万个左右清洁乡村，持续整治提升农村人居环境，常态化开展村庄清洁行动，逐步提高人居环境舒适度。</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千村和美</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重点是累计建设1600个左右宜居宜业和美乡村，强化公共服务、做强特色产业、健全乡村治理、拓宽增收渠道，重点打造三亚崖州、琼海博鳌潭门等和美乡村示范片区，探索分类有序、片区化推进乡村振兴路径。</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双环引领</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重点是在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环岛旅游公路和环热带雨林国家公园旅游公路沿线累计建设800个左右和美乡村，积极发展休闲渔业、共享农庄、乡村旅游等业态，</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打造“和美乡村风景线”</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206" w:name="_Toc14302"/>
      <w:bookmarkStart w:id="207" w:name="_Toc14855"/>
      <w:bookmarkStart w:id="208" w:name="_Toc32192"/>
      <w:bookmarkStart w:id="209" w:name="_Toc394"/>
      <w:bookmarkStart w:id="210" w:name="_Toc1858"/>
      <w:bookmarkStart w:id="211" w:name="_Toc19538"/>
      <w:bookmarkStart w:id="212" w:name="_Toc3159"/>
      <w:bookmarkStart w:id="213" w:name="_Toc11495"/>
      <w:bookmarkStart w:id="214" w:name="_Toc27409"/>
      <w:bookmarkStart w:id="215" w:name="_Toc29526"/>
      <w:bookmarkStart w:id="216" w:name="_Toc14011"/>
      <w:bookmarkStart w:id="217" w:name="_Toc11566"/>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三、产业布局</w:t>
      </w:r>
      <w:bookmarkEnd w:id="206"/>
      <w:bookmarkEnd w:id="207"/>
      <w:bookmarkEnd w:id="208"/>
      <w:bookmarkEnd w:id="209"/>
      <w:bookmarkEnd w:id="210"/>
      <w:bookmarkEnd w:id="211"/>
      <w:bookmarkEnd w:id="212"/>
      <w:bookmarkEnd w:id="213"/>
      <w:bookmarkEnd w:id="214"/>
      <w:bookmarkEnd w:id="215"/>
      <w:bookmarkEnd w:id="216"/>
      <w:bookmarkEnd w:id="217"/>
    </w:p>
    <w:p>
      <w:pPr>
        <w:keepNext w:val="0"/>
        <w:keepLines w:val="0"/>
        <w:pageBreakBefore w:val="0"/>
        <w:widowControl w:val="0"/>
        <w:kinsoku/>
        <w:wordWrap/>
        <w:overflowPunct/>
        <w:topLinePunct w:val="0"/>
        <w:autoSpaceDE/>
        <w:autoSpaceDN/>
        <w:bidi w:val="0"/>
        <w:adjustRightInd/>
        <w:snapToGrid/>
        <w:spacing w:beforeLines="-2147483648" w:afterLines="-2147483648"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根据海南农业发展基础、政策取向、市场前景，按照</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五稳、四向、三新</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的思路布局热带特色高效农业。</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“五稳”</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即立足土地要素制约、生态环境承载能力、国家政策等因素影响，稳定主导产业规模，着力推进品种调优、品质提升、品牌打造、标准化生产。重点打造</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“海南好米”</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产业带、冬季瓜菜产业带、</w:t>
      </w:r>
      <w:r>
        <w:rPr>
          <w:rFonts w:ascii="Times New Roman" w:hAnsi="Times New Roman" w:eastAsia="仿宋_GB2312" w:cs="Times New Roman"/>
          <w:i w:val="0"/>
          <w:iCs w:val="0"/>
          <w:caps w:val="0"/>
          <w:color w:val="000000" w:themeColor="text1"/>
          <w:spacing w:val="0"/>
          <w:sz w:val="32"/>
          <w:szCs w:val="32"/>
          <w:highlight w:val="none"/>
          <w:shd w:val="clear"/>
          <w14:textFill>
            <w14:solidFill>
              <w14:schemeClr w14:val="tx1"/>
            </w14:solidFill>
          </w14:textFill>
        </w:rPr>
        <w:t>热带作物</w:t>
      </w:r>
      <w:r>
        <w:rPr>
          <w:rFonts w:hint="default" w:ascii="Times New Roman" w:hAnsi="Times New Roman" w:eastAsia="仿宋_GB2312" w:cs="Times New Roman"/>
          <w:i w:val="0"/>
          <w:iCs w:val="0"/>
          <w:caps w:val="0"/>
          <w:color w:val="000000" w:themeColor="text1"/>
          <w:spacing w:val="0"/>
          <w:sz w:val="32"/>
          <w:szCs w:val="32"/>
          <w:highlight w:val="none"/>
          <w:shd w:val="clear"/>
          <w:lang w:val="en-US" w:eastAsia="zh-CN"/>
          <w14:textFill>
            <w14:solidFill>
              <w14:schemeClr w14:val="tx1"/>
            </w14:solidFill>
          </w14:textFill>
        </w:rPr>
        <w:t>产业带、</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海南黑猪产业带、现代化渔港经济区。</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“四向”</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即聚焦海洋资源、森林资源、南繁种业和品牌农业，坚持向海洋要增量、向林下要空间、向</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种业</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要潜力、向品牌要效益，培育农业经济新的增长点。重点打造沿海市县陆海接力</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“蓝色粮仓”</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产业带、中西部林下经济产业带、三亚经济圈南繁种业产业带，</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健全</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以</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“海南鲜品”</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为统领</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，以</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区域公用品牌</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企业品牌为</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重点</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的</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农业</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品牌矩阵。</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“三新”</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即发挥海南自由贸易港政策优势和区位优势，推广新品种、开拓新市场、做强新业态，打造农业经济新亮点。重点打造榴莲等热带优异果蔬产业带，推动文昌鸡等产品开拓国际市场，发展</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“市场潜力型”</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鲜果和</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“两头在外型”</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加工等新产业。</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218" w:name="_Toc2683"/>
      <w:bookmarkStart w:id="219" w:name="_Toc9242"/>
      <w:bookmarkStart w:id="220" w:name="_Toc8440"/>
      <w:bookmarkStart w:id="221" w:name="_Toc17065"/>
      <w:bookmarkStart w:id="222" w:name="_Toc7304"/>
      <w:bookmarkStart w:id="223" w:name="_Toc5498"/>
      <w:bookmarkStart w:id="224" w:name="_Toc11114"/>
      <w:bookmarkStart w:id="225" w:name="_Toc4290"/>
      <w:bookmarkStart w:id="226" w:name="_Toc10382"/>
      <w:bookmarkStart w:id="227" w:name="_Toc2188"/>
      <w:bookmarkStart w:id="228" w:name="_Toc18670"/>
      <w:bookmarkStart w:id="229" w:name="_Toc9535"/>
      <w:r>
        <w:rPr>
          <w:rFonts w:hint="default" w:ascii="Times New Roman" w:hAnsi="Times New Roman" w:eastAsia="黑体" w:cs="Times New Roman"/>
          <w:color w:val="000000" w:themeColor="text1"/>
          <w:sz w:val="32"/>
          <w:szCs w:val="32"/>
          <w:highlight w:val="none"/>
          <w14:textFill>
            <w14:solidFill>
              <w14:schemeClr w14:val="tx1"/>
            </w14:solidFill>
          </w14:textFill>
        </w:rPr>
        <w:t>第</w:t>
      </w: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六</w:t>
      </w:r>
      <w:r>
        <w:rPr>
          <w:rFonts w:hint="default" w:ascii="Times New Roman" w:hAnsi="Times New Roman" w:eastAsia="黑体" w:cs="Times New Roman"/>
          <w:color w:val="000000" w:themeColor="text1"/>
          <w:sz w:val="32"/>
          <w:szCs w:val="32"/>
          <w:highlight w:val="none"/>
          <w14:textFill>
            <w14:solidFill>
              <w14:schemeClr w14:val="tx1"/>
            </w14:solidFill>
          </w14:textFill>
        </w:rPr>
        <w:t>节 主要目标</w:t>
      </w:r>
      <w:bookmarkEnd w:id="179"/>
      <w:bookmarkEnd w:id="180"/>
      <w:bookmarkEnd w:id="181"/>
      <w:bookmarkEnd w:id="218"/>
      <w:bookmarkEnd w:id="219"/>
      <w:bookmarkEnd w:id="220"/>
      <w:bookmarkEnd w:id="221"/>
      <w:bookmarkEnd w:id="222"/>
      <w:bookmarkEnd w:id="223"/>
      <w:bookmarkEnd w:id="224"/>
      <w:bookmarkEnd w:id="225"/>
      <w:bookmarkEnd w:id="226"/>
      <w:bookmarkEnd w:id="227"/>
      <w:bookmarkEnd w:id="228"/>
      <w:bookmarkEnd w:id="229"/>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到2030年，</w:t>
      </w:r>
      <w:r>
        <w:rPr>
          <w:rFonts w:hint="eastAsia" w:ascii="仿宋_GB2312" w:hAnsi="仿宋_GB2312" w:eastAsia="仿宋_GB2312" w:cs="仿宋_GB2312"/>
          <w:color w:val="000000" w:themeColor="text1"/>
          <w:sz w:val="32"/>
          <w:szCs w:val="32"/>
          <w:u w:val="none"/>
          <w14:textFill>
            <w14:solidFill>
              <w14:schemeClr w14:val="tx1"/>
            </w14:solidFill>
          </w14:textFill>
        </w:rPr>
        <w:t>农业强省建设取得明显进展，农业农村现代化迈上新台阶</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农业高质量发展取得显著成效，粮食、天然橡胶稳产保供能力巩固提升，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南繁种业、海洋渔业、热带优异果蔬、国际农产品加工等特色产业加快发展，农业新质生产力不断涌现，</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农业综合生产能力和质量效益持续提升。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南繁硅谷建设取得更大成效，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农业科技自立自强水平大幅提高，农业科技进步贡献率稳步提高。海南自由贸易港农业高水平对外开放和农村深化改革取得新突破，农业国际竞争力</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和风险防控能力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显著提升。宜居宜业和美乡村建设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稳步推进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，全域整治、万村清洁、千村和美、双环引领、片区带动、全面振兴格局</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加快形成</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，60%以上的行政村基本具备现代生活条件，乡村治理体系和治理能力现代化明显提升。</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建立</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健全</w:t>
      </w:r>
      <w:r>
        <w:rPr>
          <w:rFonts w:hint="eastAsia" w:ascii="仿宋_GB2312" w:hAnsi="仿宋_GB2312" w:eastAsia="仿宋_GB2312" w:cs="仿宋_GB2312"/>
          <w:color w:val="000000" w:themeColor="text1"/>
          <w:sz w:val="32"/>
          <w:szCs w:val="32"/>
          <w:u w:val="none"/>
          <w14:textFill>
            <w14:solidFill>
              <w14:schemeClr w14:val="tx1"/>
            </w14:solidFill>
          </w14:textFill>
        </w:rPr>
        <w:t>常态化防止返贫致贫机制，确保不发生规模性返贫致贫</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农民生活品质不断提高，城乡（垦地）区域发展差距和居民生活水平差距显著缩小，农民获得感、幸福感、安全感显著增强。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在此基础上再奋斗五年，到2035年农业农村现代化取得决定性进展，</w:t>
      </w:r>
      <w:r>
        <w:rPr>
          <w:rFonts w:hint="eastAsia" w:ascii="仿宋_GB2312" w:hAnsi="仿宋_GB2312" w:eastAsia="仿宋_GB2312" w:cs="仿宋_GB2312"/>
          <w:color w:val="000000" w:themeColor="text1"/>
          <w:sz w:val="32"/>
          <w:szCs w:val="32"/>
          <w:u w:val="none"/>
          <w14:textFill>
            <w14:solidFill>
              <w14:schemeClr w14:val="tx1"/>
            </w14:solidFill>
          </w14:textFill>
        </w:rPr>
        <w:t>农业强省建设取得显著成效，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农业现代化基本实现，农村基本具备现代生活条件。</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716"/>
        <w:gridCol w:w="5154"/>
        <w:gridCol w:w="1189"/>
        <w:gridCol w:w="1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5000" w:type="pct"/>
            <w:gridSpan w:val="5"/>
            <w:shd w:val="clear" w:color="auto" w:fill="BEBEBE" w:themeFill="background1" w:themeFillShade="BF"/>
            <w:noWrap/>
            <w:vAlign w:val="center"/>
          </w:tcPr>
          <w:p>
            <w:pPr>
              <w:keepNext/>
              <w:keepLines w:val="0"/>
              <w:pageBreakBefore w:val="0"/>
              <w:widowControl/>
              <w:kinsoku/>
              <w:wordWrap/>
              <w:overflowPunct/>
              <w:topLinePunct w:val="0"/>
              <w:autoSpaceDE/>
              <w:autoSpaceDN/>
              <w:bidi w:val="0"/>
              <w:adjustRightInd/>
              <w:snapToGrid/>
              <w:spacing w:beforeLines="-2147483648" w:afterLines="-2147483648" w:afterAutospacing="0" w:line="300" w:lineRule="exact"/>
              <w:jc w:val="center"/>
              <w:textAlignment w:val="auto"/>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bookmarkStart w:id="230" w:name="_Toc17690"/>
            <w:bookmarkStart w:id="231" w:name="_Toc7662"/>
            <w:bookmarkStart w:id="232" w:name="_Toc3363"/>
            <w:r>
              <w:rPr>
                <w:rFonts w:hint="eastAsia" w:ascii="楷体" w:hAnsi="楷体" w:eastAsia="楷体" w:cs="楷体"/>
                <w:b w:val="0"/>
                <w:bCs/>
                <w:color w:val="000000"/>
                <w:sz w:val="28"/>
                <w:szCs w:val="28"/>
                <w:highlight w:val="none"/>
                <w:shd w:val="clear" w:color="auto" w:fill="FFFFFF"/>
                <w:lang w:val="en-US" w:eastAsia="zh-CN"/>
              </w:rPr>
              <w:t xml:space="preserve">专栏1 </w:t>
            </w:r>
            <w:r>
              <w:rPr>
                <w:rFonts w:hint="eastAsia" w:ascii="楷体" w:hAnsi="楷体" w:eastAsia="楷体" w:cs="楷体"/>
                <w:b w:val="0"/>
                <w:bCs/>
                <w:color w:val="000000"/>
                <w:sz w:val="28"/>
                <w:szCs w:val="28"/>
                <w:highlight w:val="none"/>
                <w:shd w:val="clear" w:color="auto" w:fill="FFFFFF"/>
              </w:rPr>
              <w:t xml:space="preserve"> </w:t>
            </w:r>
            <w:r>
              <w:rPr>
                <w:rFonts w:hint="eastAsia" w:ascii="楷体" w:hAnsi="楷体" w:eastAsia="楷体" w:cs="楷体"/>
                <w:b w:val="0"/>
                <w:bCs/>
                <w:color w:val="000000"/>
                <w:sz w:val="28"/>
                <w:szCs w:val="28"/>
                <w:highlight w:val="none"/>
                <w:shd w:val="clear" w:color="auto" w:fill="FFFFFF"/>
                <w:lang w:val="en-US" w:eastAsia="zh-CN"/>
              </w:rPr>
              <w:t>“十五五”时期</w:t>
            </w:r>
            <w:r>
              <w:rPr>
                <w:rFonts w:hint="eastAsia" w:ascii="楷体" w:hAnsi="楷体" w:eastAsia="楷体" w:cs="楷体"/>
                <w:b w:val="0"/>
                <w:bCs/>
                <w:color w:val="000000"/>
                <w:sz w:val="28"/>
                <w:szCs w:val="28"/>
                <w:highlight w:val="none"/>
                <w:shd w:val="clear" w:color="auto" w:fill="FFFFFF"/>
              </w:rPr>
              <w:t>农业农村现代化主要指标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485" w:type="pct"/>
            <w:shd w:val="clear" w:color="auto" w:fill="F1F1F1" w:themeFill="background1" w:themeFillShade="F2"/>
            <w:noWrap/>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pPr>
            <w:r>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t>分类</w:t>
            </w: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pPr>
            <w:r>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t>序号</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pPr>
            <w:r>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t>指标</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pPr>
            <w:r>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t>2025年</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pPr>
            <w:r>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t>基期值</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pPr>
            <w:r>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t>2030年</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pPr>
            <w:r>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t>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485" w:type="pct"/>
            <w:vMerge w:val="restar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t>农业现代化</w:t>
            </w: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粮食综合生产能力（万吨）</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142.7</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完成国家下达任务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第一产业</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增加值（亿元）</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16</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42</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热带特色高效农业增加值占</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农林牧渔业增加值比重（%）</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65</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4</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种业及关联产业产值（亿元）</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200</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5</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渔业总产值（亿元）</w:t>
            </w:r>
          </w:p>
        </w:tc>
        <w:tc>
          <w:tcPr>
            <w:tcW w:w="650" w:type="pct"/>
            <w:shd w:val="clear" w:color="auto" w:fill="F1F1F1" w:themeFill="background1" w:themeFillShade="F2"/>
            <w:noWrap/>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625</w:t>
            </w:r>
          </w:p>
        </w:tc>
        <w:tc>
          <w:tcPr>
            <w:tcW w:w="650" w:type="pct"/>
            <w:shd w:val="clear" w:color="auto" w:fill="F1F1F1" w:themeFill="background1" w:themeFillShade="F2"/>
            <w:noWrap/>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6</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养捕比（比值）</w:t>
            </w:r>
          </w:p>
        </w:tc>
        <w:tc>
          <w:tcPr>
            <w:tcW w:w="650" w:type="pct"/>
            <w:shd w:val="clear" w:color="auto" w:fill="F1F1F1" w:themeFill="background1" w:themeFillShade="F2"/>
            <w:noWrap/>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45比55</w:t>
            </w:r>
          </w:p>
        </w:tc>
        <w:tc>
          <w:tcPr>
            <w:tcW w:w="650" w:type="pct"/>
            <w:shd w:val="clear" w:color="auto" w:fill="F1F1F1" w:themeFill="background1" w:themeFillShade="F2"/>
            <w:noWrap/>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55比45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7</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养殖尾水处理设施配备率（%）</w:t>
            </w:r>
          </w:p>
        </w:tc>
        <w:tc>
          <w:tcPr>
            <w:tcW w:w="650" w:type="pct"/>
            <w:shd w:val="clear" w:color="auto" w:fill="F1F1F1" w:themeFill="background1" w:themeFillShade="F2"/>
            <w:noWrap/>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45</w:t>
            </w:r>
          </w:p>
        </w:tc>
        <w:tc>
          <w:tcPr>
            <w:tcW w:w="650" w:type="pct"/>
            <w:shd w:val="clear" w:color="auto" w:fill="F1F1F1" w:themeFill="background1" w:themeFillShade="F2"/>
            <w:noWrap/>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8</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农业科技进步贡献率（%）</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65</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9</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农作物耕种收综合机械化率（%）</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75</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10</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百亿级农业产业集群个数（个）</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8</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11</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农产品加工业产值与</w:t>
            </w:r>
          </w:p>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农业总产值之比（比值）</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0.98比1</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1.8比1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12</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农业劳动生产率（万元/人）</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10.0</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13</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农产品进出口贸易额（亿元）</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234</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14</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休闲农（渔）业营业收入（亿元）</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86</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15</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农产品例行监测合格率（%）</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≥97</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restar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24"/>
                <w:szCs w:val="24"/>
                <w:highlight w:val="none"/>
                <w:lang w:val="en-US" w:eastAsia="zh-CN"/>
                <w14:textFill>
                  <w14:solidFill>
                    <w14:schemeClr w14:val="tx1"/>
                  </w14:solidFill>
                </w14:textFill>
              </w:rPr>
              <w:t>农村现代化</w:t>
            </w: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16</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农村居民年人均生活用电量（千瓦时）</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1200</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5</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17</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乡村义务教育学校专任教师本科以上比例（%）</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69</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8</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乡村医师中执业（助理）医师比例（%）</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48.3</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农村生活污水治理（管控）率（%）</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pacing w:val="-6"/>
                <w:sz w:val="24"/>
                <w:szCs w:val="24"/>
                <w:highlight w:val="none"/>
                <w:lang w:val="en-US" w:eastAsia="zh-CN"/>
                <w14:textFill>
                  <w14:solidFill>
                    <w14:schemeClr w14:val="tx1"/>
                  </w14:solidFill>
                </w14:textFill>
              </w:rPr>
              <w:t>90.</w:t>
            </w:r>
            <w:r>
              <w:rPr>
                <w:rFonts w:hint="eastAsia" w:ascii="Times New Roman" w:hAnsi="Times New Roman" w:cs="Times New Roman"/>
                <w:color w:val="000000" w:themeColor="text1"/>
                <w:spacing w:val="-6"/>
                <w:sz w:val="24"/>
                <w:szCs w:val="24"/>
                <w:highlight w:val="none"/>
                <w:lang w:val="en-US" w:eastAsia="zh-CN"/>
                <w14:textFill>
                  <w14:solidFill>
                    <w14:schemeClr w14:val="tx1"/>
                  </w14:solidFill>
                </w14:textFill>
              </w:rPr>
              <w:t>7</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9</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20</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规模化供水工程覆盖农村人口比例（%）</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67.</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7</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21</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垦区生活垃圾处理率</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68.2</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restar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黑体" w:hAnsi="黑体" w:eastAsia="黑体" w:cs="黑体"/>
                <w:b w:val="0"/>
                <w:bCs w:val="0"/>
                <w:color w:val="000000" w:themeColor="text1"/>
                <w:sz w:val="24"/>
                <w:szCs w:val="24"/>
                <w:highlight w:val="none"/>
                <w:lang w:val="en-US" w:eastAsia="zh-CN"/>
                <w14:textFill>
                  <w14:solidFill>
                    <w14:schemeClr w14:val="tx1"/>
                  </w14:solidFill>
                </w14:textFill>
              </w:rPr>
              <w:t>农民现代化</w:t>
            </w: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22</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农村居民人均可支配收入（万元）</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33</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3.15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23</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城乡居民收入比</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（比值）</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1.9</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7</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比1</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w:t>
            </w: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92</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比1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24</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农村居民人均消费支出（万元）</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1.96</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25</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农村居民家庭汽车普及率（%）</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23.2</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4</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26</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农村居民教育文化娱乐支出占比（%）</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10.</w:t>
            </w: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5</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27</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农业生产经营人员平均受教育年限（年）</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5</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11.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485" w:type="pct"/>
            <w:vMerge w:val="continue"/>
            <w:shd w:val="clear" w:color="auto" w:fill="F1F1F1" w:themeFill="background1" w:themeFillShade="F2"/>
            <w:noWrap/>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28</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农村居民平均预期寿命（年）</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80.5</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color w:val="000000" w:themeColor="text1"/>
                <w:sz w:val="24"/>
                <w:szCs w:val="24"/>
                <w:highlight w:val="none"/>
                <w:lang w:val="en-US" w:eastAsia="zh-CN"/>
                <w14:textFill>
                  <w14:solidFill>
                    <w14:schemeClr w14:val="tx1"/>
                  </w14:solidFill>
                </w14:textFill>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85" w:type="pct"/>
            <w:vMerge w:val="restart"/>
            <w:shd w:val="clear" w:color="auto" w:fill="F1F1F1" w:themeFill="background1" w:themeFillShade="F2"/>
            <w:noWrap/>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24"/>
                <w:szCs w:val="24"/>
                <w:highlight w:val="none"/>
                <w:lang w:val="en-US" w:eastAsia="zh-CN"/>
                <w14:textFill>
                  <w14:solidFill>
                    <w14:schemeClr w14:val="tx1"/>
                  </w14:solidFill>
                </w14:textFill>
              </w:rPr>
              <w:t>乡村治理现代化</w:t>
            </w: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29</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村党组织书记大专及以上学历占比（%）</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60.9</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&gt;80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485" w:type="pct"/>
            <w:vMerge w:val="continue"/>
            <w:shd w:val="clear" w:color="auto" w:fill="F1F1F1" w:themeFill="background1" w:themeFillShade="F2"/>
            <w:noWrap/>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p>
        </w:tc>
        <w:tc>
          <w:tcPr>
            <w:tcW w:w="39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4"/>
                <w:szCs w:val="24"/>
                <w:highlight w:val="none"/>
                <w:lang w:val="en-US" w:eastAsia="zh-CN"/>
                <w14:textFill>
                  <w14:solidFill>
                    <w14:schemeClr w14:val="tx1"/>
                  </w14:solidFill>
                </w14:textFill>
              </w:rPr>
              <w:t>30</w:t>
            </w:r>
          </w:p>
        </w:tc>
        <w:tc>
          <w:tcPr>
            <w:tcW w:w="2821"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县级以上文明村占比（%）</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50.5</w:t>
            </w:r>
          </w:p>
        </w:tc>
        <w:tc>
          <w:tcPr>
            <w:tcW w:w="650" w:type="pct"/>
            <w:shd w:val="clear" w:color="auto" w:fill="F1F1F1" w:themeFill="background1" w:themeFillShade="F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afterAutospacing="0" w:line="240" w:lineRule="auto"/>
              <w:jc w:val="center"/>
              <w:textAlignment w:val="auto"/>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&gt;65</w:t>
            </w:r>
          </w:p>
        </w:tc>
      </w:tr>
    </w:tbl>
    <w:p>
      <w:pPr>
        <w:keepNext/>
        <w:keepLines/>
        <w:pageBreakBefore w:val="0"/>
        <w:widowControl w:val="0"/>
        <w:kinsoku/>
        <w:wordWrap/>
        <w:overflowPunct/>
        <w:topLinePunct w:val="0"/>
        <w:autoSpaceDE/>
        <w:autoSpaceDN/>
        <w:bidi w:val="0"/>
        <w:adjustRightInd/>
        <w:snapToGrid/>
        <w:spacing w:before="0" w:after="0"/>
        <w:ind w:firstLineChars="0"/>
        <w:jc w:val="center"/>
        <w:textAlignment w:val="auto"/>
        <w:rPr>
          <w:rFonts w:hint="default" w:ascii="Times New Roman" w:hAnsi="Times New Roman" w:eastAsia="黑体" w:cs="Times New Roman"/>
          <w:b w:val="0"/>
          <w:bCs/>
          <w:color w:val="000000" w:themeColor="text1"/>
          <w:sz w:val="32"/>
          <w:szCs w:val="32"/>
          <w:highlight w:val="none"/>
          <w14:textFill>
            <w14:solidFill>
              <w14:schemeClr w14:val="tx1"/>
            </w14:solidFill>
          </w14:textFill>
        </w:rPr>
      </w:pPr>
      <w:r>
        <w:rPr>
          <w:rFonts w:hint="default" w:ascii="Times New Roman" w:hAnsi="Times New Roman" w:eastAsia="黑体" w:cs="Times New Roman"/>
          <w:b w:val="0"/>
          <w:bCs/>
          <w:color w:val="000000" w:themeColor="text1"/>
          <w:sz w:val="32"/>
          <w:szCs w:val="32"/>
          <w:highlight w:val="none"/>
          <w14:textFill>
            <w14:solidFill>
              <w14:schemeClr w14:val="tx1"/>
            </w14:solidFill>
          </w14:textFill>
        </w:rPr>
        <w:br w:type="page"/>
      </w:r>
    </w:p>
    <w:p>
      <w:pPr>
        <w:pStyle w:val="2"/>
        <w:keepNext/>
        <w:keepLines/>
        <w:pageBreakBefore w:val="0"/>
        <w:widowControl w:val="0"/>
        <w:kinsoku/>
        <w:wordWrap/>
        <w:overflowPunct/>
        <w:topLinePunct w:val="0"/>
        <w:autoSpaceDE/>
        <w:autoSpaceDN/>
        <w:bidi w:val="0"/>
        <w:adjustRightInd/>
        <w:snapToGrid/>
        <w:spacing w:before="0" w:after="0" w:line="590" w:lineRule="exact"/>
        <w:ind w:firstLine="0" w:firstLineChars="0"/>
        <w:jc w:val="center"/>
        <w:textAlignment w:val="auto"/>
        <w:outlineLvl w:val="9"/>
        <w:rPr>
          <w:rFonts w:hint="default" w:ascii="Times New Roman" w:hAnsi="Times New Roman" w:eastAsia="黑体" w:cs="Times New Roman"/>
          <w:b w:val="0"/>
          <w:bCs/>
          <w:color w:val="000000" w:themeColor="text1"/>
          <w:sz w:val="32"/>
          <w:szCs w:val="32"/>
          <w:highlight w:val="none"/>
          <w14:textFill>
            <w14:solidFill>
              <w14:schemeClr w14:val="tx1"/>
            </w14:solidFill>
          </w14:textFill>
        </w:rPr>
        <w:sectPr>
          <w:footerReference r:id="rId10" w:type="default"/>
          <w:pgSz w:w="11906" w:h="16838"/>
          <w:pgMar w:top="2024" w:right="1406" w:bottom="1559" w:left="1576" w:header="851" w:footer="992" w:gutter="0"/>
          <w:pgBorders>
            <w:top w:val="none" w:sz="0" w:space="0"/>
            <w:left w:val="none" w:sz="0" w:space="0"/>
            <w:bottom w:val="none" w:sz="0" w:space="0"/>
            <w:right w:val="none" w:sz="0" w:space="0"/>
          </w:pgBorders>
          <w:pgNumType w:fmt="decimal" w:start="1"/>
          <w:cols w:space="0" w:num="1"/>
          <w:rtlGutter w:val="0"/>
          <w:docGrid w:type="lines" w:linePitch="318" w:charSpace="0"/>
        </w:sectPr>
      </w:pPr>
    </w:p>
    <w:p>
      <w:pPr>
        <w:jc w:val="center"/>
        <w:outlineLvl w:val="0"/>
        <w:rPr>
          <w:rFonts w:hint="eastAsia" w:ascii="黑体" w:hAnsi="黑体" w:eastAsia="黑体" w:cs="黑体"/>
          <w:color w:val="000000" w:themeColor="text1"/>
          <w:sz w:val="36"/>
          <w:szCs w:val="36"/>
          <w:highlight w:val="none"/>
          <w14:textFill>
            <w14:solidFill>
              <w14:schemeClr w14:val="tx1"/>
            </w14:solidFill>
          </w14:textFill>
        </w:rPr>
      </w:pPr>
      <w:bookmarkStart w:id="233" w:name="_Toc28795"/>
      <w:bookmarkStart w:id="234" w:name="_Toc13468"/>
      <w:bookmarkStart w:id="235" w:name="_Toc3822"/>
      <w:bookmarkStart w:id="236" w:name="_Toc10296"/>
      <w:bookmarkStart w:id="237" w:name="_Toc2537"/>
      <w:bookmarkStart w:id="238" w:name="_Toc6651"/>
      <w:bookmarkStart w:id="239" w:name="_Toc15247"/>
      <w:bookmarkStart w:id="240" w:name="_Toc5317"/>
      <w:bookmarkStart w:id="241" w:name="_Toc12338"/>
      <w:bookmarkStart w:id="242" w:name="_Toc1275"/>
      <w:bookmarkStart w:id="243" w:name="_Toc29702"/>
      <w:bookmarkStart w:id="244" w:name="_Toc6863"/>
      <w:r>
        <w:rPr>
          <w:rFonts w:hint="eastAsia" w:ascii="黑体" w:hAnsi="黑体" w:eastAsia="黑体" w:cs="黑体"/>
          <w:color w:val="000000" w:themeColor="text1"/>
          <w:sz w:val="36"/>
          <w:szCs w:val="36"/>
          <w:highlight w:val="none"/>
          <w14:textFill>
            <w14:solidFill>
              <w14:schemeClr w14:val="tx1"/>
            </w14:solidFill>
          </w14:textFill>
        </w:rPr>
        <w:t>第二章  聚焦国家重大战略需求</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p>
    <w:p>
      <w:pPr>
        <w:jc w:val="center"/>
        <w:outlineLvl w:val="0"/>
        <w:rPr>
          <w:rFonts w:hint="eastAsia" w:ascii="黑体" w:hAnsi="黑体" w:eastAsia="黑体" w:cs="黑体"/>
          <w:color w:val="000000" w:themeColor="text1"/>
          <w:sz w:val="36"/>
          <w:szCs w:val="36"/>
          <w:highlight w:val="none"/>
          <w14:textFill>
            <w14:solidFill>
              <w14:schemeClr w14:val="tx1"/>
            </w14:solidFill>
          </w14:textFill>
        </w:rPr>
      </w:pPr>
      <w:bookmarkStart w:id="245" w:name="_Toc9819"/>
      <w:bookmarkStart w:id="246" w:name="_Toc20174"/>
      <w:bookmarkStart w:id="247" w:name="_Toc5670"/>
      <w:bookmarkStart w:id="248" w:name="_Toc1267"/>
      <w:bookmarkStart w:id="249" w:name="_Toc25231"/>
      <w:bookmarkStart w:id="250" w:name="_Toc27972"/>
      <w:bookmarkStart w:id="251" w:name="_Toc7364"/>
      <w:bookmarkStart w:id="252" w:name="_Toc27645"/>
      <w:bookmarkStart w:id="253" w:name="_Toc27621"/>
      <w:bookmarkStart w:id="254" w:name="_Toc28392"/>
      <w:bookmarkStart w:id="255" w:name="_Toc9349"/>
      <w:bookmarkStart w:id="256" w:name="_Toc32721"/>
      <w:bookmarkStart w:id="257" w:name="_Toc31882"/>
      <w:bookmarkStart w:id="258" w:name="_Toc27204"/>
      <w:bookmarkStart w:id="259" w:name="_Toc6349"/>
      <w:r>
        <w:rPr>
          <w:rFonts w:hint="eastAsia" w:ascii="黑体" w:hAnsi="黑体" w:eastAsia="黑体" w:cs="黑体"/>
          <w:color w:val="000000" w:themeColor="text1"/>
          <w:sz w:val="36"/>
          <w:szCs w:val="36"/>
          <w:highlight w:val="none"/>
          <w14:textFill>
            <w14:solidFill>
              <w14:schemeClr w14:val="tx1"/>
            </w14:solidFill>
          </w14:textFill>
        </w:rPr>
        <w:t>做好南繁种业与橡胶保供两篇文章</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高水平建设南繁硅谷</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国家级种业创新基地，不断</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增强我国种源自主可控能力</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推动天然橡胶产业高质量发展</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提升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天然橡胶稳产保供能力，对海南加快建设农业强省、加快推进农业农村现代化具有重大意义。要围绕做好南繁种业与橡胶保供两篇文章，加快建设服务全国的南繁硅谷，</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做大做强</w:t>
      </w:r>
      <w:r>
        <w:rPr>
          <w:rFonts w:hint="eastAsia" w:ascii="仿宋_GB2312" w:hAnsi="仿宋_GB2312" w:eastAsia="仿宋_GB2312" w:cs="仿宋_GB2312"/>
          <w:color w:val="000000" w:themeColor="text1"/>
          <w:sz w:val="32"/>
          <w:szCs w:val="32"/>
          <w:highlight w:val="none"/>
          <w14:textFill>
            <w14:solidFill>
              <w14:schemeClr w14:val="tx1"/>
            </w14:solidFill>
          </w14:textFill>
        </w:rPr>
        <w:t>“种源+种业+种市”</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南繁产业，着力提升天然橡胶生产能力和质量效益。</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260" w:name="_Toc28073"/>
      <w:bookmarkStart w:id="261" w:name="_Toc6425"/>
      <w:bookmarkStart w:id="262" w:name="_Toc16178"/>
      <w:bookmarkStart w:id="263" w:name="_Toc20452"/>
      <w:bookmarkStart w:id="264" w:name="_Toc26142"/>
      <w:bookmarkStart w:id="265" w:name="_Toc5230"/>
      <w:bookmarkStart w:id="266" w:name="_Toc17645"/>
      <w:bookmarkStart w:id="267" w:name="_Toc12607"/>
      <w:bookmarkStart w:id="268" w:name="_Toc5066"/>
      <w:bookmarkStart w:id="269" w:name="_Toc28565"/>
      <w:bookmarkStart w:id="270" w:name="_Toc18560"/>
      <w:bookmarkStart w:id="271" w:name="_Toc9219"/>
      <w:bookmarkStart w:id="272" w:name="_Toc30116"/>
      <w:bookmarkStart w:id="273" w:name="_Toc18735"/>
      <w:bookmarkStart w:id="274" w:name="_Toc19700"/>
      <w:r>
        <w:rPr>
          <w:rFonts w:hint="default" w:ascii="Times New Roman" w:hAnsi="Times New Roman" w:eastAsia="黑体" w:cs="Times New Roman"/>
          <w:color w:val="000000" w:themeColor="text1"/>
          <w:sz w:val="32"/>
          <w:szCs w:val="32"/>
          <w:highlight w:val="none"/>
          <w14:textFill>
            <w14:solidFill>
              <w14:schemeClr w14:val="tx1"/>
            </w14:solidFill>
          </w14:textFill>
        </w:rPr>
        <w:t>第一节 加快建设服务全国的南繁硅谷</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275" w:name="_Toc24787"/>
      <w:bookmarkStart w:id="276" w:name="_Toc18968"/>
      <w:bookmarkStart w:id="277" w:name="_Toc5718"/>
      <w:bookmarkStart w:id="278" w:name="_Toc18961"/>
      <w:bookmarkStart w:id="279" w:name="_Toc15001"/>
      <w:bookmarkStart w:id="280" w:name="_Toc18359"/>
      <w:bookmarkStart w:id="281" w:name="_Toc27455"/>
      <w:bookmarkStart w:id="282" w:name="_Toc22647"/>
      <w:bookmarkStart w:id="283" w:name="_Toc2494"/>
      <w:bookmarkStart w:id="284" w:name="_Toc9039"/>
      <w:bookmarkStart w:id="285" w:name="_Toc5553"/>
      <w:bookmarkStart w:id="286" w:name="_Toc15457"/>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一、高标准建设南繁科技城</w:t>
      </w:r>
      <w:bookmarkEnd w:id="275"/>
      <w:bookmarkEnd w:id="276"/>
      <w:bookmarkEnd w:id="277"/>
      <w:bookmarkEnd w:id="278"/>
      <w:bookmarkEnd w:id="279"/>
      <w:bookmarkEnd w:id="280"/>
      <w:bookmarkEnd w:id="281"/>
      <w:bookmarkEnd w:id="282"/>
      <w:bookmarkEnd w:id="283"/>
      <w:bookmarkEnd w:id="284"/>
      <w:bookmarkEnd w:id="285"/>
      <w:bookmarkEnd w:id="286"/>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支持崖州湾国家实验室等关键共性平台和深蓝渔业创新实验室等应用研究平台建设，形成</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“基础研究+技术攻关+成果转化”的全链条创新体</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系。设立产学研联合种业创新平台，围绕粮食作物、冬季瓜菜、热带水果、热带花卉、地方畜禽、水产等海南特色品种开展农业关键核心技术攻关，</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打造全球水产种源创新策源地和</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种子</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种苗</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供给</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基地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优化三亚崖州湾科技城共享仪器设备服务流程，推进种业科研平台、重大设施等仪器设备开放共享使用</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287" w:name="_Toc22273"/>
      <w:bookmarkStart w:id="288" w:name="_Toc17988"/>
      <w:bookmarkStart w:id="289" w:name="_Toc1927"/>
      <w:bookmarkStart w:id="290" w:name="_Toc21549"/>
      <w:bookmarkStart w:id="291" w:name="_Toc7998"/>
      <w:bookmarkStart w:id="292" w:name="_Toc6034"/>
      <w:bookmarkStart w:id="293" w:name="_Toc17021"/>
      <w:bookmarkStart w:id="294" w:name="_Toc3732"/>
      <w:bookmarkStart w:id="295" w:name="_Toc32092"/>
      <w:bookmarkStart w:id="296" w:name="_Toc8379"/>
      <w:bookmarkStart w:id="297" w:name="_Toc10082"/>
      <w:bookmarkStart w:id="298" w:name="_Toc3277"/>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二、优化提升国家南繁科研育种基地</w:t>
      </w:r>
      <w:bookmarkEnd w:id="287"/>
      <w:bookmarkEnd w:id="288"/>
      <w:bookmarkEnd w:id="289"/>
      <w:bookmarkEnd w:id="290"/>
      <w:bookmarkEnd w:id="291"/>
      <w:bookmarkEnd w:id="292"/>
      <w:bookmarkEnd w:id="293"/>
      <w:bookmarkEnd w:id="294"/>
      <w:bookmarkEnd w:id="295"/>
      <w:bookmarkEnd w:id="296"/>
      <w:bookmarkEnd w:id="297"/>
      <w:bookmarkEnd w:id="298"/>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推动南繁</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科研育种</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基地数智化升级</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，不断优化南繁硅谷云综合服务平台。谋划推动南繁硅谷重大科创平台项目，建设一批水产种苗、热带作物良种繁育基地。支持国家南繁生物育种专区提质扩容，培育壮大生物育种新业态。持续提升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南繁科研育种基地配套服务区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设施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条件和服务水平</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推动解决少数南繁基地用水短缺、排灌不畅等问题</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。推动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建设南繁田间综合服务站，健全田间服务网络。到2030年，核心区基地信息化覆盖率达到95%以上，南繁保护区农田灌溉保证率达到90%以上。</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default" w:ascii="Times New Roman" w:hAnsi="Times New Roman" w:eastAsia="楷体" w:cs="Times New Roman"/>
          <w:b/>
          <w:bCs/>
          <w:color w:val="000000" w:themeColor="text1"/>
          <w:sz w:val="32"/>
          <w:szCs w:val="32"/>
          <w:highlight w:val="none"/>
          <w:lang w:val="en-US" w:eastAsia="zh-CN"/>
          <w14:textFill>
            <w14:solidFill>
              <w14:schemeClr w14:val="tx1"/>
            </w14:solidFill>
          </w14:textFill>
        </w:rPr>
      </w:pPr>
      <w:bookmarkStart w:id="299" w:name="_Toc16140"/>
      <w:bookmarkStart w:id="300" w:name="_Toc14386"/>
      <w:bookmarkStart w:id="301" w:name="_Toc1425"/>
      <w:bookmarkStart w:id="302" w:name="_Toc2815"/>
      <w:bookmarkStart w:id="303" w:name="_Toc1209"/>
      <w:bookmarkStart w:id="304" w:name="_Toc25971"/>
      <w:bookmarkStart w:id="305" w:name="_Toc11820"/>
      <w:bookmarkStart w:id="306" w:name="_Toc18895"/>
      <w:bookmarkStart w:id="307" w:name="_Toc18221"/>
      <w:bookmarkStart w:id="308" w:name="_Toc32392"/>
      <w:bookmarkStart w:id="309" w:name="_Toc27494"/>
      <w:bookmarkStart w:id="310" w:name="_Toc3517"/>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三、推动全球动植物种质资源引进中转基地高效发展</w:t>
      </w:r>
      <w:bookmarkEnd w:id="299"/>
      <w:bookmarkEnd w:id="300"/>
      <w:bookmarkEnd w:id="301"/>
      <w:bookmarkEnd w:id="302"/>
      <w:bookmarkEnd w:id="303"/>
      <w:bookmarkEnd w:id="304"/>
      <w:bookmarkEnd w:id="305"/>
      <w:bookmarkEnd w:id="306"/>
      <w:bookmarkEnd w:id="307"/>
      <w:bookmarkEnd w:id="308"/>
      <w:bookmarkEnd w:id="309"/>
      <w:bookmarkEnd w:id="310"/>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提升重点口岸种质资源查验能力，在三亚凤凰机场、南山港等口岸布局建设进境动植物种质资源检疫设施。高标准建设</w:t>
      </w:r>
      <w:r>
        <w:rPr>
          <w:rFonts w:hint="default" w:ascii="Times New Roman" w:hAnsi="Times New Roman" w:eastAsia="仿宋_GB2312"/>
          <w:color w:val="000000" w:themeColor="text1"/>
          <w:sz w:val="32"/>
          <w:szCs w:val="32"/>
          <w:highlight w:val="none"/>
          <w14:textFill>
            <w14:solidFill>
              <w14:schemeClr w14:val="tx1"/>
            </w14:solidFill>
          </w14:textFill>
        </w:rPr>
        <w:t>月亮岛专区，探索动植物种质资源及相关货物进出口审批、监管制度创新，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在生物育种等领域探索建立进口研发用物品</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白名</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单”</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制度</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推动开展</w:t>
      </w:r>
      <w:r>
        <w:rPr>
          <w:rFonts w:hint="default" w:ascii="Times New Roman" w:hAnsi="Times New Roman" w:eastAsia="仿宋_GB2312"/>
          <w:color w:val="000000" w:themeColor="text1"/>
          <w:sz w:val="32"/>
          <w:szCs w:val="32"/>
          <w:highlight w:val="none"/>
          <w14:textFill>
            <w14:solidFill>
              <w14:schemeClr w14:val="tx1"/>
            </w14:solidFill>
          </w14:textFill>
        </w:rPr>
        <w:t>动植物生物工程技术和检验检测等国际服务创新业务</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olor w:val="000000" w:themeColor="text1"/>
          <w:sz w:val="32"/>
          <w:szCs w:val="32"/>
          <w:highlight w:val="none"/>
          <w14:textFill>
            <w14:solidFill>
              <w14:schemeClr w14:val="tx1"/>
            </w14:solidFill>
          </w14:textFill>
        </w:rPr>
        <w:t>布局动物检疫隔离场设施，</w:t>
      </w:r>
      <w:r>
        <w:rPr>
          <w:rFonts w:hint="default" w:ascii="Times New Roman" w:hAnsi="Times New Roman" w:eastAsia="仿宋_GB2312" w:cs="Times New Roman"/>
          <w:color w:val="000000" w:themeColor="text1"/>
          <w:sz w:val="32"/>
          <w:szCs w:val="32"/>
          <w:highlight w:val="none"/>
          <w:lang w:val="en" w:eastAsia="zh-CN"/>
          <w14:textFill>
            <w14:solidFill>
              <w14:schemeClr w14:val="tx1"/>
            </w14:solidFill>
          </w14:textFill>
        </w:rPr>
        <w:t>建设南繁生物安全预防控制服务中心，健全有害生物监测网点</w:t>
      </w:r>
      <w:r>
        <w:rPr>
          <w:rFonts w:hint="default" w:ascii="Times New Roman" w:hAnsi="Times New Roman" w:eastAsia="仿宋_GB2312"/>
          <w:color w:val="000000" w:themeColor="text1"/>
          <w:sz w:val="32"/>
          <w:szCs w:val="32"/>
          <w:highlight w:val="none"/>
          <w14:textFill>
            <w14:solidFill>
              <w14:schemeClr w14:val="tx1"/>
            </w14:solidFill>
          </w14:textFill>
        </w:rPr>
        <w:t>。依托海口海关动植物检疫中心</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等单位</w:t>
      </w:r>
      <w:r>
        <w:rPr>
          <w:rFonts w:hint="default" w:ascii="Times New Roman" w:hAnsi="Times New Roman" w:eastAsia="仿宋_GB2312"/>
          <w:color w:val="000000" w:themeColor="text1"/>
          <w:sz w:val="32"/>
          <w:szCs w:val="32"/>
          <w:highlight w:val="none"/>
          <w14:textFill>
            <w14:solidFill>
              <w14:schemeClr w14:val="tx1"/>
            </w14:solidFill>
          </w14:textFill>
        </w:rPr>
        <w:t>，开展动植物疫病检测评价和安全危害分析</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，制定完善检验检疫应用技术及标准。</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推进海南自由贸易港与其他国家和地区的动植物检疫信息共享，</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探索认可海南自由贸易港与其他国家和地区间动植物检疫措施的等效性。</w:t>
      </w:r>
    </w:p>
    <w:p>
      <w:pPr>
        <w:keepNext w:val="0"/>
        <w:keepLines w:val="0"/>
        <w:pageBreakBefore w:val="0"/>
        <w:widowControl w:val="0"/>
        <w:kinsoku/>
        <w:wordWrap/>
        <w:overflowPunct/>
        <w:topLinePunct w:val="0"/>
        <w:autoSpaceDE/>
        <w:autoSpaceDN/>
        <w:bidi w:val="0"/>
        <w:adjustRightInd w:val="0"/>
        <w:snapToGrid w:val="0"/>
        <w:spacing w:before="0" w:beforeLines="-2147483648" w:after="0" w:afterLines="-2147483648" w:line="590" w:lineRule="exact"/>
        <w:ind w:firstLine="642" w:firstLineChars="200"/>
        <w:jc w:val="left"/>
        <w:textAlignment w:val="auto"/>
        <w:outlineLvl w:val="2"/>
        <w:rPr>
          <w:rFonts w:hint="eastAsia" w:ascii="楷体_GB2312" w:hAnsi="楷体_GB2312" w:eastAsia="楷体_GB2312" w:cs="楷体_GB2312"/>
          <w:b/>
          <w:bCs/>
          <w:color w:val="000000" w:themeColor="text1"/>
          <w:sz w:val="32"/>
          <w:szCs w:val="32"/>
          <w:highlight w:val="none"/>
          <w14:textFill>
            <w14:solidFill>
              <w14:schemeClr w14:val="tx1"/>
            </w14:solidFill>
          </w14:textFill>
        </w:rPr>
      </w:pPr>
      <w:bookmarkStart w:id="311" w:name="_Toc3874"/>
      <w:bookmarkStart w:id="312" w:name="_Toc23631"/>
      <w:bookmarkStart w:id="313" w:name="_Toc12587"/>
      <w:bookmarkStart w:id="314" w:name="_Toc19870"/>
      <w:bookmarkStart w:id="315" w:name="_Toc2045"/>
      <w:bookmarkStart w:id="316" w:name="_Toc30298"/>
      <w:bookmarkStart w:id="317" w:name="_Toc14950"/>
      <w:bookmarkStart w:id="318" w:name="_Toc27975"/>
      <w:bookmarkStart w:id="319" w:name="_Toc19145"/>
      <w:bookmarkStart w:id="320" w:name="_Toc18037"/>
      <w:bookmarkStart w:id="321" w:name="_Toc13074"/>
      <w:bookmarkStart w:id="322" w:name="_Toc18861"/>
      <w:bookmarkStart w:id="323" w:name="_Toc19592"/>
      <w:bookmarkStart w:id="324" w:name="_Toc21203"/>
      <w:bookmarkStart w:id="325" w:name="_Toc16866"/>
      <w:r>
        <w:rPr>
          <w:rFonts w:hint="eastAsia" w:ascii="楷体_GB2312" w:hAnsi="楷体_GB2312" w:eastAsia="楷体_GB2312" w:cs="楷体_GB2312"/>
          <w:b/>
          <w:bCs/>
          <w:color w:val="000000" w:themeColor="text1"/>
          <w:sz w:val="32"/>
          <w:szCs w:val="32"/>
          <w:highlight w:val="none"/>
          <w:lang w:eastAsia="zh-CN"/>
          <w14:textFill>
            <w14:solidFill>
              <w14:schemeClr w14:val="tx1"/>
            </w14:solidFill>
          </w14:textFill>
        </w:rPr>
        <w:t>四、做大做强</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“种源+种业+种市”南繁产业</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实施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“海南种子海南用”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行动，做强海南</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“当家品种”</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供给，加强作物、畜禽、水产三类种业产业园建设。建设种业深化改革开放试验区，鼓励种业企业在琼设立研发中心和分支机构，加强与种业国际组织合作，探索构建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“种子输出—成品输入”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产业链发展模式。提升农业植物新品种审查协作中心等平台效能，提高新品种权审查效果与便利化程度。推广南繁种业合同研发组织模式，做强南繁科研育种、制种服务等种业服务产业。加强种业知识产权保护，建设国家级种业产业知识产权运营中心。积极发展种业会展经济，办好种子大会暨南繁硅谷论坛等活动。</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326" w:name="_Toc10807"/>
      <w:bookmarkStart w:id="327" w:name="_Toc3876"/>
      <w:bookmarkStart w:id="328" w:name="_Toc16890"/>
      <w:bookmarkStart w:id="329" w:name="_Toc27841"/>
      <w:bookmarkStart w:id="330" w:name="_Toc10276"/>
      <w:bookmarkStart w:id="331" w:name="_Toc26561"/>
      <w:bookmarkStart w:id="332" w:name="_Toc11054"/>
      <w:bookmarkStart w:id="333" w:name="_Toc12580"/>
      <w:bookmarkStart w:id="334" w:name="_Toc19970"/>
      <w:bookmarkStart w:id="335" w:name="_Toc2064"/>
      <w:bookmarkStart w:id="336" w:name="_Toc17458"/>
      <w:bookmarkStart w:id="337" w:name="_Toc21832"/>
      <w:bookmarkStart w:id="338" w:name="_Toc11315"/>
      <w:bookmarkStart w:id="339" w:name="_Toc17448"/>
      <w:bookmarkStart w:id="340" w:name="_Toc16215"/>
      <w:r>
        <w:rPr>
          <w:rFonts w:hint="default" w:ascii="Times New Roman" w:hAnsi="Times New Roman" w:eastAsia="黑体" w:cs="Times New Roman"/>
          <w:color w:val="000000" w:themeColor="text1"/>
          <w:sz w:val="32"/>
          <w:szCs w:val="32"/>
          <w:highlight w:val="none"/>
          <w14:textFill>
            <w14:solidFill>
              <w14:schemeClr w14:val="tx1"/>
            </w14:solidFill>
          </w14:textFill>
        </w:rPr>
        <w:t>第</w:t>
      </w:r>
      <w:r>
        <w:rPr>
          <w:rFonts w:hint="default" w:ascii="Times New Roman" w:hAnsi="Times New Roman" w:eastAsia="黑体" w:cs="Times New Roman"/>
          <w:color w:val="000000" w:themeColor="text1"/>
          <w:sz w:val="32"/>
          <w:szCs w:val="32"/>
          <w:highlight w:val="none"/>
          <w:lang w:eastAsia="zh-CN"/>
          <w14:textFill>
            <w14:solidFill>
              <w14:schemeClr w14:val="tx1"/>
            </w14:solidFill>
          </w14:textFill>
        </w:rPr>
        <w:t>二</w:t>
      </w:r>
      <w:r>
        <w:rPr>
          <w:rFonts w:hint="default" w:ascii="Times New Roman" w:hAnsi="Times New Roman" w:eastAsia="黑体" w:cs="Times New Roman"/>
          <w:color w:val="000000" w:themeColor="text1"/>
          <w:sz w:val="32"/>
          <w:szCs w:val="32"/>
          <w:highlight w:val="none"/>
          <w14:textFill>
            <w14:solidFill>
              <w14:schemeClr w14:val="tx1"/>
            </w14:solidFill>
          </w14:textFill>
        </w:rPr>
        <w:t>节 提升天然橡胶生产能力和质量效益</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14:textFill>
            <w14:solidFill>
              <w14:schemeClr w14:val="tx1"/>
            </w14:solidFill>
          </w14:textFill>
        </w:rPr>
      </w:pPr>
      <w:bookmarkStart w:id="341" w:name="_Toc4280"/>
      <w:bookmarkStart w:id="342" w:name="_Toc11585"/>
      <w:bookmarkStart w:id="343" w:name="_Toc28857"/>
      <w:bookmarkStart w:id="344" w:name="_Toc4144"/>
      <w:bookmarkStart w:id="345" w:name="_Toc28215"/>
      <w:bookmarkStart w:id="346" w:name="_Toc908"/>
      <w:bookmarkStart w:id="347" w:name="_Toc32758"/>
      <w:bookmarkStart w:id="348" w:name="_Toc13623"/>
      <w:bookmarkStart w:id="349" w:name="_Toc7218"/>
      <w:bookmarkStart w:id="350" w:name="_Toc26547"/>
      <w:bookmarkStart w:id="351" w:name="_Toc17291"/>
      <w:bookmarkStart w:id="352" w:name="_Toc5720"/>
      <w:r>
        <w:rPr>
          <w:rFonts w:hint="eastAsia" w:ascii="楷体_GB2312" w:hAnsi="楷体_GB2312" w:eastAsia="楷体_GB2312" w:cs="楷体_GB2312"/>
          <w:b/>
          <w:bCs/>
          <w:color w:val="000000" w:themeColor="text1"/>
          <w:sz w:val="32"/>
          <w:szCs w:val="32"/>
          <w:highlight w:val="none"/>
          <w14:textFill>
            <w14:solidFill>
              <w14:schemeClr w14:val="tx1"/>
            </w14:solidFill>
          </w14:textFill>
        </w:rPr>
        <w:t>一、建设高端标准化胶园</w:t>
      </w:r>
      <w:bookmarkEnd w:id="341"/>
      <w:bookmarkEnd w:id="342"/>
      <w:bookmarkEnd w:id="343"/>
      <w:bookmarkEnd w:id="344"/>
      <w:bookmarkEnd w:id="345"/>
      <w:bookmarkEnd w:id="346"/>
      <w:bookmarkEnd w:id="347"/>
      <w:bookmarkEnd w:id="348"/>
      <w:bookmarkEnd w:id="349"/>
      <w:bookmarkEnd w:id="350"/>
      <w:bookmarkEnd w:id="351"/>
      <w:bookmarkEnd w:id="352"/>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000000" w:themeColor="text1"/>
          <w:sz w:val="32"/>
          <w:szCs w:val="32"/>
          <w:u w:val="none"/>
          <w14:textFill>
            <w14:solidFill>
              <w14:schemeClr w14:val="tx1"/>
            </w14:solidFill>
          </w14:textFill>
        </w:rPr>
        <w:t>实施天然橡胶</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“五个一”</w:t>
      </w:r>
      <w:r>
        <w:rPr>
          <w:rFonts w:hint="eastAsia" w:ascii="仿宋_GB2312" w:hAnsi="仿宋_GB2312" w:eastAsia="仿宋_GB2312" w:cs="仿宋_GB2312"/>
          <w:color w:val="000000" w:themeColor="text1"/>
          <w:sz w:val="32"/>
          <w:szCs w:val="32"/>
          <w:u w:val="none"/>
          <w14:textFill>
            <w14:solidFill>
              <w14:schemeClr w14:val="tx1"/>
            </w14:solidFill>
          </w14:textFill>
        </w:rPr>
        <w:t>工程</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按照国家有关标准划定25万亩特种胶园，建设或改建特种胶生产线和科研试制生产线。分阶段推进200万亩标准化胶园建设，推动胶园生产适合下游不同细分行业的高端天然橡胶。建设和管护好840万亩天然橡胶生产保护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加强天然橡胶良种良法技术推广力度，</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改扩建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一批</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良种繁育基地。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完善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天然橡胶病虫害监测防控体系。</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推动一批</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橡胶初加工厂</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提质增效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促进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初加工业向集约化、标准化、智能化、绿色化发展。</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14:textFill>
            <w14:solidFill>
              <w14:schemeClr w14:val="tx1"/>
            </w14:solidFill>
          </w14:textFill>
        </w:rPr>
      </w:pPr>
      <w:bookmarkStart w:id="353" w:name="_Toc23742"/>
      <w:bookmarkStart w:id="354" w:name="_Toc19647"/>
      <w:bookmarkStart w:id="355" w:name="_Toc30464"/>
      <w:bookmarkStart w:id="356" w:name="_Toc131"/>
      <w:bookmarkStart w:id="357" w:name="_Toc5916"/>
      <w:bookmarkStart w:id="358" w:name="_Toc17332"/>
      <w:bookmarkStart w:id="359" w:name="_Toc20954"/>
      <w:bookmarkStart w:id="360" w:name="_Toc17422"/>
      <w:bookmarkStart w:id="361" w:name="_Toc27941"/>
      <w:bookmarkStart w:id="362" w:name="_Toc22195"/>
      <w:bookmarkStart w:id="363" w:name="_Toc30268"/>
      <w:bookmarkStart w:id="364" w:name="_Toc5096"/>
      <w:r>
        <w:rPr>
          <w:rFonts w:hint="eastAsia" w:ascii="楷体_GB2312" w:hAnsi="楷体_GB2312" w:eastAsia="楷体_GB2312" w:cs="楷体_GB2312"/>
          <w:b/>
          <w:bCs/>
          <w:color w:val="000000" w:themeColor="text1"/>
          <w:sz w:val="32"/>
          <w:szCs w:val="32"/>
          <w:highlight w:val="none"/>
          <w14:textFill>
            <w14:solidFill>
              <w14:schemeClr w14:val="tx1"/>
            </w14:solidFill>
          </w14:textFill>
        </w:rPr>
        <w:t>二、建设现代化橡胶产业园</w:t>
      </w:r>
      <w:bookmarkEnd w:id="353"/>
      <w:bookmarkEnd w:id="354"/>
      <w:bookmarkEnd w:id="355"/>
      <w:bookmarkEnd w:id="356"/>
      <w:bookmarkEnd w:id="357"/>
      <w:bookmarkEnd w:id="358"/>
      <w:bookmarkEnd w:id="359"/>
      <w:bookmarkEnd w:id="360"/>
      <w:bookmarkEnd w:id="361"/>
      <w:bookmarkEnd w:id="362"/>
      <w:bookmarkEnd w:id="363"/>
      <w:bookmarkEnd w:id="364"/>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加快</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建设橡胶产业园，</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整合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儋州洋浦、澄迈老城</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白沙邦溪</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等现有园区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资源</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，打造高附加值橡胶制造中心。建设特种胶生产线和混炼产品生产线</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建设</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橡胶木热改性处理加工线</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布局环保新材料、木地板、室外用材以及绿色家具等产业。完善园区用水、用电、用地、用工、环保等配套支持政策，统筹全省排放、能耗等指标，为入园企业充分利用海南自由贸易港政策、RCEP规则等提供</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便利</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服务。</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14:textFill>
            <w14:solidFill>
              <w14:schemeClr w14:val="tx1"/>
            </w14:solidFill>
          </w14:textFill>
        </w:rPr>
      </w:pPr>
      <w:bookmarkStart w:id="365" w:name="_Toc26194"/>
      <w:bookmarkStart w:id="366" w:name="_Toc11074"/>
      <w:bookmarkStart w:id="367" w:name="_Toc24922"/>
      <w:bookmarkStart w:id="368" w:name="_Toc2705"/>
      <w:bookmarkStart w:id="369" w:name="_Toc2943"/>
      <w:bookmarkStart w:id="370" w:name="_Toc1865"/>
      <w:bookmarkStart w:id="371" w:name="_Toc11663"/>
      <w:bookmarkStart w:id="372" w:name="_Toc19419"/>
      <w:bookmarkStart w:id="373" w:name="_Toc28731"/>
      <w:bookmarkStart w:id="374" w:name="_Toc15192"/>
      <w:bookmarkStart w:id="375" w:name="_Toc21449"/>
      <w:bookmarkStart w:id="376" w:name="_Toc20469"/>
      <w:r>
        <w:rPr>
          <w:rFonts w:hint="eastAsia" w:ascii="楷体_GB2312" w:hAnsi="楷体_GB2312" w:eastAsia="楷体_GB2312" w:cs="楷体_GB2312"/>
          <w:b/>
          <w:bCs/>
          <w:color w:val="000000" w:themeColor="text1"/>
          <w:sz w:val="32"/>
          <w:szCs w:val="32"/>
          <w:highlight w:val="none"/>
          <w14:textFill>
            <w14:solidFill>
              <w14:schemeClr w14:val="tx1"/>
            </w14:solidFill>
          </w14:textFill>
        </w:rPr>
        <w:t>三、扩展天然橡胶贸易业务</w:t>
      </w:r>
      <w:bookmarkEnd w:id="365"/>
      <w:bookmarkEnd w:id="366"/>
      <w:bookmarkEnd w:id="367"/>
      <w:bookmarkEnd w:id="368"/>
      <w:bookmarkEnd w:id="369"/>
      <w:bookmarkEnd w:id="370"/>
      <w:bookmarkEnd w:id="371"/>
      <w:bookmarkEnd w:id="372"/>
      <w:bookmarkEnd w:id="373"/>
      <w:bookmarkEnd w:id="374"/>
      <w:bookmarkEnd w:id="375"/>
      <w:bookmarkEnd w:id="376"/>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推进天然橡胶跨境货物</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服务贸易发展，优化新型国际贸易结算，鼓励省内企业开展天然橡胶</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橡胶木国际贸易。支持海胶集团整合境内外橡胶现货交易系统，探索建设国际化的橡胶产品及衍生品数字化交易平台，积极构建</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覆盖全岛、延伸省外、扩展境外</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的营销渠道。推动现货交割库认证，做大现货交割规模，实现期现联动。探索建设海南自由贸易港－东盟天然橡胶一体化市场，打造国际橡胶现货交易中心。</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14:textFill>
            <w14:solidFill>
              <w14:schemeClr w14:val="tx1"/>
            </w14:solidFill>
          </w14:textFill>
        </w:rPr>
      </w:pPr>
      <w:bookmarkStart w:id="377" w:name="_Toc27436"/>
      <w:bookmarkStart w:id="378" w:name="_Toc14036"/>
      <w:bookmarkStart w:id="379" w:name="_Toc18090"/>
      <w:bookmarkStart w:id="380" w:name="_Toc31598"/>
      <w:bookmarkStart w:id="381" w:name="_Toc22919"/>
      <w:bookmarkStart w:id="382" w:name="_Toc22705"/>
      <w:bookmarkStart w:id="383" w:name="_Toc28533"/>
      <w:bookmarkStart w:id="384" w:name="_Toc17698"/>
      <w:bookmarkStart w:id="385" w:name="_Toc13845"/>
      <w:bookmarkStart w:id="386" w:name="_Toc78"/>
      <w:bookmarkStart w:id="387" w:name="_Toc2687"/>
      <w:bookmarkStart w:id="388" w:name="_Toc26048"/>
      <w:r>
        <w:rPr>
          <w:rFonts w:hint="eastAsia" w:ascii="楷体_GB2312" w:hAnsi="楷体_GB2312" w:eastAsia="楷体_GB2312" w:cs="楷体_GB2312"/>
          <w:b/>
          <w:bCs/>
          <w:color w:val="000000" w:themeColor="text1"/>
          <w:sz w:val="32"/>
          <w:szCs w:val="32"/>
          <w:highlight w:val="none"/>
          <w14:textFill>
            <w14:solidFill>
              <w14:schemeClr w14:val="tx1"/>
            </w14:solidFill>
          </w14:textFill>
        </w:rPr>
        <w:t>四、推动橡胶产学研体系化攻关</w:t>
      </w:r>
      <w:bookmarkEnd w:id="377"/>
      <w:bookmarkEnd w:id="378"/>
      <w:bookmarkEnd w:id="379"/>
      <w:bookmarkEnd w:id="380"/>
      <w:bookmarkEnd w:id="381"/>
      <w:bookmarkEnd w:id="382"/>
      <w:bookmarkEnd w:id="383"/>
      <w:bookmarkEnd w:id="384"/>
      <w:bookmarkEnd w:id="385"/>
      <w:bookmarkEnd w:id="386"/>
      <w:bookmarkEnd w:id="387"/>
      <w:bookmarkEnd w:id="388"/>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大热带作物生物育种全国重点实验室、国家数字种植业（天然橡胶）创新分中心等国家级平台支持力度，支持共建海南省天然橡胶加工重点实验室等省部级创新平台。支持开展橡胶树高效遗传转化技术体系建立、天然橡胶结构与性能基础理论体系研究、特种胶新品种培育、天然橡胶加工产业化关键技术研发与应用、智能割胶装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研发应用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等全产业链关键技术攻关。</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配套</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建设技术试验基地，打造</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一批</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试验展示基地。</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14:textFill>
            <w14:solidFill>
              <w14:schemeClr w14:val="tx1"/>
            </w14:solidFill>
          </w14:textFill>
        </w:rPr>
      </w:pPr>
      <w:bookmarkStart w:id="389" w:name="_Toc9210"/>
      <w:bookmarkStart w:id="390" w:name="_Toc10980"/>
      <w:bookmarkStart w:id="391" w:name="_Toc19437"/>
      <w:bookmarkStart w:id="392" w:name="_Toc6067"/>
      <w:bookmarkStart w:id="393" w:name="_Toc25318"/>
      <w:bookmarkStart w:id="394" w:name="_Toc1623"/>
      <w:bookmarkStart w:id="395" w:name="_Toc13051"/>
      <w:bookmarkStart w:id="396" w:name="_Toc23414"/>
      <w:bookmarkStart w:id="397" w:name="_Toc29870"/>
      <w:bookmarkStart w:id="398" w:name="_Toc11121"/>
      <w:bookmarkStart w:id="399" w:name="_Toc18008"/>
      <w:bookmarkStart w:id="400" w:name="_Toc3737"/>
      <w:r>
        <w:rPr>
          <w:rFonts w:hint="eastAsia" w:ascii="楷体_GB2312" w:hAnsi="楷体_GB2312" w:eastAsia="楷体_GB2312" w:cs="楷体_GB2312"/>
          <w:b/>
          <w:bCs/>
          <w:color w:val="000000" w:themeColor="text1"/>
          <w:sz w:val="32"/>
          <w:szCs w:val="32"/>
          <w:highlight w:val="none"/>
          <w14:textFill>
            <w14:solidFill>
              <w14:schemeClr w14:val="tx1"/>
            </w14:solidFill>
          </w14:textFill>
        </w:rPr>
        <w:t>五、做强天然橡胶产业发展基金</w:t>
      </w:r>
      <w:bookmarkEnd w:id="389"/>
      <w:bookmarkEnd w:id="390"/>
      <w:bookmarkEnd w:id="391"/>
      <w:bookmarkEnd w:id="392"/>
      <w:bookmarkEnd w:id="393"/>
      <w:bookmarkEnd w:id="394"/>
      <w:bookmarkEnd w:id="395"/>
      <w:bookmarkEnd w:id="396"/>
      <w:bookmarkEnd w:id="397"/>
      <w:bookmarkEnd w:id="398"/>
      <w:bookmarkEnd w:id="399"/>
      <w:bookmarkEnd w:id="400"/>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发挥海南天然橡胶产业发展基金引领作用，重点支持良好市场经营业绩、良好上市预期、亟待培育新兴业务等方面特征和优势的国内外橡胶产业及企业。建立健全基金规范化管理体系。积极吸引国家级基金、保险资金等长期资本参与，</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力争到2030年底前完成三期基金募集工作</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扩大基金规模与行业影响力。建立完善投资决策、投后管理与风险防控机制，持续赋能橡胶产业转型升级。</w:t>
      </w:r>
    </w:p>
    <w:tbl>
      <w:tblPr>
        <w:tblStyle w:val="2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57" w:type="dxa"/>
          <w:right w:w="57" w:type="dxa"/>
        </w:tblCellMar>
      </w:tblPr>
      <w:tblGrid>
        <w:gridCol w:w="8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57" w:type="dxa"/>
            <w:right w:w="57" w:type="dxa"/>
          </w:tblCellMar>
        </w:tblPrEx>
        <w:trPr>
          <w:jc w:val="center"/>
        </w:trPr>
        <w:tc>
          <w:tcPr>
            <w:tcW w:w="8845" w:type="dxa"/>
            <w:shd w:val="clear" w:color="auto" w:fill="BEBEBE" w:themeFill="background1" w:themeFillShade="BF"/>
            <w:vAlign w:val="top"/>
          </w:tcPr>
          <w:p>
            <w:pPr>
              <w:widowControl/>
              <w:pBdr>
                <w:top w:val="none" w:color="auto" w:sz="0" w:space="0"/>
                <w:left w:val="none" w:color="auto" w:sz="0" w:space="0"/>
                <w:bottom w:val="none" w:color="auto" w:sz="0" w:space="0"/>
                <w:right w:val="none" w:color="auto" w:sz="0" w:space="0"/>
                <w:between w:val="none" w:color="auto" w:sz="0" w:space="0"/>
              </w:pBdr>
              <w:snapToGrid/>
              <w:spacing w:beforeLines="-2147483648" w:afterLines="-2147483648" w:line="360" w:lineRule="auto"/>
              <w:ind w:firstLine="0"/>
              <w:jc w:val="center"/>
              <w:outlineLvl w:val="0"/>
              <w:rPr>
                <w:rFonts w:hint="default" w:ascii="Times New Roman" w:hAnsi="Times New Roman" w:cs="Times New Roman"/>
                <w:b/>
                <w:bCs/>
                <w:color w:val="000000" w:themeColor="text1"/>
                <w:kern w:val="2"/>
                <w:sz w:val="24"/>
                <w:szCs w:val="24"/>
                <w:highlight w:val="none"/>
                <w:lang w:val="en-US" w:eastAsia="zh-CN" w:bidi="ar"/>
                <w14:textFill>
                  <w14:solidFill>
                    <w14:schemeClr w14:val="tx1"/>
                  </w14:solidFill>
                </w14:textFill>
              </w:rPr>
            </w:pPr>
            <w:bookmarkStart w:id="401" w:name="_Toc1847"/>
            <w:bookmarkStart w:id="402" w:name="_Toc8231"/>
            <w:bookmarkStart w:id="403" w:name="_Toc8970"/>
            <w:bookmarkStart w:id="404" w:name="_Toc26497"/>
            <w:bookmarkStart w:id="405" w:name="_Toc10192"/>
            <w:bookmarkStart w:id="406" w:name="_Toc19462"/>
            <w:bookmarkStart w:id="407" w:name="_Toc1969"/>
            <w:bookmarkStart w:id="408" w:name="_Toc19005"/>
            <w:bookmarkStart w:id="409" w:name="_Toc32078"/>
            <w:bookmarkStart w:id="410" w:name="_Toc17071"/>
            <w:bookmarkStart w:id="411" w:name="_Toc1331"/>
            <w:bookmarkStart w:id="412" w:name="_Toc7089"/>
            <w:bookmarkStart w:id="413" w:name="_Toc19229"/>
            <w:bookmarkStart w:id="414" w:name="_Toc22742"/>
            <w:bookmarkStart w:id="415" w:name="_Toc22949"/>
            <w:bookmarkStart w:id="416" w:name="_Toc15596"/>
            <w:bookmarkStart w:id="417" w:name="_Toc24770"/>
            <w:bookmarkStart w:id="418" w:name="_Toc28536"/>
            <w:bookmarkStart w:id="419" w:name="_Toc26604"/>
            <w:bookmarkStart w:id="420" w:name="_Toc17245"/>
            <w:r>
              <w:rPr>
                <w:rFonts w:hint="eastAsia" w:ascii="楷体" w:hAnsi="楷体" w:eastAsia="楷体" w:cs="楷体"/>
                <w:b w:val="0"/>
                <w:bCs/>
                <w:color w:val="000000"/>
                <w:sz w:val="28"/>
                <w:szCs w:val="28"/>
                <w:highlight w:val="none"/>
                <w:shd w:val="clear" w:color="auto" w:fill="FFFFFF"/>
              </w:rPr>
              <w:t>专栏</w:t>
            </w:r>
            <w:r>
              <w:rPr>
                <w:rFonts w:hint="eastAsia" w:ascii="楷体" w:hAnsi="楷体" w:eastAsia="楷体" w:cs="楷体"/>
                <w:b w:val="0"/>
                <w:bCs/>
                <w:color w:val="000000"/>
                <w:sz w:val="28"/>
                <w:szCs w:val="28"/>
                <w:highlight w:val="none"/>
                <w:shd w:val="clear" w:color="auto" w:fill="FFFFFF"/>
                <w:lang w:val="en-US" w:eastAsia="zh-CN"/>
              </w:rPr>
              <w:t>2</w:t>
            </w:r>
            <w:r>
              <w:rPr>
                <w:rFonts w:hint="eastAsia" w:ascii="楷体" w:hAnsi="楷体" w:eastAsia="楷体" w:cs="楷体"/>
                <w:b w:val="0"/>
                <w:bCs/>
                <w:color w:val="000000"/>
                <w:sz w:val="28"/>
                <w:szCs w:val="28"/>
                <w:highlight w:val="none"/>
                <w:shd w:val="clear" w:color="auto" w:fill="FFFFFF"/>
              </w:rPr>
              <w:t xml:space="preserve"> </w:t>
            </w:r>
            <w:r>
              <w:rPr>
                <w:rFonts w:hint="eastAsia" w:ascii="楷体" w:hAnsi="楷体" w:eastAsia="楷体" w:cs="楷体"/>
                <w:b w:val="0"/>
                <w:bCs/>
                <w:color w:val="000000"/>
                <w:sz w:val="28"/>
                <w:szCs w:val="28"/>
                <w:highlight w:val="none"/>
                <w:shd w:val="clear" w:color="auto" w:fill="FFFFFF"/>
                <w:lang w:val="en-US" w:eastAsia="zh-CN"/>
              </w:rPr>
              <w:t xml:space="preserve"> </w:t>
            </w:r>
            <w:r>
              <w:rPr>
                <w:rFonts w:hint="eastAsia" w:ascii="楷体" w:hAnsi="楷体" w:eastAsia="楷体" w:cs="楷体"/>
                <w:b w:val="0"/>
                <w:bCs/>
                <w:color w:val="000000"/>
                <w:sz w:val="28"/>
                <w:szCs w:val="28"/>
                <w:highlight w:val="none"/>
                <w:shd w:val="clear" w:color="auto" w:fill="FFFFFF"/>
              </w:rPr>
              <w:t>南繁种业和橡胶保供提升工程</w:t>
            </w:r>
            <w:bookmarkEnd w:id="401"/>
            <w:bookmarkEnd w:id="402"/>
            <w:bookmarkEnd w:id="403"/>
            <w:bookmarkEnd w:id="404"/>
            <w:bookmarkEnd w:id="405"/>
            <w:bookmarkEnd w:id="406"/>
            <w:bookmarkEnd w:id="407"/>
            <w:bookmarkEnd w:id="408"/>
            <w:bookmarkEnd w:id="409"/>
            <w:bookmarkEnd w:id="4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57" w:type="dxa"/>
            <w:right w:w="57" w:type="dxa"/>
          </w:tblCellMar>
        </w:tblPrEx>
        <w:trPr>
          <w:jc w:val="center"/>
        </w:trPr>
        <w:tc>
          <w:tcPr>
            <w:tcW w:w="8845" w:type="dxa"/>
            <w:shd w:val="clear" w:color="auto" w:fill="F1F1F1" w:themeFill="background1" w:themeFillShade="F2"/>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Lines="-2147483648" w:afterLines="-2147483648" w:line="440" w:lineRule="exact"/>
              <w:ind w:firstLine="0" w:firstLineChars="0"/>
              <w:jc w:val="both"/>
              <w:textAlignment w:val="auto"/>
              <w:outlineLvl w:val="9"/>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01</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t>加快建设服务全国的南繁硅谷</w:t>
            </w:r>
          </w:p>
          <w:p>
            <w:pPr>
              <w:widowControl w:val="0"/>
              <w:pBdr>
                <w:top w:val="none" w:color="auto" w:sz="0" w:space="0"/>
                <w:left w:val="none" w:color="auto" w:sz="0" w:space="0"/>
                <w:bottom w:val="none" w:color="auto" w:sz="0" w:space="0"/>
                <w:right w:val="none" w:color="auto" w:sz="0" w:space="0"/>
                <w:between w:val="none" w:color="auto" w:sz="0" w:space="0"/>
              </w:pBdr>
              <w:tabs>
                <w:tab w:val="left" w:pos="960"/>
              </w:tabs>
              <w:snapToGrid/>
              <w:spacing w:beforeLines="0" w:after="0" w:afterLines="0" w:afterAutospacing="0" w:line="440" w:lineRule="exact"/>
              <w:ind w:left="630" w:leftChars="300" w:firstLine="0"/>
              <w:jc w:val="both"/>
              <w:outlineLvl w:val="9"/>
              <w:rPr>
                <w:rFonts w:hint="eastAsia" w:ascii="楷体" w:hAnsi="楷体" w:eastAsia="楷体" w:cs="楷体"/>
                <w:b w:val="0"/>
                <w:bCs/>
                <w:color w:val="000000"/>
                <w:sz w:val="28"/>
                <w:szCs w:val="28"/>
                <w:highlight w:val="none"/>
                <w:shd w:val="clear" w:color="auto" w:fill="FFFFFF"/>
              </w:rPr>
            </w:pPr>
            <w:r>
              <w:rPr>
                <w:rFonts w:hint="eastAsia" w:ascii="仿宋_GB2312" w:hAnsi="仿宋_GB2312" w:eastAsia="仿宋_GB2312" w:cs="仿宋_GB2312"/>
                <w:b w:val="0"/>
                <w:bCs w:val="0"/>
                <w:color w:val="auto"/>
                <w:kern w:val="2"/>
                <w:sz w:val="28"/>
                <w:szCs w:val="28"/>
                <w:highlight w:val="none"/>
                <w:u w:val="none"/>
                <w:shd w:val="clear" w:color="auto" w:fill="auto"/>
                <w:lang w:val="en-US" w:eastAsia="zh-CN" w:bidi="ar-SA"/>
              </w:rPr>
              <w:t>高标准建设国家南繁科研育种基地，建设南繁硅谷重大科创平台项目。建设</w:t>
            </w:r>
            <w:r>
              <w:rPr>
                <w:rFonts w:hint="eastAsia" w:ascii="仿宋_GB2312" w:hAnsi="仿宋_GB2312" w:eastAsia="仿宋_GB2312" w:cs="仿宋_GB2312"/>
                <w:color w:val="auto"/>
                <w:sz w:val="28"/>
                <w:szCs w:val="28"/>
                <w:highlight w:val="none"/>
                <w:u w:val="none"/>
                <w:shd w:val="clear" w:color="auto" w:fill="auto"/>
                <w:lang w:bidi="ar-SA"/>
              </w:rPr>
              <w:t>全球水产种质资源引进中转基地</w:t>
            </w:r>
            <w:r>
              <w:rPr>
                <w:rFonts w:hint="eastAsia" w:ascii="仿宋_GB2312" w:hAnsi="仿宋_GB2312" w:eastAsia="仿宋_GB2312" w:cs="仿宋_GB2312"/>
                <w:b w:val="0"/>
                <w:bCs w:val="0"/>
                <w:color w:val="auto"/>
                <w:kern w:val="2"/>
                <w:sz w:val="28"/>
                <w:szCs w:val="28"/>
                <w:highlight w:val="none"/>
                <w:u w:val="none"/>
                <w:shd w:val="clear" w:color="auto" w:fill="auto"/>
                <w:lang w:val="en-US" w:eastAsia="zh-CN" w:bidi="ar-SA"/>
              </w:rPr>
              <w:t>、农作物种质资源中转及南繁植物检疫隔离基地、南繁生物安全预防控制服务中心。推动</w:t>
            </w:r>
            <w:r>
              <w:rPr>
                <w:rFonts w:hint="eastAsia" w:ascii="仿宋_GB2312" w:hAnsi="仿宋_GB2312" w:eastAsia="仿宋_GB2312" w:cs="仿宋_GB2312"/>
                <w:color w:val="auto"/>
                <w:sz w:val="28"/>
                <w:szCs w:val="28"/>
                <w:highlight w:val="none"/>
                <w:u w:val="none"/>
                <w:shd w:val="clear" w:color="auto" w:fill="auto"/>
                <w:vertAlign w:val="baseline"/>
                <w:lang w:val="en-US" w:eastAsia="zh-CN" w:bidi="ar-SA"/>
              </w:rPr>
              <w:t>复杂优良性状高效耦合装置大设施等应用研究平台建设。</w:t>
            </w:r>
            <w:r>
              <w:rPr>
                <w:rFonts w:hint="eastAsia" w:ascii="仿宋_GB2312" w:hAnsi="仿宋_GB2312" w:eastAsia="仿宋_GB2312" w:cs="仿宋_GB2312"/>
                <w:b w:val="0"/>
                <w:bCs w:val="0"/>
                <w:color w:val="auto"/>
                <w:kern w:val="2"/>
                <w:sz w:val="28"/>
                <w:szCs w:val="28"/>
                <w:highlight w:val="none"/>
                <w:u w:val="none"/>
                <w:shd w:val="clear" w:color="auto" w:fill="auto"/>
                <w:lang w:val="en-US" w:eastAsia="zh-CN" w:bidi="ar-SA"/>
              </w:rPr>
              <w:t>高标准建设生物育种专区。</w:t>
            </w:r>
            <w:r>
              <w:rPr>
                <w:rFonts w:hint="eastAsia" w:ascii="仿宋_GB2312" w:hAnsi="仿宋_GB2312" w:eastAsia="仿宋_GB2312" w:cs="仿宋_GB2312"/>
                <w:color w:val="auto"/>
                <w:sz w:val="28"/>
                <w:szCs w:val="28"/>
                <w:highlight w:val="none"/>
                <w:u w:val="none"/>
                <w:shd w:val="clear" w:color="auto" w:fill="auto"/>
                <w:lang w:bidi="ar-SA"/>
              </w:rPr>
              <w:t>在三亚生物谷、屯昌枫木镇建设林草种质资源、野生动物种质资源引进、中转及繁育基地</w:t>
            </w:r>
            <w:r>
              <w:rPr>
                <w:rFonts w:hint="eastAsia" w:ascii="仿宋_GB2312" w:hAnsi="仿宋_GB2312" w:eastAsia="仿宋_GB2312" w:cs="仿宋_GB2312"/>
                <w:color w:val="auto"/>
                <w:sz w:val="28"/>
                <w:szCs w:val="28"/>
                <w:highlight w:val="none"/>
                <w:u w:val="none"/>
                <w:shd w:val="clear" w:color="auto" w:fill="auto"/>
                <w:lang w:eastAsia="zh-CN" w:bidi="ar-SA"/>
              </w:rPr>
              <w:t>。</w:t>
            </w:r>
            <w:r>
              <w:rPr>
                <w:rFonts w:hint="eastAsia" w:ascii="仿宋_GB2312" w:hAnsi="仿宋_GB2312" w:eastAsia="仿宋_GB2312" w:cs="仿宋_GB2312"/>
                <w:b w:val="0"/>
                <w:bCs w:val="0"/>
                <w:color w:val="auto"/>
                <w:kern w:val="2"/>
                <w:sz w:val="28"/>
                <w:szCs w:val="28"/>
                <w:highlight w:val="none"/>
                <w:u w:val="none"/>
                <w:shd w:val="clear" w:color="auto" w:fill="auto"/>
                <w:lang w:val="en-US" w:eastAsia="zh-CN" w:bidi="ar-SA"/>
              </w:rPr>
              <w:t>加快培育海南“当家品种”，</w:t>
            </w:r>
            <w:r>
              <w:rPr>
                <w:rFonts w:hint="eastAsia" w:ascii="仿宋_GB2312" w:hAnsi="仿宋_GB2312" w:eastAsia="仿宋_GB2312" w:cs="仿宋_GB2312"/>
                <w:color w:val="auto"/>
                <w:sz w:val="28"/>
                <w:szCs w:val="28"/>
                <w:highlight w:val="none"/>
                <w:u w:val="none"/>
                <w:shd w:val="clear" w:color="auto" w:fill="auto"/>
                <w:lang w:eastAsia="zh-CN" w:bidi="ar-SA"/>
              </w:rPr>
              <w:t>筛选优势水稻、冬季瓜菜、热带水果优良品种；选育林下包括药材、食用菌、花卉、茶叶等新品种；针对文昌鸡、海南猪、黑山羊、海南和牛开展遗传保护与良种选育；联合开展“三鱼一虾一螺”新品种选育，鼓励开展金枪鱼、鰤鱼等高值品种的驯化养殖和人工繁育，</w:t>
            </w:r>
            <w:r>
              <w:rPr>
                <w:rFonts w:hint="eastAsia" w:ascii="仿宋_GB2312" w:hAnsi="仿宋_GB2312" w:eastAsia="仿宋_GB2312" w:cs="仿宋_GB2312"/>
                <w:b w:val="0"/>
                <w:bCs w:val="0"/>
                <w:color w:val="auto"/>
                <w:kern w:val="2"/>
                <w:sz w:val="28"/>
                <w:szCs w:val="28"/>
                <w:highlight w:val="none"/>
                <w:u w:val="none"/>
                <w:shd w:val="clear" w:color="auto" w:fill="auto"/>
                <w:lang w:val="en-US" w:eastAsia="zh-CN" w:bidi="ar-SA"/>
              </w:rPr>
              <w:t>做大做强“种源+种业+种市”南繁产业。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57" w:type="dxa"/>
            <w:right w:w="57" w:type="dxa"/>
          </w:tblCellMar>
        </w:tblPrEx>
        <w:trPr>
          <w:jc w:val="center"/>
        </w:trPr>
        <w:tc>
          <w:tcPr>
            <w:tcW w:w="8845" w:type="dxa"/>
            <w:shd w:val="clear" w:color="auto" w:fill="F1F1F1" w:themeFill="background1" w:themeFillShade="F2"/>
            <w:vAlign w:val="top"/>
          </w:tcPr>
          <w:p>
            <w:pPr>
              <w:pBdr>
                <w:top w:val="none" w:color="auto" w:sz="0" w:space="0"/>
                <w:left w:val="none" w:color="auto" w:sz="0" w:space="0"/>
                <w:bottom w:val="none" w:color="auto" w:sz="0" w:space="0"/>
                <w:right w:val="none" w:color="auto" w:sz="0" w:space="0"/>
                <w:between w:val="none" w:color="auto" w:sz="0" w:space="0"/>
              </w:pBdr>
              <w:tabs>
                <w:tab w:val="left" w:pos="960"/>
              </w:tabs>
              <w:spacing w:beforeLines="-2147483648" w:afterLines="-2147483648" w:line="440" w:lineRule="exact"/>
              <w:ind w:left="0" w:leftChars="0" w:firstLine="0"/>
              <w:outlineLvl w:val="9"/>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02</w:t>
            </w:r>
            <w:bookmarkEnd w:id="411"/>
            <w:bookmarkEnd w:id="412"/>
            <w:bookmarkEnd w:id="413"/>
            <w:bookmarkEnd w:id="414"/>
            <w:bookmarkEnd w:id="415"/>
            <w:bookmarkEnd w:id="416"/>
            <w:bookmarkEnd w:id="417"/>
            <w:bookmarkEnd w:id="418"/>
            <w:bookmarkEnd w:id="419"/>
            <w:bookmarkEnd w:id="420"/>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t>提升天然橡胶生产能力和质量效益</w:t>
            </w:r>
          </w:p>
          <w:p>
            <w:pPr>
              <w:pBdr>
                <w:top w:val="none" w:color="auto" w:sz="0" w:space="0"/>
                <w:left w:val="none" w:color="auto" w:sz="0" w:space="0"/>
                <w:bottom w:val="none" w:color="auto" w:sz="0" w:space="0"/>
                <w:right w:val="none" w:color="auto" w:sz="0" w:space="0"/>
                <w:between w:val="none" w:color="auto" w:sz="0" w:space="0"/>
              </w:pBdr>
              <w:tabs>
                <w:tab w:val="left" w:pos="960"/>
              </w:tabs>
              <w:spacing w:beforeLines="0" w:after="0" w:afterLines="0" w:afterAutospacing="0" w:line="440" w:lineRule="exact"/>
              <w:ind w:left="630" w:leftChars="300" w:firstLine="0"/>
              <w:outlineLvl w:val="9"/>
              <w:rPr>
                <w:rFonts w:hint="default" w:ascii="仿宋_GB2312" w:hAnsi="仿宋_GB2312" w:eastAsia="仿宋_GB2312" w:cs="仿宋_GB2312"/>
                <w:b w:val="0"/>
                <w:bCs w:val="0"/>
                <w:color w:val="auto"/>
                <w:sz w:val="28"/>
                <w:szCs w:val="28"/>
                <w:highlight w:val="none"/>
                <w:u w:val="none"/>
                <w:shd w:val="clear" w:color="auto" w:fill="auto"/>
                <w:lang w:val="en-US" w:eastAsia="zh-CN" w:bidi="ar-SA"/>
              </w:rPr>
            </w:pPr>
            <w:r>
              <w:rPr>
                <w:rFonts w:hint="eastAsia" w:ascii="仿宋_GB2312" w:hAnsi="仿宋_GB2312" w:eastAsia="仿宋_GB2312" w:cs="仿宋_GB2312"/>
                <w:b w:val="0"/>
                <w:bCs w:val="0"/>
                <w:color w:val="auto"/>
                <w:sz w:val="28"/>
                <w:szCs w:val="28"/>
                <w:highlight w:val="none"/>
                <w:u w:val="none"/>
                <w:shd w:val="clear" w:color="auto" w:fill="auto"/>
                <w:lang w:val="en-US" w:eastAsia="zh-CN" w:bidi="ar-SA"/>
              </w:rPr>
              <w:t>建设标准化胶园、特种胶园，完善胶园基础设施</w:t>
            </w:r>
            <w:r>
              <w:rPr>
                <w:rFonts w:hint="eastAsia" w:ascii="仿宋_GB2312" w:hAnsi="仿宋_GB2312" w:eastAsia="仿宋_GB2312" w:cs="仿宋_GB2312"/>
                <w:color w:val="auto"/>
                <w:sz w:val="28"/>
                <w:szCs w:val="28"/>
                <w:highlight w:val="none"/>
                <w:u w:val="none"/>
                <w:shd w:val="clear" w:color="auto" w:fill="auto"/>
                <w:lang w:val="en-US" w:eastAsia="zh-CN" w:bidi="ar-SA"/>
              </w:rPr>
              <w:t>。</w:t>
            </w:r>
            <w:r>
              <w:rPr>
                <w:rFonts w:hint="eastAsia" w:ascii="仿宋_GB2312" w:hAnsi="仿宋_GB2312" w:eastAsia="仿宋_GB2312" w:cs="仿宋_GB2312"/>
                <w:b w:val="0"/>
                <w:bCs w:val="0"/>
                <w:color w:val="auto"/>
                <w:sz w:val="28"/>
                <w:szCs w:val="28"/>
                <w:highlight w:val="none"/>
                <w:u w:val="none"/>
                <w:shd w:val="clear" w:color="auto" w:fill="auto"/>
                <w:lang w:val="en-US" w:eastAsia="zh-CN" w:bidi="ar-SA"/>
              </w:rPr>
              <w:t>实施海南天然橡胶产业强链工程。建设橡胶现货交易中心。建设天然橡胶病虫害监测防控体系。</w:t>
            </w:r>
            <w:r>
              <w:rPr>
                <w:rFonts w:hint="eastAsia" w:ascii="仿宋_GB2312" w:hAnsi="仿宋_GB2312" w:eastAsia="仿宋_GB2312" w:cs="仿宋_GB2312"/>
                <w:color w:val="auto"/>
                <w:sz w:val="28"/>
                <w:szCs w:val="28"/>
                <w:highlight w:val="none"/>
                <w:u w:val="none"/>
                <w:shd w:val="clear" w:color="auto" w:fill="auto"/>
                <w:lang w:val="en-US" w:bidi="ar-SA"/>
              </w:rPr>
              <w:t>争取国家天然橡胶技术创新中心</w:t>
            </w:r>
            <w:r>
              <w:rPr>
                <w:rFonts w:hint="eastAsia" w:ascii="仿宋_GB2312" w:hAnsi="仿宋_GB2312" w:eastAsia="仿宋_GB2312" w:cs="仿宋_GB2312"/>
                <w:color w:val="auto"/>
                <w:sz w:val="28"/>
                <w:szCs w:val="28"/>
                <w:highlight w:val="none"/>
                <w:u w:val="none"/>
                <w:shd w:val="clear" w:color="auto" w:fill="auto"/>
                <w:lang w:val="en-US" w:eastAsia="zh-CN" w:bidi="ar-SA"/>
              </w:rPr>
              <w:t>落地海南</w:t>
            </w:r>
            <w:r>
              <w:rPr>
                <w:rFonts w:hint="eastAsia" w:ascii="仿宋_GB2312" w:hAnsi="仿宋_GB2312" w:eastAsia="仿宋_GB2312" w:cs="仿宋_GB2312"/>
                <w:b w:val="0"/>
                <w:bCs w:val="0"/>
                <w:color w:val="auto"/>
                <w:sz w:val="28"/>
                <w:szCs w:val="28"/>
                <w:highlight w:val="none"/>
                <w:u w:val="none"/>
                <w:shd w:val="clear" w:color="auto" w:fill="auto"/>
                <w:lang w:val="en-US" w:eastAsia="zh-CN" w:bidi="ar-SA"/>
              </w:rPr>
              <w:t>。</w:t>
            </w:r>
          </w:p>
        </w:tc>
      </w:tr>
    </w:tbl>
    <w:p>
      <w:pPr>
        <w:jc w:val="center"/>
        <w:rPr>
          <w:rFonts w:hint="default" w:ascii="Times New Roman" w:hAnsi="Times New Roman" w:eastAsia="方正小标宋简体" w:cs="Times New Roman"/>
          <w:color w:val="000000" w:themeColor="text1"/>
          <w:sz w:val="36"/>
          <w:szCs w:val="36"/>
          <w:highlight w:val="none"/>
          <w14:textFill>
            <w14:solidFill>
              <w14:schemeClr w14:val="tx1"/>
            </w14:solidFill>
          </w14:textFill>
        </w:rPr>
      </w:pPr>
      <w:bookmarkStart w:id="421" w:name="_Toc23052"/>
      <w:bookmarkStart w:id="422" w:name="_Toc32637"/>
      <w:bookmarkStart w:id="423" w:name="_Toc14270"/>
    </w:p>
    <w:p>
      <w:pPr>
        <w:jc w:val="center"/>
        <w:rPr>
          <w:rFonts w:hint="default" w:ascii="Times New Roman" w:hAnsi="Times New Roman" w:eastAsia="方正小标宋简体" w:cs="Times New Roman"/>
          <w:color w:val="000000" w:themeColor="text1"/>
          <w:sz w:val="36"/>
          <w:szCs w:val="36"/>
          <w:highlight w:val="none"/>
          <w14:textFill>
            <w14:solidFill>
              <w14:schemeClr w14:val="tx1"/>
            </w14:solidFill>
          </w14:textFill>
        </w:rPr>
      </w:pPr>
    </w:p>
    <w:p>
      <w:pPr>
        <w:jc w:val="center"/>
        <w:rPr>
          <w:rFonts w:hint="default" w:ascii="Times New Roman" w:hAnsi="Times New Roman" w:eastAsia="方正小标宋简体" w:cs="Times New Roman"/>
          <w:color w:val="000000" w:themeColor="text1"/>
          <w:sz w:val="36"/>
          <w:szCs w:val="36"/>
          <w:highlight w:val="none"/>
          <w14:textFill>
            <w14:solidFill>
              <w14:schemeClr w14:val="tx1"/>
            </w14:solidFill>
          </w14:textFill>
        </w:rPr>
        <w:sectPr>
          <w:footerReference r:id="rId11" w:type="default"/>
          <w:pgSz w:w="11906" w:h="16838"/>
          <w:pgMar w:top="2024" w:right="1406" w:bottom="1559" w:left="1576" w:header="851" w:footer="992" w:gutter="0"/>
          <w:pgBorders>
            <w:top w:val="none" w:sz="0" w:space="0"/>
            <w:left w:val="none" w:sz="0" w:space="0"/>
            <w:bottom w:val="none" w:sz="0" w:space="0"/>
            <w:right w:val="none" w:sz="0" w:space="0"/>
          </w:pgBorders>
          <w:pgNumType w:fmt="decimal"/>
          <w:cols w:space="0" w:num="1"/>
          <w:rtlGutter w:val="0"/>
          <w:docGrid w:type="lines" w:linePitch="318" w:charSpace="0"/>
        </w:sectPr>
      </w:pPr>
    </w:p>
    <w:p>
      <w:pPr>
        <w:jc w:val="center"/>
        <w:outlineLvl w:val="0"/>
        <w:rPr>
          <w:rFonts w:hint="eastAsia" w:ascii="黑体" w:hAnsi="黑体" w:eastAsia="黑体" w:cs="黑体"/>
          <w:color w:val="000000" w:themeColor="text1"/>
          <w:sz w:val="36"/>
          <w:szCs w:val="36"/>
          <w:highlight w:val="none"/>
          <w14:textFill>
            <w14:solidFill>
              <w14:schemeClr w14:val="tx1"/>
            </w14:solidFill>
          </w14:textFill>
        </w:rPr>
      </w:pPr>
      <w:bookmarkStart w:id="424" w:name="_Toc27670"/>
      <w:bookmarkStart w:id="425" w:name="_Toc26731"/>
      <w:bookmarkStart w:id="426" w:name="_Toc28347"/>
      <w:bookmarkStart w:id="427" w:name="_Toc22178"/>
      <w:bookmarkStart w:id="428" w:name="_Toc10120"/>
      <w:bookmarkStart w:id="429" w:name="_Toc27709"/>
      <w:bookmarkStart w:id="430" w:name="_Toc1448"/>
      <w:bookmarkStart w:id="431" w:name="_Toc5370"/>
      <w:bookmarkStart w:id="432" w:name="_Toc14763"/>
      <w:bookmarkStart w:id="433" w:name="_Toc7956"/>
      <w:bookmarkStart w:id="434" w:name="_Toc31496"/>
      <w:bookmarkStart w:id="435" w:name="_Toc2993"/>
      <w:r>
        <w:rPr>
          <w:rFonts w:hint="eastAsia" w:ascii="黑体" w:hAnsi="黑体" w:eastAsia="黑体" w:cs="黑体"/>
          <w:color w:val="000000" w:themeColor="text1"/>
          <w:sz w:val="36"/>
          <w:szCs w:val="36"/>
          <w:highlight w:val="none"/>
          <w14:textFill>
            <w14:solidFill>
              <w14:schemeClr w14:val="tx1"/>
            </w14:solidFill>
          </w14:textFill>
        </w:rPr>
        <w:t>第三章  全链条推动农业产业体系转型升级</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p>
    <w:p>
      <w:pPr>
        <w:jc w:val="center"/>
        <w:outlineLvl w:val="0"/>
        <w:rPr>
          <w:rFonts w:hint="eastAsia" w:ascii="黑体" w:hAnsi="黑体" w:eastAsia="黑体" w:cs="黑体"/>
          <w:color w:val="000000" w:themeColor="text1"/>
          <w:sz w:val="36"/>
          <w:szCs w:val="36"/>
          <w:highlight w:val="none"/>
          <w14:textFill>
            <w14:solidFill>
              <w14:schemeClr w14:val="tx1"/>
            </w14:solidFill>
          </w14:textFill>
        </w:rPr>
      </w:pPr>
      <w:bookmarkStart w:id="436" w:name="_Toc10521"/>
      <w:bookmarkStart w:id="437" w:name="_Toc6027"/>
      <w:bookmarkStart w:id="438" w:name="_Toc22581"/>
      <w:bookmarkStart w:id="439" w:name="_Toc15681"/>
      <w:bookmarkStart w:id="440" w:name="_Toc18610"/>
      <w:bookmarkStart w:id="441" w:name="_Toc9398"/>
      <w:bookmarkStart w:id="442" w:name="_Toc27638"/>
      <w:bookmarkStart w:id="443" w:name="_Toc24340"/>
      <w:bookmarkStart w:id="444" w:name="_Toc22540"/>
      <w:bookmarkStart w:id="445" w:name="_Toc18810"/>
      <w:bookmarkStart w:id="446" w:name="_Toc1457"/>
      <w:bookmarkStart w:id="447" w:name="_Toc24503"/>
      <w:bookmarkStart w:id="448" w:name="_Toc19986"/>
      <w:bookmarkStart w:id="449" w:name="_Toc2175"/>
      <w:bookmarkStart w:id="450" w:name="_Toc10607"/>
      <w:r>
        <w:rPr>
          <w:rFonts w:hint="eastAsia" w:ascii="黑体" w:hAnsi="黑体" w:eastAsia="黑体" w:cs="黑体"/>
          <w:color w:val="000000" w:themeColor="text1"/>
          <w:sz w:val="36"/>
          <w:szCs w:val="36"/>
          <w:highlight w:val="none"/>
          <w14:textFill>
            <w14:solidFill>
              <w14:schemeClr w14:val="tx1"/>
            </w14:solidFill>
          </w14:textFill>
        </w:rPr>
        <w:t>加快农业现代化</w:t>
      </w:r>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rPr>
          <w:rFonts w:hint="default" w:ascii="Times New Roman" w:hAnsi="Times New Roman" w:cs="Times New Roman"/>
          <w:color w:val="000000" w:themeColor="text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加快推进农业现代化，要坚持以家庭承包经营为基础、统分结合的双层经营体制，切实保障国家粮食安全，坚持产量产能、生产生态、增产增收一起抓，统筹发展科技农业、绿色农业、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设施农业、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质量农业、品牌农业</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开放农</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业“六个农业”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，着力构建热带特色高效农业产业体系、生产体系、经营体系，</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系统推进农业强省建设，全面提升</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海南农业</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质量效益和</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国际</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竞争力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451" w:name="_Toc23336"/>
      <w:bookmarkStart w:id="452" w:name="_Toc22235"/>
      <w:bookmarkStart w:id="453" w:name="_Toc7041"/>
      <w:bookmarkStart w:id="454" w:name="_Toc11032"/>
      <w:bookmarkStart w:id="455" w:name="_Toc4964"/>
      <w:bookmarkStart w:id="456" w:name="_Toc9245"/>
      <w:bookmarkStart w:id="457" w:name="_Toc12582"/>
      <w:bookmarkStart w:id="458" w:name="_Toc12686"/>
      <w:bookmarkStart w:id="459" w:name="_Toc30611"/>
      <w:bookmarkStart w:id="460" w:name="_Toc14314"/>
      <w:bookmarkStart w:id="461" w:name="_Toc7007"/>
      <w:bookmarkStart w:id="462" w:name="_Toc1215"/>
      <w:bookmarkStart w:id="463" w:name="_Toc10865"/>
      <w:bookmarkStart w:id="464" w:name="_Toc31127"/>
      <w:bookmarkStart w:id="465" w:name="_Toc28387"/>
      <w:r>
        <w:rPr>
          <w:rFonts w:hint="default" w:ascii="Times New Roman" w:hAnsi="Times New Roman" w:eastAsia="黑体" w:cs="Times New Roman"/>
          <w:color w:val="000000" w:themeColor="text1"/>
          <w:sz w:val="32"/>
          <w:szCs w:val="32"/>
          <w:highlight w:val="none"/>
          <w14:textFill>
            <w14:solidFill>
              <w14:schemeClr w14:val="tx1"/>
            </w14:solidFill>
          </w14:textFill>
        </w:rPr>
        <w:t>第一节 构建特色优势现代农业产业体系</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466" w:name="_Toc18781"/>
      <w:bookmarkStart w:id="467" w:name="_Toc16069"/>
      <w:bookmarkStart w:id="468" w:name="_Toc32438"/>
      <w:bookmarkStart w:id="469" w:name="_Toc21256"/>
      <w:bookmarkStart w:id="470" w:name="_Toc30521"/>
      <w:bookmarkStart w:id="471" w:name="_Toc22596"/>
      <w:bookmarkStart w:id="472" w:name="_Toc14975"/>
      <w:bookmarkStart w:id="473" w:name="_Toc32636"/>
      <w:bookmarkStart w:id="474" w:name="_Toc14942"/>
      <w:bookmarkStart w:id="475" w:name="_Toc7792"/>
      <w:bookmarkStart w:id="476" w:name="_Toc14634"/>
      <w:bookmarkStart w:id="477" w:name="_Toc24058"/>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一、全方位夯实粮食安全根基</w:t>
      </w:r>
      <w:bookmarkEnd w:id="466"/>
      <w:bookmarkEnd w:id="467"/>
      <w:bookmarkEnd w:id="468"/>
      <w:bookmarkEnd w:id="469"/>
      <w:bookmarkEnd w:id="470"/>
      <w:bookmarkEnd w:id="471"/>
      <w:bookmarkEnd w:id="472"/>
      <w:bookmarkEnd w:id="473"/>
      <w:bookmarkEnd w:id="474"/>
      <w:bookmarkEnd w:id="475"/>
      <w:bookmarkEnd w:id="476"/>
      <w:bookmarkEnd w:id="477"/>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ab/>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b/>
          <w:bCs/>
          <w:color w:val="000000" w:themeColor="text1"/>
          <w:sz w:val="32"/>
          <w:szCs w:val="32"/>
          <w:highlight w:val="none"/>
          <w:lang w:eastAsia="zh-CN"/>
          <w14:textFill>
            <w14:solidFill>
              <w14:schemeClr w14:val="tx1"/>
            </w14:solidFill>
          </w14:textFill>
        </w:rPr>
        <w:t>全面加强耕地保护和建设。</w:t>
      </w:r>
      <w:r>
        <w:rPr>
          <w:rFonts w:hint="default" w:ascii="Times New Roman" w:hAnsi="Times New Roman" w:eastAsia="仿宋_GB2312"/>
          <w:b w:val="0"/>
          <w:bCs w:val="0"/>
          <w:color w:val="000000" w:themeColor="text1"/>
          <w:sz w:val="32"/>
          <w:szCs w:val="32"/>
          <w:highlight w:val="none"/>
          <w:lang w:eastAsia="zh-CN"/>
          <w14:textFill>
            <w14:solidFill>
              <w14:schemeClr w14:val="tx1"/>
            </w14:solidFill>
          </w14:textFill>
        </w:rPr>
        <w:t>健全耕地数量、质量、生态</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“三位一体”保护制度</w:t>
      </w:r>
      <w:r>
        <w:rPr>
          <w:rFonts w:hint="default" w:ascii="Times New Roman" w:hAnsi="Times New Roman" w:eastAsia="仿宋_GB2312"/>
          <w:b w:val="0"/>
          <w:bCs w:val="0"/>
          <w:color w:val="000000" w:themeColor="text1"/>
          <w:sz w:val="32"/>
          <w:szCs w:val="32"/>
          <w:highlight w:val="none"/>
          <w:lang w:eastAsia="zh-CN"/>
          <w14:textFill>
            <w14:solidFill>
              <w14:schemeClr w14:val="tx1"/>
            </w14:solidFill>
          </w14:textFill>
        </w:rPr>
        <w:t>体系，</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严格占补平衡管理，完善补充耕地质量验收机制，确保达到平衡标准，守牢耕地和永久基本农田保护红线。逐步把具备条件的永久基本农田建成高标准农田，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到2030年累计建</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高标准农田430万亩</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强化高标准农田</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“一张底图”管理，完善高标准农田建设、验收、管护机制，建立健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全农田建设工程质量监督检验体系。</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加强耕地种植用途管控，落实耕地利用优先序，分类推进撂荒耕地综合利用，坚决遏制耕</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地“非农化”、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防止耕地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“非粮化”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全面提升粮</w:t>
      </w:r>
      <w:r>
        <w:rPr>
          <w:rFonts w:hint="eastAsia" w:ascii="Times New Roman" w:hAnsi="Times New Roman" w:eastAsia="仿宋_GB2312" w:cs="Times New Roman"/>
          <w:b/>
          <w:bCs/>
          <w:color w:val="000000" w:themeColor="text1"/>
          <w:sz w:val="32"/>
          <w:szCs w:val="32"/>
          <w:highlight w:val="none"/>
          <w:lang w:eastAsia="zh-CN"/>
          <w14:textFill>
            <w14:solidFill>
              <w14:schemeClr w14:val="tx1"/>
            </w14:solidFill>
          </w14:textFill>
        </w:rPr>
        <w:t>食</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生产保障能力。</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严格落实粮食安全党政同责，不折不扣完成国家下达的粮</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油</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生产</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目标</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任务。</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落实新一轮</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粮食</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产能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提升行动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实施方案，优化种植结构，</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稳定粮食、油料播种面积，扩大</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高产优质水稻</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品种</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种植规模；稳步</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提升甘薯播种面积，推广脱毒薯苗和高产高效栽培技术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推进</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“海南种子海南用”，促进良田良种良机良法集成增效，提高农业防灾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减灾救灾能力，持续抓好粮食机收减损，推动大面积均衡增产。</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到2030</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推广高产优质水稻品种120万亩以上</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“海南好米”品种</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50万亩以上</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。健全种粮农民收益保障机制，完善价格、补贴、保险等政策体系，稳步提高种粮收益和积极性。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优化粮食仓储设施布局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健全农资保供稳价机制和应急体系</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478" w:name="_Toc2445"/>
      <w:bookmarkStart w:id="479" w:name="_Toc8962"/>
      <w:bookmarkStart w:id="480" w:name="_Toc15969"/>
      <w:bookmarkStart w:id="481" w:name="_Toc29929"/>
      <w:bookmarkStart w:id="482" w:name="_Toc13236"/>
      <w:bookmarkStart w:id="483" w:name="_Toc31628"/>
      <w:bookmarkStart w:id="484" w:name="_Toc10465"/>
      <w:bookmarkStart w:id="485" w:name="_Toc24456"/>
      <w:bookmarkStart w:id="486" w:name="_Toc196"/>
      <w:bookmarkStart w:id="487" w:name="_Toc12501"/>
      <w:bookmarkStart w:id="488" w:name="_Toc25308"/>
      <w:bookmarkStart w:id="489" w:name="_Toc22976"/>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二、做精做优冬季瓜菜产业</w:t>
      </w:r>
      <w:bookmarkEnd w:id="478"/>
      <w:bookmarkEnd w:id="479"/>
      <w:bookmarkEnd w:id="480"/>
      <w:bookmarkEnd w:id="481"/>
      <w:bookmarkEnd w:id="482"/>
      <w:bookmarkEnd w:id="483"/>
      <w:bookmarkEnd w:id="484"/>
      <w:bookmarkEnd w:id="485"/>
      <w:bookmarkEnd w:id="486"/>
      <w:bookmarkEnd w:id="487"/>
      <w:bookmarkEnd w:id="488"/>
      <w:bookmarkEnd w:id="489"/>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u w:val="none"/>
          <w:lang w:val="en-US" w:eastAsia="zh-CN"/>
          <w14:textFill>
            <w14:solidFill>
              <w14:schemeClr w14:val="tx1"/>
            </w14:solidFill>
          </w14:textFill>
        </w:rPr>
        <w:t>调优冬季瓜菜种植结构和布局。</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按照</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市场需求，</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以</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稳瓜、增豆、减椒、扩种水生蔬菜</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为重点，持续</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调优冬季瓜菜种植结构</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，打造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瓜类、豆类、茄类、椒类等特色产业带。</w:t>
      </w:r>
      <w:r>
        <w:rPr>
          <w:rFonts w:hint="default" w:ascii="Times New Roman" w:hAnsi="Times New Roman" w:eastAsia="仿宋_GB2312"/>
          <w:color w:val="000000" w:themeColor="text1"/>
          <w:sz w:val="32"/>
          <w:szCs w:val="32"/>
          <w:highlight w:val="none"/>
          <w14:textFill>
            <w14:solidFill>
              <w14:schemeClr w14:val="tx1"/>
            </w14:solidFill>
          </w14:textFill>
        </w:rPr>
        <w:t>因地制宜推广大田生产过程整地覆膜、</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水肥一体化技术、瓜菜绿色</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生产技术和“稻菜”轮作模式</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发展</w:t>
      </w:r>
      <w:r>
        <w:rPr>
          <w:rFonts w:hint="eastAsia" w:ascii="仿宋_GB2312" w:hAnsi="仿宋_GB2312" w:eastAsia="仿宋_GB2312" w:cs="仿宋_GB2312"/>
          <w:color w:val="000000" w:themeColor="text1"/>
          <w:sz w:val="32"/>
          <w:szCs w:val="32"/>
          <w:highlight w:val="none"/>
          <w14:textFill>
            <w14:solidFill>
              <w14:schemeClr w14:val="tx1"/>
            </w14:solidFill>
          </w14:textFill>
        </w:rPr>
        <w:t>轻简型适用农机具</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建成一批连</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片成规模冬季瓜菜标准化生产基地。到2030年全省冬季瓜菜种植生产面积稳定在280万亩</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，产量5</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0万吨以上</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实施冬季瓜菜良种选育推广工程。</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加强蔬菜种质资源开发利用，培育一批适应海南的优质特色抗逆品种。扩大集约化育苗规模，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提升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10家年育苗</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00万株的集约化育苗场</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，带动建设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20家以上年育苗100万株的育苗基地</w:t>
      </w:r>
      <w:r>
        <w:rPr>
          <w:rFonts w:hint="default" w:ascii="Times New Roman" w:hAnsi="Times New Roman"/>
          <w:color w:val="000000" w:themeColor="text1"/>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到2030年</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集中育苗种植比例提高至30%。</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探索发展“</w:t>
      </w:r>
      <w:r>
        <w:rPr>
          <w:rFonts w:hint="eastAsia" w:ascii="仿宋_GB2312" w:hAnsi="仿宋_GB2312" w:eastAsia="仿宋_GB2312" w:cs="仿宋_GB2312"/>
          <w:color w:val="000000" w:themeColor="text1"/>
          <w:sz w:val="32"/>
          <w:szCs w:val="32"/>
          <w:highlight w:val="none"/>
          <w14:textFill>
            <w14:solidFill>
              <w14:schemeClr w14:val="tx1"/>
            </w14:solidFill>
          </w14:textFill>
        </w:rPr>
        <w:t>南种北繁、南苗北种</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”新业态，</w:t>
      </w:r>
      <w:r>
        <w:rPr>
          <w:rFonts w:hint="eastAsia" w:ascii="仿宋_GB2312" w:hAnsi="仿宋_GB2312" w:eastAsia="仿宋_GB2312" w:cs="仿宋_GB2312"/>
          <w:color w:val="000000" w:themeColor="text1"/>
          <w:sz w:val="32"/>
          <w:szCs w:val="32"/>
          <w:highlight w:val="none"/>
          <w14:textFill>
            <w14:solidFill>
              <w14:schemeClr w14:val="tx1"/>
            </w14:solidFill>
          </w14:textFill>
        </w:rPr>
        <w:t>以“种苗+技术”订单模式承接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省外种苗生产任务，做响海南瓜菜育苗品牌</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i w:val="0"/>
          <w:iCs w:val="0"/>
          <w:caps w:val="0"/>
          <w:color w:val="000000" w:themeColor="text1"/>
          <w:spacing w:val="0"/>
          <w:sz w:val="32"/>
          <w:szCs w:val="32"/>
          <w:highlight w:val="none"/>
          <w:shd w:val="clear"/>
          <w:lang w:val="en-US" w:eastAsia="zh-CN"/>
          <w14:textFill>
            <w14:solidFill>
              <w14:schemeClr w14:val="tx1"/>
            </w14:solidFill>
          </w14:textFill>
        </w:rPr>
        <w:t>健全冬季瓜菜冷链运销体系。</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推动市县建设完善田头冷库等产地预冷仓储设施和农产品产地市场。支持培育</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我省新型</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农业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经营主体和农产品运销企业为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基础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，建立健全以供销社、海垦集团等为龙头、</w:t>
      </w:r>
      <w:r>
        <w:rPr>
          <w:rFonts w:hint="eastAsia" w:ascii="仿宋_GB2312" w:hAnsi="仿宋_GB2312" w:eastAsia="仿宋_GB2312" w:cs="仿宋_GB2312"/>
          <w:color w:val="000000" w:themeColor="text1"/>
          <w:sz w:val="32"/>
          <w:szCs w:val="32"/>
          <w:highlight w:val="none"/>
          <w14:textFill>
            <w14:solidFill>
              <w14:schemeClr w14:val="tx1"/>
            </w14:solidFill>
          </w14:textFill>
        </w:rPr>
        <w:t>以“冬交会”等展</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会为平台、以省外农产品批发市场为重点、以电商平台为补充的冬季瓜菜销售体系。加强与广东、广西、云南等地信息互通，及时发布种植指南，推动主导品种结构互补、错峰上市，</w:t>
      </w:r>
      <w:r>
        <w:rPr>
          <w:rFonts w:hint="eastAsia" w:ascii="仿宋_GB2312" w:hAnsi="仿宋_GB2312" w:eastAsia="仿宋_GB2312" w:cs="仿宋_GB2312"/>
          <w:color w:val="000000" w:themeColor="text1"/>
          <w:sz w:val="32"/>
          <w:szCs w:val="32"/>
          <w:highlight w:val="none"/>
          <w14:textFill>
            <w14:solidFill>
              <w14:schemeClr w14:val="tx1"/>
            </w14:solidFill>
          </w14:textFill>
        </w:rPr>
        <w:t>扩大“订单式”生</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产。</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490" w:name="_Toc32196"/>
      <w:bookmarkStart w:id="491" w:name="_Toc6097"/>
      <w:bookmarkStart w:id="492" w:name="_Toc26800"/>
      <w:bookmarkStart w:id="493" w:name="_Toc7279"/>
      <w:bookmarkStart w:id="494" w:name="_Toc19302"/>
      <w:bookmarkStart w:id="495" w:name="_Toc3310"/>
      <w:bookmarkStart w:id="496" w:name="_Toc4110"/>
      <w:bookmarkStart w:id="497" w:name="_Toc9542"/>
      <w:bookmarkStart w:id="498" w:name="_Toc13732"/>
      <w:bookmarkStart w:id="499" w:name="_Toc26225"/>
      <w:bookmarkStart w:id="500" w:name="_Toc5535"/>
      <w:bookmarkStart w:id="501" w:name="_Toc9378"/>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三、做大做强热带优异水果产业</w:t>
      </w:r>
      <w:bookmarkEnd w:id="490"/>
      <w:bookmarkEnd w:id="491"/>
      <w:bookmarkEnd w:id="492"/>
      <w:bookmarkEnd w:id="493"/>
      <w:bookmarkEnd w:id="494"/>
      <w:bookmarkEnd w:id="495"/>
      <w:bookmarkEnd w:id="496"/>
      <w:bookmarkEnd w:id="497"/>
      <w:bookmarkEnd w:id="498"/>
      <w:bookmarkEnd w:id="499"/>
      <w:bookmarkEnd w:id="500"/>
      <w:bookmarkEnd w:id="501"/>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加强标志性优良品种培育。</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依托国家热带农业科学中心、省部级重点实验室等创新平台，挖掘创制一批优异种质资源。在全省布局建设区域试验和生产试验基地，培育</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“新奇特优”</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标志性</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水果</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优良品种</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10</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个以上。开展传统品种或地方品种优异单株、品种（系）筛选和提纯复壮，更新换代新选育的传统或地方优良品种1</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0</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个以上。布局建设</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一批</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省级热带优异</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水果</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良种良苗繁育基地</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和</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新品种展示园</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，提高健康种子种苗供应和良种覆盖率。</w:t>
      </w:r>
    </w:p>
    <w:p>
      <w:pPr>
        <w:adjustRightInd/>
        <w:snapToGrid w:val="0"/>
        <w:spacing w:line="590" w:lineRule="exact"/>
        <w:ind w:firstLine="642" w:firstLineChars="200"/>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cs="Times New Roman"/>
          <w:b/>
          <w:bCs/>
          <w:color w:val="000000" w:themeColor="text1"/>
          <w:sz w:val="32"/>
          <w:szCs w:val="32"/>
          <w:highlight w:val="none"/>
          <w:lang w:eastAsia="zh-CN"/>
          <w14:textFill>
            <w14:solidFill>
              <w14:schemeClr w14:val="tx1"/>
            </w14:solidFill>
          </w14:textFill>
        </w:rPr>
        <w:t>优化热带水果种植结构</w:t>
      </w:r>
      <w:r>
        <w:rPr>
          <w:rFonts w:hint="default" w:ascii="Times New Roman" w:hAnsi="Times New Roman" w:eastAsia="仿宋_GB2312"/>
          <w:b/>
          <w:bCs/>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b w:val="0"/>
          <w:bCs w:val="0"/>
          <w:color w:val="000000" w:themeColor="text1"/>
          <w:sz w:val="32"/>
          <w:szCs w:val="32"/>
          <w:highlight w:val="none"/>
          <w:lang w:val="en-US" w:eastAsia="zh-CN"/>
          <w14:textFill>
            <w14:solidFill>
              <w14:schemeClr w14:val="tx1"/>
            </w14:solidFill>
          </w14:textFill>
        </w:rPr>
        <w:t>按照</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“稳面积、优布局、提质量”</w:t>
      </w:r>
      <w:r>
        <w:rPr>
          <w:rFonts w:hint="default" w:ascii="Times New Roman" w:hAnsi="Times New Roman" w:eastAsia="仿宋_GB2312"/>
          <w:b w:val="0"/>
          <w:bCs w:val="0"/>
          <w:color w:val="000000" w:themeColor="text1"/>
          <w:sz w:val="32"/>
          <w:szCs w:val="32"/>
          <w:highlight w:val="none"/>
          <w:lang w:val="en-US" w:eastAsia="zh-CN"/>
          <w14:textFill>
            <w14:solidFill>
              <w14:schemeClr w14:val="tx1"/>
            </w14:solidFill>
          </w14:textFill>
        </w:rPr>
        <w:t>的思路，调优香蕉、芒果、荔枝、凤梨、火龙果等大宗热带水果品种结构，</w:t>
      </w:r>
      <w:r>
        <w:rPr>
          <w:rFonts w:hint="default" w:ascii="Times New Roman" w:hAnsi="Times New Roman" w:eastAsia="仿宋_GB2312"/>
          <w:color w:val="000000" w:themeColor="text1"/>
          <w:sz w:val="32"/>
          <w:szCs w:val="32"/>
          <w:highlight w:val="none"/>
          <w14:textFill>
            <w14:solidFill>
              <w14:schemeClr w14:val="tx1"/>
            </w14:solidFill>
          </w14:textFill>
        </w:rPr>
        <w:t>引导榴莲、榴莲蜜、红毛丹、</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黄晶果</w:t>
      </w:r>
      <w:r>
        <w:rPr>
          <w:rFonts w:hint="default" w:ascii="Times New Roman" w:hAnsi="Times New Roman" w:eastAsia="仿宋_GB2312"/>
          <w:color w:val="000000" w:themeColor="text1"/>
          <w:sz w:val="32"/>
          <w:szCs w:val="32"/>
          <w:highlight w:val="none"/>
          <w14:textFill>
            <w14:solidFill>
              <w14:schemeClr w14:val="tx1"/>
            </w14:solidFill>
          </w14:textFill>
        </w:rPr>
        <w:t>等热带优异水果</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适度</w:t>
      </w:r>
      <w:r>
        <w:rPr>
          <w:rFonts w:hint="default" w:ascii="Times New Roman" w:hAnsi="Times New Roman" w:eastAsia="仿宋_GB2312"/>
          <w:color w:val="000000" w:themeColor="text1"/>
          <w:sz w:val="32"/>
          <w:szCs w:val="32"/>
          <w:highlight w:val="none"/>
          <w14:textFill>
            <w14:solidFill>
              <w14:schemeClr w14:val="tx1"/>
            </w14:solidFill>
          </w14:textFill>
        </w:rPr>
        <w:t>规模化种植</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打造</w:t>
      </w:r>
      <w:r>
        <w:rPr>
          <w:rFonts w:hint="default" w:ascii="Times New Roman" w:hAnsi="Times New Roman" w:eastAsia="仿宋_GB2312"/>
          <w:color w:val="000000" w:themeColor="text1"/>
          <w:sz w:val="32"/>
          <w:szCs w:val="32"/>
          <w:highlight w:val="none"/>
          <w14:textFill>
            <w14:solidFill>
              <w14:schemeClr w14:val="tx1"/>
            </w14:solidFill>
          </w14:textFill>
        </w:rPr>
        <w:t>具有国际竞争力的热带水果产业集群</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利用橡胶林、槟榔林、庭院等空间，发展高价值热带优异水果。聚焦</w:t>
      </w:r>
      <w:r>
        <w:rPr>
          <w:rFonts w:hint="default" w:ascii="Times New Roman" w:hAnsi="Times New Roman" w:eastAsia="仿宋_GB2312"/>
          <w:color w:val="000000" w:themeColor="text1"/>
          <w:sz w:val="32"/>
          <w:szCs w:val="32"/>
          <w:highlight w:val="none"/>
          <w14:textFill>
            <w14:solidFill>
              <w14:schemeClr w14:val="tx1"/>
            </w14:solidFill>
          </w14:textFill>
        </w:rPr>
        <w:t>病虫害绿色防控、产期调节、品质调控等关键需求，</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建“数字果园”“智慧果园”</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完善</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品种成熟度、质量分级等行业标准，推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行“上市日”制</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度，加强生产、采收、包装和销售等管理，规范市场秩序。</w:t>
      </w:r>
      <w:r>
        <w:rPr>
          <w:rFonts w:hint="default" w:ascii="Times New Roman" w:hAnsi="Times New Roman" w:eastAsia="仿宋_GB2312"/>
          <w:b w:val="0"/>
          <w:bCs w:val="0"/>
          <w:color w:val="000000" w:themeColor="text1"/>
          <w:sz w:val="32"/>
          <w:szCs w:val="32"/>
          <w:highlight w:val="none"/>
          <w:lang w:val="en-US" w:eastAsia="zh-CN"/>
          <w14:textFill>
            <w14:solidFill>
              <w14:schemeClr w14:val="tx1"/>
            </w14:solidFill>
          </w14:textFill>
        </w:rPr>
        <w:t>到2030年，</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热带水果面积稳定在340万亩左右，产量达到4</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5</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0万吨，产值达到300亿元</w:t>
      </w:r>
      <w:r>
        <w:rPr>
          <w:rFonts w:hint="eastAsia"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b w:val="0"/>
          <w:bCs w:val="0"/>
          <w:color w:val="000000" w:themeColor="text1"/>
          <w:sz w:val="32"/>
          <w:szCs w:val="32"/>
          <w:highlight w:val="none"/>
          <w14:textFill>
            <w14:solidFill>
              <w14:schemeClr w14:val="tx1"/>
            </w14:solidFill>
          </w14:textFill>
        </w:rPr>
        <w:t>建设标准化种植园30个以</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上，带动榴莲等</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优异</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水果种植面积60万亩以上</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p>
    <w:p>
      <w:pPr>
        <w:widowControl w:val="0"/>
        <w:adjustRightInd w:val="0"/>
        <w:snapToGrid w:val="0"/>
        <w:spacing w:line="590" w:lineRule="exact"/>
        <w:ind w:firstLine="642" w:firstLineChars="200"/>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推动热带水果产业融合发展</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在水果规模化产地建设初加工服务站点、仓储保鲜、冷链物流等基础设施，加强产品预冷、挑选、分级、包装等采后处理服务，降低损耗、延长货架期。适度发展特色水果产品加工，打造水果主题伴手礼。</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促进</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热带水果产业与</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休闲采摘、美食体验、科普教育等</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融合，打造一批水果主题农旅融合项目。</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加强</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热带水果品牌推介，</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打</w:t>
      </w:r>
      <w:r>
        <w:rPr>
          <w:rFonts w:hint="eastAsia" w:ascii="仿宋_GB2312" w:hAnsi="仿宋_GB2312" w:eastAsia="仿宋_GB2312" w:cs="仿宋_GB2312"/>
          <w:color w:val="000000" w:themeColor="text1"/>
          <w:sz w:val="32"/>
          <w:szCs w:val="32"/>
          <w:highlight w:val="none"/>
          <w14:textFill>
            <w14:solidFill>
              <w14:schemeClr w14:val="tx1"/>
            </w14:solidFill>
          </w14:textFill>
        </w:rPr>
        <w:t>响</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乐东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蜜瓜”</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火山</w:t>
      </w:r>
      <w:r>
        <w:rPr>
          <w:rFonts w:hint="eastAsia" w:ascii="仿宋_GB2312" w:hAnsi="仿宋_GB2312" w:eastAsia="仿宋_GB2312" w:cs="仿宋_GB2312"/>
          <w:color w:val="000000" w:themeColor="text1"/>
          <w:sz w:val="32"/>
          <w:szCs w:val="32"/>
          <w:highlight w:val="none"/>
          <w14:textFill>
            <w14:solidFill>
              <w14:schemeClr w14:val="tx1"/>
            </w14:solidFill>
          </w14:textFill>
        </w:rPr>
        <w:t>荔枝”“三亚芒果”等</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热带</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水果品牌</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鼓</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励市场主体在“一带一路”沿线开展热带水果种植、加工和流通，发展热</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带水果进出口贸易加工等业务。</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502" w:name="_Toc7428"/>
      <w:bookmarkStart w:id="503" w:name="_Toc2046"/>
      <w:bookmarkStart w:id="504" w:name="_Toc11407"/>
      <w:bookmarkStart w:id="505" w:name="_Toc10499"/>
      <w:bookmarkStart w:id="506" w:name="_Toc10537"/>
      <w:bookmarkStart w:id="507" w:name="_Toc20113"/>
      <w:bookmarkStart w:id="508" w:name="_Toc7079"/>
      <w:bookmarkStart w:id="509" w:name="_Toc29642"/>
      <w:bookmarkStart w:id="510" w:name="_Toc24552"/>
      <w:bookmarkStart w:id="511" w:name="_Toc16900"/>
      <w:bookmarkStart w:id="512" w:name="_Toc16336"/>
      <w:bookmarkStart w:id="513" w:name="_Toc20616"/>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四、因地制宜发展热带作物产业</w:t>
      </w:r>
      <w:bookmarkEnd w:id="502"/>
      <w:bookmarkEnd w:id="503"/>
      <w:bookmarkEnd w:id="504"/>
      <w:bookmarkEnd w:id="505"/>
      <w:bookmarkEnd w:id="506"/>
      <w:bookmarkEnd w:id="507"/>
      <w:bookmarkEnd w:id="508"/>
      <w:bookmarkEnd w:id="509"/>
      <w:bookmarkEnd w:id="510"/>
      <w:bookmarkEnd w:id="511"/>
      <w:bookmarkEnd w:id="512"/>
      <w:bookmarkEnd w:id="513"/>
    </w:p>
    <w:p>
      <w:pPr>
        <w:keepNext w:val="0"/>
        <w:keepLines w:val="0"/>
        <w:widowControl w:val="0"/>
        <w:suppressLineNumbers w:val="0"/>
        <w:autoSpaceDE/>
        <w:autoSpaceDN/>
        <w:snapToGrid w:val="0"/>
        <w:spacing w:before="0" w:beforeAutospacing="0" w:after="0" w:afterAutospacing="0" w:line="590" w:lineRule="exact"/>
        <w:ind w:left="0" w:right="0" w:firstLine="642" w:firstLineChars="200"/>
        <w:jc w:val="both"/>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b/>
          <w:bCs/>
          <w:color w:val="000000" w:themeColor="text1"/>
          <w:sz w:val="32"/>
          <w:szCs w:val="32"/>
          <w:highlight w:val="none"/>
          <w:u w:val="none"/>
          <w:lang w:val="en-US" w:eastAsia="zh-CN"/>
          <w14:textFill>
            <w14:solidFill>
              <w14:schemeClr w14:val="tx1"/>
            </w14:solidFill>
          </w14:textFill>
        </w:rPr>
        <w:t>推进胡椒产业全链条发展。</w:t>
      </w:r>
      <w:r>
        <w:rPr>
          <w:rFonts w:hint="default" w:ascii="Times New Roman" w:hAnsi="Times New Roman" w:eastAsia="仿宋_GB2312"/>
          <w:b w:val="0"/>
          <w:bCs w:val="0"/>
          <w:color w:val="000000" w:themeColor="text1"/>
          <w:sz w:val="32"/>
          <w:szCs w:val="32"/>
          <w:highlight w:val="none"/>
          <w:u w:val="none"/>
          <w:lang w:eastAsia="zh-CN"/>
          <w14:textFill>
            <w14:solidFill>
              <w14:schemeClr w14:val="tx1"/>
            </w14:solidFill>
          </w14:textFill>
        </w:rPr>
        <w:t>培育推广抗逆性强和宜机化胡椒新品种，研发推广全程机械化生产模式和生态高效生产技术，推动</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老旧椒园改造升级，建设生态高产胡椒园。</w:t>
      </w:r>
      <w:r>
        <w:rPr>
          <w:rFonts w:hint="default" w:ascii="Times New Roman" w:hAnsi="Times New Roman" w:eastAsia="仿宋_GB2312"/>
          <w:color w:val="000000" w:themeColor="text1"/>
          <w:sz w:val="32"/>
          <w:szCs w:val="32"/>
          <w:highlight w:val="none"/>
          <w:u w:val="none"/>
          <w14:textFill>
            <w14:solidFill>
              <w14:schemeClr w14:val="tx1"/>
            </w14:solidFill>
          </w14:textFill>
        </w:rPr>
        <w:t>推广胡椒绿色初加工生产技术，</w:t>
      </w:r>
      <w:r>
        <w:rPr>
          <w:rFonts w:hint="default" w:ascii="Times New Roman" w:hAnsi="Times New Roman" w:eastAsia="仿宋_GB2312"/>
          <w:color w:val="000000" w:themeColor="text1"/>
          <w:sz w:val="32"/>
          <w:szCs w:val="32"/>
          <w:highlight w:val="none"/>
          <w:u w:val="none"/>
          <w:lang w:eastAsia="zh-CN"/>
          <w14:textFill>
            <w14:solidFill>
              <w14:schemeClr w14:val="tx1"/>
            </w14:solidFill>
          </w14:textFill>
        </w:rPr>
        <w:t>建设覆盖主产区的胡椒绿色加工基地。</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发展</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“青胡椒”等绿色高值加工产品，挖掘胡椒碱、</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胡椒精油、胡椒淀粉等营养成分，开发功能性食品、药品、日化等高端产品。加强</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“大坡胡椒”等品牌宣传，</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建设胡椒主题共享农庄、特色小镇。探索建设胡椒仓储和交易中心，发展胡椒大宗贸易。</w:t>
      </w:r>
    </w:p>
    <w:p>
      <w:pPr>
        <w:keepNext w:val="0"/>
        <w:keepLines w:val="0"/>
        <w:widowControl w:val="0"/>
        <w:suppressLineNumbers w:val="0"/>
        <w:autoSpaceDE/>
        <w:autoSpaceDN/>
        <w:snapToGrid w:val="0"/>
        <w:spacing w:before="0" w:beforeAutospacing="0" w:after="0" w:afterAutospacing="0" w:line="590" w:lineRule="exact"/>
        <w:ind w:left="0" w:right="0" w:firstLine="642" w:firstLineChars="200"/>
        <w:jc w:val="both"/>
        <w:rPr>
          <w:rFonts w:hint="default" w:ascii="Times New Roman" w:hAnsi="Times New Roman" w:eastAsia="仿宋_GB2312" w:cs="Times New Roman"/>
          <w:color w:val="000000" w:themeColor="text1"/>
          <w:kern w:val="2"/>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u w:val="none"/>
          <w:lang w:val="en-US" w:eastAsia="zh-CN"/>
          <w14:textFill>
            <w14:solidFill>
              <w14:schemeClr w14:val="tx1"/>
            </w14:solidFill>
          </w14:textFill>
        </w:rPr>
        <w:t>推动</w:t>
      </w:r>
      <w:r>
        <w:rPr>
          <w:rFonts w:hint="default" w:ascii="Times New Roman" w:hAnsi="Times New Roman" w:eastAsia="仿宋_GB2312" w:cs="Times New Roman"/>
          <w:b/>
          <w:bCs/>
          <w:color w:val="000000" w:themeColor="text1"/>
          <w:kern w:val="2"/>
          <w:sz w:val="32"/>
          <w:szCs w:val="32"/>
          <w:lang w:val="en-US" w:eastAsia="zh-CN" w:bidi="ar"/>
          <w14:textFill>
            <w14:solidFill>
              <w14:schemeClr w14:val="tx1"/>
            </w14:solidFill>
          </w14:textFill>
        </w:rPr>
        <w:t>咖啡产业标准化、品牌化、国际化发展。</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积极推进咖啡标准化种植，</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推广国际先进良种良法，建设</w:t>
      </w:r>
      <w:r>
        <w:rPr>
          <w:rFonts w:hint="default" w:ascii="Times New Roman" w:hAnsi="Times New Roman" w:eastAsia="仿宋_GB2312" w:cs="Times New Roman"/>
          <w:b w:val="0"/>
          <w:color w:val="000000" w:themeColor="text1"/>
          <w:kern w:val="2"/>
          <w:sz w:val="32"/>
          <w:szCs w:val="32"/>
          <w:highlight w:val="none"/>
          <w:lang w:val="en-US" w:eastAsia="zh-CN" w:bidi="ar"/>
          <w14:textFill>
            <w14:solidFill>
              <w14:schemeClr w14:val="tx1"/>
            </w14:solidFill>
          </w14:textFill>
        </w:rPr>
        <w:t>精品咖啡庄园，推动全</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省咖啡种植面积稳定在3万亩左右，新种咖啡良种覆盖率90%以上。统筹规划建设咖啡产业园区，</w:t>
      </w:r>
      <w:r>
        <w:rPr>
          <w:rFonts w:hint="default"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推动咖啡</w:t>
      </w:r>
      <w:r>
        <w:rPr>
          <w:rFonts w:hint="default" w:ascii="Times New Roman" w:hAnsi="Times New Roman" w:eastAsia="仿宋_GB2312" w:cs="Times New Roman"/>
          <w:b w:val="0"/>
          <w:color w:val="000000" w:themeColor="text1"/>
          <w:kern w:val="2"/>
          <w:sz w:val="32"/>
          <w:szCs w:val="32"/>
          <w:highlight w:val="none"/>
          <w:lang w:val="en-US" w:eastAsia="zh-CN" w:bidi="ar"/>
          <w14:textFill>
            <w14:solidFill>
              <w14:schemeClr w14:val="tx1"/>
            </w14:solidFill>
          </w14:textFill>
        </w:rPr>
        <w:t>鲜果集中绿色初加工，</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引入国际一流加工生产线及高水平加工研发中心，提高精深加工能力，力争</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全省咖啡加工量</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3</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万吨以上。</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有序推进海南自贸港咖啡贸易中心建设，</w:t>
      </w:r>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努力打造辐射全国、链接全球的优质咖啡生产展示基地、精深加工基地和国际仓储贸易中心。</w:t>
      </w:r>
    </w:p>
    <w:p>
      <w:pPr>
        <w:keepNext w:val="0"/>
        <w:keepLines w:val="0"/>
        <w:pageBreakBefore w:val="0"/>
        <w:widowControl w:val="0"/>
        <w:kinsoku/>
        <w:wordWrap/>
        <w:overflowPunct/>
        <w:topLinePunct w:val="0"/>
        <w:autoSpaceDE/>
        <w:autoSpaceDN/>
        <w:bidi w:val="0"/>
        <w:adjustRightInd/>
        <w:snapToGrid w:val="0"/>
        <w:spacing w:line="590" w:lineRule="exact"/>
        <w:ind w:firstLine="643" w:firstLineChars="0"/>
        <w:jc w:val="both"/>
        <w:textAlignment w:val="auto"/>
        <w:rPr>
          <w:rFonts w:hint="default" w:ascii="Times New Roman" w:hAnsi="Times New Roman" w:eastAsia="仿宋_GB2312"/>
          <w:b/>
          <w:bCs/>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b/>
          <w:bCs/>
          <w:color w:val="000000" w:themeColor="text1"/>
          <w:sz w:val="32"/>
          <w:szCs w:val="32"/>
          <w:highlight w:val="none"/>
          <w:u w:val="none"/>
          <w:lang w:eastAsia="zh-CN"/>
          <w14:textFill>
            <w14:solidFill>
              <w14:schemeClr w14:val="tx1"/>
            </w14:solidFill>
          </w14:textFill>
        </w:rPr>
        <w:t>推动椰子产业高质量发展。</w:t>
      </w:r>
      <w:r>
        <w:rPr>
          <w:rFonts w:hint="default" w:ascii="Times New Roman" w:hAnsi="Times New Roman" w:eastAsia="仿宋_GB2312" w:cs="Times New Roman"/>
          <w:b w:val="0"/>
          <w:color w:val="000000" w:themeColor="text1"/>
          <w:kern w:val="2"/>
          <w:sz w:val="32"/>
          <w:szCs w:val="32"/>
          <w:shd w:val="clear"/>
          <w:lang w:bidi="ar"/>
          <w14:textFill>
            <w14:solidFill>
              <w14:schemeClr w14:val="tx1"/>
            </w14:solidFill>
          </w14:textFill>
        </w:rPr>
        <w:t>稳</w:t>
      </w:r>
      <w:r>
        <w:rPr>
          <w:rFonts w:hint="default" w:ascii="Times New Roman" w:hAnsi="Times New Roman" w:eastAsia="仿宋_GB2312" w:cs="Times New Roman"/>
          <w:b w:val="0"/>
          <w:color w:val="000000" w:themeColor="text1"/>
          <w:kern w:val="2"/>
          <w:sz w:val="32"/>
          <w:szCs w:val="32"/>
          <w:shd w:val="clear"/>
          <w:lang w:eastAsia="zh-CN" w:bidi="ar"/>
          <w14:textFill>
            <w14:solidFill>
              <w14:schemeClr w14:val="tx1"/>
            </w14:solidFill>
          </w14:textFill>
        </w:rPr>
        <w:t>定省内</w:t>
      </w:r>
      <w:r>
        <w:rPr>
          <w:rFonts w:hint="default" w:ascii="Times New Roman" w:hAnsi="Times New Roman" w:eastAsia="仿宋_GB2312" w:cs="Times New Roman"/>
          <w:b w:val="0"/>
          <w:color w:val="000000" w:themeColor="text1"/>
          <w:kern w:val="2"/>
          <w:sz w:val="32"/>
          <w:szCs w:val="32"/>
          <w:shd w:val="clear"/>
          <w:lang w:bidi="ar"/>
          <w14:textFill>
            <w14:solidFill>
              <w14:schemeClr w14:val="tx1"/>
            </w14:solidFill>
          </w14:textFill>
        </w:rPr>
        <w:t>椰子种植</w:t>
      </w:r>
      <w:r>
        <w:rPr>
          <w:rFonts w:hint="default" w:ascii="Times New Roman" w:hAnsi="Times New Roman" w:eastAsia="仿宋_GB2312" w:cs="Times New Roman"/>
          <w:b w:val="0"/>
          <w:color w:val="000000" w:themeColor="text1"/>
          <w:kern w:val="2"/>
          <w:sz w:val="32"/>
          <w:szCs w:val="32"/>
          <w:shd w:val="clear"/>
          <w:lang w:eastAsia="zh-CN" w:bidi="ar"/>
          <w14:textFill>
            <w14:solidFill>
              <w14:schemeClr w14:val="tx1"/>
            </w14:solidFill>
          </w14:textFill>
        </w:rPr>
        <w:t>规模</w:t>
      </w:r>
      <w:r>
        <w:rPr>
          <w:rFonts w:hint="default" w:ascii="Times New Roman" w:hAnsi="Times New Roman" w:eastAsia="仿宋_GB2312" w:cs="Times New Roman"/>
          <w:b w:val="0"/>
          <w:color w:val="000000" w:themeColor="text1"/>
          <w:kern w:val="2"/>
          <w:sz w:val="32"/>
          <w:szCs w:val="32"/>
          <w:shd w:val="clear"/>
          <w:lang w:bidi="ar"/>
          <w14:textFill>
            <w14:solidFill>
              <w14:schemeClr w14:val="tx1"/>
            </w14:solidFill>
          </w14:textFill>
        </w:rPr>
        <w:t>，</w:t>
      </w:r>
      <w:r>
        <w:rPr>
          <w:rFonts w:hint="default" w:ascii="Times New Roman" w:hAnsi="Times New Roman" w:eastAsia="仿宋_GB2312" w:cs="Times New Roman"/>
          <w:i w:val="0"/>
          <w:caps w:val="0"/>
          <w:color w:val="000000" w:themeColor="text1"/>
          <w:spacing w:val="0"/>
          <w:kern w:val="2"/>
          <w:sz w:val="32"/>
          <w:szCs w:val="32"/>
          <w:shd w:val="clear"/>
          <w:lang w:eastAsia="zh-CN" w:bidi="ar"/>
          <w14:textFill>
            <w14:solidFill>
              <w14:schemeClr w14:val="tx1"/>
            </w14:solidFill>
          </w14:textFill>
        </w:rPr>
        <w:t>更新种植</w:t>
      </w:r>
      <w:r>
        <w:rPr>
          <w:rFonts w:hint="default" w:ascii="Times New Roman" w:hAnsi="Times New Roman" w:eastAsia="仿宋_GB2312" w:cs="Times New Roman"/>
          <w:i w:val="0"/>
          <w:caps w:val="0"/>
          <w:color w:val="000000" w:themeColor="text1"/>
          <w:spacing w:val="0"/>
          <w:kern w:val="2"/>
          <w:sz w:val="32"/>
          <w:szCs w:val="32"/>
          <w:shd w:val="clear"/>
          <w:lang w:bidi="ar"/>
          <w14:textFill>
            <w14:solidFill>
              <w14:schemeClr w14:val="tx1"/>
            </w14:solidFill>
          </w14:textFill>
        </w:rPr>
        <w:t>高产稳产优质品种，</w:t>
      </w:r>
      <w:r>
        <w:rPr>
          <w:rFonts w:hint="default" w:ascii="Times New Roman" w:hAnsi="Times New Roman" w:eastAsia="仿宋_GB2312" w:cs="Times New Roman"/>
          <w:i w:val="0"/>
          <w:caps w:val="0"/>
          <w:color w:val="000000" w:themeColor="text1"/>
          <w:spacing w:val="0"/>
          <w:kern w:val="2"/>
          <w:sz w:val="32"/>
          <w:szCs w:val="32"/>
          <w:shd w:val="clear"/>
          <w:lang w:eastAsia="zh-CN" w:bidi="ar"/>
          <w14:textFill>
            <w14:solidFill>
              <w14:schemeClr w14:val="tx1"/>
            </w14:solidFill>
          </w14:textFill>
        </w:rPr>
        <w:t>推</w:t>
      </w:r>
      <w:r>
        <w:rPr>
          <w:rFonts w:hint="eastAsia" w:ascii="仿宋_GB2312" w:hAnsi="仿宋_GB2312" w:eastAsia="仿宋_GB2312" w:cs="仿宋_GB2312"/>
          <w:i w:val="0"/>
          <w:caps w:val="0"/>
          <w:color w:val="000000" w:themeColor="text1"/>
          <w:spacing w:val="0"/>
          <w:kern w:val="2"/>
          <w:sz w:val="32"/>
          <w:szCs w:val="32"/>
          <w:highlight w:val="none"/>
          <w:shd w:val="clear"/>
          <w:lang w:eastAsia="zh-CN" w:bidi="ar"/>
          <w14:textFill>
            <w14:solidFill>
              <w14:schemeClr w14:val="tx1"/>
            </w14:solidFill>
          </w14:textFill>
        </w:rPr>
        <w:t>广</w:t>
      </w:r>
      <w:r>
        <w:rPr>
          <w:rFonts w:hint="eastAsia" w:ascii="仿宋_GB2312" w:hAnsi="仿宋_GB2312" w:eastAsia="仿宋_GB2312" w:cs="仿宋_GB2312"/>
          <w:i w:val="0"/>
          <w:caps w:val="0"/>
          <w:color w:val="000000" w:themeColor="text1"/>
          <w:spacing w:val="0"/>
          <w:kern w:val="2"/>
          <w:sz w:val="32"/>
          <w:szCs w:val="32"/>
          <w:highlight w:val="none"/>
          <w:shd w:val="clear"/>
          <w:lang w:bidi="ar"/>
          <w14:textFill>
            <w14:solidFill>
              <w14:schemeClr w14:val="tx1"/>
            </w14:solidFill>
          </w14:textFill>
        </w:rPr>
        <w:t>“椰林+文昌鸡</w:t>
      </w:r>
      <w:r>
        <w:rPr>
          <w:rFonts w:hint="eastAsia" w:ascii="仿宋_GB2312" w:hAnsi="仿宋_GB2312" w:eastAsia="仿宋_GB2312" w:cs="仿宋_GB2312"/>
          <w:i w:val="0"/>
          <w:caps w:val="0"/>
          <w:color w:val="000000" w:themeColor="text1"/>
          <w:spacing w:val="0"/>
          <w:kern w:val="2"/>
          <w:sz w:val="32"/>
          <w:szCs w:val="32"/>
          <w:highlight w:val="none"/>
          <w:shd w:val="clear"/>
          <w:lang w:eastAsia="zh-CN" w:bidi="ar"/>
          <w14:textFill>
            <w14:solidFill>
              <w14:schemeClr w14:val="tx1"/>
            </w14:solidFill>
          </w14:textFill>
        </w:rPr>
        <w:t>（</w:t>
      </w:r>
      <w:r>
        <w:rPr>
          <w:rFonts w:hint="eastAsia" w:ascii="仿宋_GB2312" w:hAnsi="仿宋_GB2312" w:eastAsia="仿宋_GB2312" w:cs="仿宋_GB2312"/>
          <w:i w:val="0"/>
          <w:caps w:val="0"/>
          <w:color w:val="000000" w:themeColor="text1"/>
          <w:spacing w:val="0"/>
          <w:kern w:val="2"/>
          <w:sz w:val="32"/>
          <w:szCs w:val="32"/>
          <w:highlight w:val="none"/>
          <w:shd w:val="clear"/>
          <w:lang w:bidi="ar"/>
          <w14:textFill>
            <w14:solidFill>
              <w14:schemeClr w14:val="tx1"/>
            </w14:solidFill>
          </w14:textFill>
        </w:rPr>
        <w:t>黑山羊</w:t>
      </w:r>
      <w:r>
        <w:rPr>
          <w:rFonts w:hint="eastAsia" w:ascii="仿宋_GB2312" w:hAnsi="仿宋_GB2312" w:eastAsia="仿宋_GB2312" w:cs="仿宋_GB2312"/>
          <w:i w:val="0"/>
          <w:caps w:val="0"/>
          <w:color w:val="000000" w:themeColor="text1"/>
          <w:spacing w:val="0"/>
          <w:kern w:val="2"/>
          <w:sz w:val="32"/>
          <w:szCs w:val="32"/>
          <w:highlight w:val="none"/>
          <w:shd w:val="clear"/>
          <w:lang w:eastAsia="zh-CN" w:bidi="ar"/>
          <w14:textFill>
            <w14:solidFill>
              <w14:schemeClr w14:val="tx1"/>
            </w14:solidFill>
          </w14:textFill>
        </w:rPr>
        <w:t>）</w:t>
      </w:r>
      <w:r>
        <w:rPr>
          <w:rFonts w:hint="eastAsia" w:ascii="仿宋_GB2312" w:hAnsi="仿宋_GB2312" w:eastAsia="仿宋_GB2312" w:cs="仿宋_GB2312"/>
          <w:i w:val="0"/>
          <w:caps w:val="0"/>
          <w:color w:val="000000" w:themeColor="text1"/>
          <w:spacing w:val="0"/>
          <w:kern w:val="2"/>
          <w:sz w:val="32"/>
          <w:szCs w:val="32"/>
          <w:highlight w:val="none"/>
          <w:shd w:val="clear"/>
          <w:lang w:bidi="ar"/>
          <w14:textFill>
            <w14:solidFill>
              <w14:schemeClr w14:val="tx1"/>
            </w14:solidFill>
          </w14:textFill>
        </w:rPr>
        <w:t>”“椰林+凤梨</w:t>
      </w:r>
      <w:r>
        <w:rPr>
          <w:rFonts w:hint="eastAsia" w:ascii="仿宋_GB2312" w:hAnsi="仿宋_GB2312" w:eastAsia="仿宋_GB2312" w:cs="仿宋_GB2312"/>
          <w:i w:val="0"/>
          <w:caps w:val="0"/>
          <w:color w:val="000000" w:themeColor="text1"/>
          <w:spacing w:val="0"/>
          <w:kern w:val="2"/>
          <w:sz w:val="32"/>
          <w:szCs w:val="32"/>
          <w:highlight w:val="none"/>
          <w:shd w:val="clear"/>
          <w:lang w:eastAsia="zh-CN" w:bidi="ar"/>
          <w14:textFill>
            <w14:solidFill>
              <w14:schemeClr w14:val="tx1"/>
            </w14:solidFill>
          </w14:textFill>
        </w:rPr>
        <w:t>（花生）</w:t>
      </w:r>
      <w:r>
        <w:rPr>
          <w:rFonts w:hint="eastAsia" w:ascii="仿宋_GB2312" w:hAnsi="仿宋_GB2312" w:eastAsia="仿宋_GB2312" w:cs="仿宋_GB2312"/>
          <w:i w:val="0"/>
          <w:caps w:val="0"/>
          <w:color w:val="000000" w:themeColor="text1"/>
          <w:spacing w:val="0"/>
          <w:kern w:val="2"/>
          <w:sz w:val="32"/>
          <w:szCs w:val="32"/>
          <w:highlight w:val="none"/>
          <w:shd w:val="clear"/>
          <w:lang w:bidi="ar"/>
          <w14:textFill>
            <w14:solidFill>
              <w14:schemeClr w14:val="tx1"/>
            </w14:solidFill>
          </w14:textFill>
        </w:rPr>
        <w:t>”等林下种养模</w:t>
      </w:r>
      <w:r>
        <w:rPr>
          <w:rFonts w:hint="default" w:ascii="Times New Roman" w:hAnsi="Times New Roman" w:eastAsia="仿宋_GB2312" w:cs="Times New Roman"/>
          <w:i w:val="0"/>
          <w:caps w:val="0"/>
          <w:color w:val="000000" w:themeColor="text1"/>
          <w:spacing w:val="0"/>
          <w:kern w:val="2"/>
          <w:sz w:val="32"/>
          <w:szCs w:val="32"/>
          <w:shd w:val="clear"/>
          <w:lang w:bidi="ar"/>
          <w14:textFill>
            <w14:solidFill>
              <w14:schemeClr w14:val="tx1"/>
            </w14:solidFill>
          </w14:textFill>
        </w:rPr>
        <w:t>式</w:t>
      </w:r>
      <w:r>
        <w:rPr>
          <w:rFonts w:hint="default" w:ascii="Times New Roman" w:hAnsi="Times New Roman" w:eastAsia="仿宋_GB2312" w:cs="Times New Roman"/>
          <w:i w:val="0"/>
          <w:caps w:val="0"/>
          <w:color w:val="000000" w:themeColor="text1"/>
          <w:spacing w:val="0"/>
          <w:kern w:val="2"/>
          <w:sz w:val="32"/>
          <w:szCs w:val="32"/>
          <w:shd w:val="clear"/>
          <w:lang w:eastAsia="zh-CN" w:bidi="ar"/>
          <w14:textFill>
            <w14:solidFill>
              <w14:schemeClr w14:val="tx1"/>
            </w14:solidFill>
          </w14:textFill>
        </w:rPr>
        <w:t>。规划</w:t>
      </w:r>
      <w:r>
        <w:rPr>
          <w:rFonts w:hint="default" w:ascii="Times New Roman" w:hAnsi="Times New Roman" w:eastAsia="仿宋_GB2312" w:cs="Times New Roman"/>
          <w:color w:val="000000" w:themeColor="text1"/>
          <w:kern w:val="2"/>
          <w:sz w:val="32"/>
          <w:szCs w:val="32"/>
          <w:lang w:bidi="ar"/>
          <w14:textFill>
            <w14:solidFill>
              <w14:schemeClr w14:val="tx1"/>
            </w14:solidFill>
          </w14:textFill>
        </w:rPr>
        <w:t>建设椰子加工贸易集散基地，</w:t>
      </w:r>
      <w:r>
        <w:rPr>
          <w:rFonts w:hint="default" w:ascii="Times New Roman" w:hAnsi="Times New Roman" w:eastAsia="仿宋_GB2312" w:cs="Times New Roman"/>
          <w:i w:val="0"/>
          <w:caps w:val="0"/>
          <w:color w:val="000000" w:themeColor="text1"/>
          <w:spacing w:val="0"/>
          <w:kern w:val="2"/>
          <w:sz w:val="32"/>
          <w:szCs w:val="32"/>
          <w:shd w:val="clear" w:fill="auto"/>
          <w:lang w:bidi="ar"/>
          <w14:textFill>
            <w14:solidFill>
              <w14:schemeClr w14:val="tx1"/>
            </w14:solidFill>
          </w14:textFill>
        </w:rPr>
        <w:t>构建覆盖食品、日化、新材料的完整</w:t>
      </w:r>
      <w:r>
        <w:rPr>
          <w:rFonts w:hint="default" w:ascii="Times New Roman" w:hAnsi="Times New Roman" w:eastAsia="仿宋_GB2312" w:cs="Times New Roman"/>
          <w:i w:val="0"/>
          <w:caps w:val="0"/>
          <w:color w:val="000000" w:themeColor="text1"/>
          <w:spacing w:val="0"/>
          <w:kern w:val="2"/>
          <w:sz w:val="32"/>
          <w:szCs w:val="32"/>
          <w:shd w:val="clear"/>
          <w:lang w:eastAsia="zh-CN" w:bidi="ar"/>
          <w14:textFill>
            <w14:solidFill>
              <w14:schemeClr w14:val="tx1"/>
            </w14:solidFill>
          </w14:textFill>
        </w:rPr>
        <w:t>加工</w:t>
      </w:r>
      <w:r>
        <w:rPr>
          <w:rFonts w:hint="default" w:ascii="Times New Roman" w:hAnsi="Times New Roman" w:eastAsia="仿宋_GB2312" w:cs="Times New Roman"/>
          <w:i w:val="0"/>
          <w:caps w:val="0"/>
          <w:color w:val="000000" w:themeColor="text1"/>
          <w:spacing w:val="0"/>
          <w:kern w:val="2"/>
          <w:sz w:val="32"/>
          <w:szCs w:val="32"/>
          <w:shd w:val="clear" w:fill="auto"/>
          <w:lang w:bidi="ar"/>
          <w14:textFill>
            <w14:solidFill>
              <w14:schemeClr w14:val="tx1"/>
            </w14:solidFill>
          </w14:textFill>
        </w:rPr>
        <w:t>体系，开发椰子功能性饮料、医用椰油</w:t>
      </w:r>
      <w:r>
        <w:rPr>
          <w:rFonts w:hint="default" w:ascii="Times New Roman" w:hAnsi="Times New Roman" w:eastAsia="仿宋_GB2312" w:cs="Times New Roman"/>
          <w:i w:val="0"/>
          <w:caps w:val="0"/>
          <w:color w:val="000000" w:themeColor="text1"/>
          <w:spacing w:val="0"/>
          <w:kern w:val="2"/>
          <w:sz w:val="32"/>
          <w:szCs w:val="32"/>
          <w:shd w:val="clear"/>
          <w:lang w:eastAsia="zh-CN" w:bidi="ar"/>
          <w14:textFill>
            <w14:solidFill>
              <w14:schemeClr w14:val="tx1"/>
            </w14:solidFill>
          </w14:textFill>
        </w:rPr>
        <w:t>、</w:t>
      </w:r>
      <w:r>
        <w:rPr>
          <w:rFonts w:hint="default" w:ascii="Times New Roman" w:hAnsi="Times New Roman" w:eastAsia="仿宋_GB2312" w:cs="Times New Roman"/>
          <w:i w:val="0"/>
          <w:caps w:val="0"/>
          <w:color w:val="000000" w:themeColor="text1"/>
          <w:spacing w:val="0"/>
          <w:kern w:val="2"/>
          <w:sz w:val="32"/>
          <w:szCs w:val="32"/>
          <w:shd w:val="clear" w:fill="auto"/>
          <w:lang w:bidi="ar"/>
          <w14:textFill>
            <w14:solidFill>
              <w14:schemeClr w14:val="tx1"/>
            </w14:solidFill>
          </w14:textFill>
        </w:rPr>
        <w:t>椰壳炭新能源钠电池等多元终端产品，</w:t>
      </w:r>
      <w:r>
        <w:rPr>
          <w:rFonts w:hint="default" w:ascii="Times New Roman" w:hAnsi="Times New Roman" w:eastAsia="仿宋_GB2312" w:cs="Times New Roman"/>
          <w:color w:val="000000" w:themeColor="text1"/>
          <w:kern w:val="2"/>
          <w:sz w:val="32"/>
          <w:szCs w:val="32"/>
          <w:lang w:bidi="ar"/>
          <w14:textFill>
            <w14:solidFill>
              <w14:schemeClr w14:val="tx1"/>
            </w14:solidFill>
          </w14:textFill>
        </w:rPr>
        <w:t>打造椰子原料全</w:t>
      </w:r>
      <w:r>
        <w:rPr>
          <w:rFonts w:hint="eastAsia" w:ascii="仿宋_GB2312" w:hAnsi="仿宋_GB2312" w:eastAsia="仿宋_GB2312" w:cs="仿宋_GB2312"/>
          <w:color w:val="000000" w:themeColor="text1"/>
          <w:kern w:val="2"/>
          <w:sz w:val="32"/>
          <w:szCs w:val="32"/>
          <w:highlight w:val="none"/>
          <w:lang w:bidi="ar"/>
          <w14:textFill>
            <w14:solidFill>
              <w14:schemeClr w14:val="tx1"/>
            </w14:solidFill>
          </w14:textFill>
        </w:rPr>
        <w:t>果“零废”加</w:t>
      </w:r>
      <w:r>
        <w:rPr>
          <w:rFonts w:hint="default" w:ascii="Times New Roman" w:hAnsi="Times New Roman" w:eastAsia="仿宋_GB2312" w:cs="Times New Roman"/>
          <w:color w:val="000000" w:themeColor="text1"/>
          <w:kern w:val="2"/>
          <w:sz w:val="32"/>
          <w:szCs w:val="32"/>
          <w:lang w:bidi="ar"/>
          <w14:textFill>
            <w14:solidFill>
              <w14:schemeClr w14:val="tx1"/>
            </w14:solidFill>
          </w14:textFill>
        </w:rPr>
        <w:t>工样板。</w:t>
      </w:r>
      <w:r>
        <w:rPr>
          <w:rFonts w:hint="default" w:ascii="Times New Roman" w:hAnsi="Times New Roman" w:eastAsia="仿宋_GB2312" w:cs="Times New Roman"/>
          <w:b w:val="0"/>
          <w:color w:val="000000" w:themeColor="text1"/>
          <w:kern w:val="2"/>
          <w:sz w:val="32"/>
          <w:szCs w:val="32"/>
          <w:lang w:val="en-US" w:eastAsia="zh-CN" w:bidi="ar"/>
          <w14:textFill>
            <w14:solidFill>
              <w14:schemeClr w14:val="tx1"/>
            </w14:solidFill>
          </w14:textFill>
        </w:rPr>
        <w:t>建设海外椰子原料基地，</w:t>
      </w:r>
      <w:r>
        <w:rPr>
          <w:rFonts w:hint="default" w:ascii="Times New Roman" w:hAnsi="Times New Roman" w:eastAsia="仿宋_GB2312" w:cs="Times New Roman"/>
          <w:b w:val="0"/>
          <w:color w:val="000000" w:themeColor="text1"/>
          <w:kern w:val="2"/>
          <w:sz w:val="32"/>
          <w:szCs w:val="32"/>
          <w:lang w:bidi="ar"/>
          <w14:textFill>
            <w14:solidFill>
              <w14:schemeClr w14:val="tx1"/>
            </w14:solidFill>
          </w14:textFill>
        </w:rPr>
        <w:t>扩容</w:t>
      </w:r>
      <w:r>
        <w:rPr>
          <w:rFonts w:hint="eastAsia" w:ascii="仿宋_GB2312" w:hAnsi="仿宋_GB2312" w:eastAsia="仿宋_GB2312" w:cs="仿宋_GB2312"/>
          <w:b w:val="0"/>
          <w:color w:val="000000" w:themeColor="text1"/>
          <w:kern w:val="2"/>
          <w:sz w:val="32"/>
          <w:szCs w:val="32"/>
          <w:highlight w:val="none"/>
          <w:lang w:bidi="ar"/>
          <w14:textFill>
            <w14:solidFill>
              <w14:schemeClr w14:val="tx1"/>
            </w14:solidFill>
          </w14:textFill>
        </w:rPr>
        <w:t>“东南亚－海南”直</w:t>
      </w:r>
      <w:r>
        <w:rPr>
          <w:rFonts w:hint="default" w:ascii="Times New Roman" w:hAnsi="Times New Roman" w:eastAsia="仿宋_GB2312" w:cs="Times New Roman"/>
          <w:b w:val="0"/>
          <w:color w:val="000000" w:themeColor="text1"/>
          <w:kern w:val="2"/>
          <w:sz w:val="32"/>
          <w:szCs w:val="32"/>
          <w:lang w:bidi="ar"/>
          <w14:textFill>
            <w14:solidFill>
              <w14:schemeClr w14:val="tx1"/>
            </w14:solidFill>
          </w14:textFill>
        </w:rPr>
        <w:t>航通道，</w:t>
      </w:r>
      <w:bookmarkStart w:id="514" w:name="_Toc26021"/>
      <w:r>
        <w:rPr>
          <w:rFonts w:hint="default" w:ascii="Times New Roman" w:hAnsi="Times New Roman" w:eastAsia="仿宋_GB2312" w:cs="Times New Roman"/>
          <w:color w:val="000000" w:themeColor="text1"/>
          <w:kern w:val="2"/>
          <w:sz w:val="32"/>
          <w:szCs w:val="32"/>
          <w:lang w:bidi="ar"/>
          <w14:textFill>
            <w14:solidFill>
              <w14:schemeClr w14:val="tx1"/>
            </w14:solidFill>
          </w14:textFill>
        </w:rPr>
        <w:t>稳定椰浆、椰子水、椰壳等大宗原料供应</w:t>
      </w:r>
      <w:bookmarkEnd w:id="514"/>
      <w:r>
        <w:rPr>
          <w:rFonts w:hint="default" w:ascii="Times New Roman" w:hAnsi="Times New Roman" w:eastAsia="仿宋_GB2312" w:cs="Times New Roman"/>
          <w:b w:val="0"/>
          <w:color w:val="000000" w:themeColor="text1"/>
          <w:kern w:val="2"/>
          <w:sz w:val="32"/>
          <w:szCs w:val="32"/>
          <w:lang w:bidi="ar"/>
          <w14:textFill>
            <w14:solidFill>
              <w14:schemeClr w14:val="tx1"/>
            </w14:solidFill>
          </w14:textFill>
        </w:rPr>
        <w:t>。</w:t>
      </w:r>
      <w:r>
        <w:rPr>
          <w:rFonts w:hint="default" w:ascii="Times New Roman" w:hAnsi="Times New Roman" w:eastAsia="仿宋_GB2312" w:cs="Times New Roman"/>
          <w:b w:val="0"/>
          <w:color w:val="000000" w:themeColor="text1"/>
          <w:kern w:val="2"/>
          <w:sz w:val="32"/>
          <w:szCs w:val="32"/>
          <w:lang w:val="en-US" w:eastAsia="zh-CN" w:bidi="ar"/>
          <w14:textFill>
            <w14:solidFill>
              <w14:schemeClr w14:val="tx1"/>
            </w14:solidFill>
          </w14:textFill>
        </w:rPr>
        <w:t>探索</w:t>
      </w:r>
      <w:r>
        <w:rPr>
          <w:rFonts w:hint="default" w:ascii="Times New Roman" w:hAnsi="Times New Roman" w:eastAsia="仿宋_GB2312" w:cs="Times New Roman"/>
          <w:i w:val="0"/>
          <w:caps w:val="0"/>
          <w:color w:val="000000" w:themeColor="text1"/>
          <w:spacing w:val="0"/>
          <w:kern w:val="2"/>
          <w:sz w:val="32"/>
          <w:szCs w:val="32"/>
          <w:shd w:val="clear" w:fill="auto"/>
          <w:lang w:val="en-US" w:eastAsia="zh-CN" w:bidi="ar"/>
          <w14:textFill>
            <w14:solidFill>
              <w14:schemeClr w14:val="tx1"/>
            </w14:solidFill>
          </w14:textFill>
        </w:rPr>
        <w:t>建设椰子交易平台，</w:t>
      </w:r>
      <w:r>
        <w:rPr>
          <w:rFonts w:hint="default" w:ascii="Times New Roman" w:hAnsi="Times New Roman" w:eastAsia="仿宋_GB2312" w:cs="Times New Roman"/>
          <w:i w:val="0"/>
          <w:caps w:val="0"/>
          <w:color w:val="000000" w:themeColor="text1"/>
          <w:spacing w:val="0"/>
          <w:kern w:val="2"/>
          <w:sz w:val="32"/>
          <w:szCs w:val="32"/>
          <w:shd w:val="clear"/>
          <w:lang w:val="en-US" w:eastAsia="zh-CN" w:bidi="ar"/>
          <w14:textFill>
            <w14:solidFill>
              <w14:schemeClr w14:val="tx1"/>
            </w14:solidFill>
          </w14:textFill>
        </w:rPr>
        <w:t>推进原料</w:t>
      </w:r>
      <w:r>
        <w:rPr>
          <w:rFonts w:hint="default" w:ascii="Times New Roman" w:hAnsi="Times New Roman" w:eastAsia="仿宋_GB2312" w:cs="Times New Roman"/>
          <w:i w:val="0"/>
          <w:caps w:val="0"/>
          <w:color w:val="000000" w:themeColor="text1"/>
          <w:spacing w:val="0"/>
          <w:kern w:val="2"/>
          <w:sz w:val="32"/>
          <w:szCs w:val="32"/>
          <w:shd w:val="clear" w:fill="auto"/>
          <w:lang w:val="en-US" w:eastAsia="zh-CN" w:bidi="ar"/>
          <w14:textFill>
            <w14:solidFill>
              <w14:schemeClr w14:val="tx1"/>
            </w14:solidFill>
          </w14:textFill>
        </w:rPr>
        <w:t>集采</w:t>
      </w:r>
      <w:r>
        <w:rPr>
          <w:rFonts w:hint="default" w:ascii="Times New Roman" w:hAnsi="Times New Roman" w:eastAsia="仿宋_GB2312" w:cs="Times New Roman"/>
          <w:i w:val="0"/>
          <w:caps w:val="0"/>
          <w:color w:val="000000" w:themeColor="text1"/>
          <w:spacing w:val="0"/>
          <w:kern w:val="2"/>
          <w:sz w:val="32"/>
          <w:szCs w:val="32"/>
          <w:shd w:val="clear"/>
          <w:lang w:val="en-US" w:eastAsia="zh-CN" w:bidi="ar"/>
          <w14:textFill>
            <w14:solidFill>
              <w14:schemeClr w14:val="tx1"/>
            </w14:solidFill>
          </w14:textFill>
        </w:rPr>
        <w:t>集运</w:t>
      </w:r>
      <w:r>
        <w:rPr>
          <w:rFonts w:hint="default" w:ascii="Times New Roman" w:hAnsi="Times New Roman" w:eastAsia="仿宋_GB2312" w:cs="Times New Roman"/>
          <w:i w:val="0"/>
          <w:caps w:val="0"/>
          <w:color w:val="000000" w:themeColor="text1"/>
          <w:spacing w:val="0"/>
          <w:kern w:val="2"/>
          <w:sz w:val="32"/>
          <w:szCs w:val="32"/>
          <w:shd w:val="clear" w:fill="auto"/>
          <w:lang w:val="en-US" w:eastAsia="zh-CN" w:bidi="ar"/>
          <w14:textFill>
            <w14:solidFill>
              <w14:schemeClr w14:val="tx1"/>
            </w14:solidFill>
          </w14:textFill>
        </w:rPr>
        <w:t>，降低成本。</w:t>
      </w:r>
      <w:bookmarkStart w:id="515" w:name="_Toc17842"/>
      <w:bookmarkEnd w:id="515"/>
      <w:r>
        <w:rPr>
          <w:rFonts w:hint="default" w:ascii="Times New Roman" w:hAnsi="Times New Roman" w:eastAsia="仿宋_GB2312" w:cs="Times New Roman"/>
          <w:color w:val="000000" w:themeColor="text1"/>
          <w:kern w:val="2"/>
          <w:sz w:val="32"/>
          <w:szCs w:val="32"/>
          <w:lang w:val="en-US" w:eastAsia="zh-CN" w:bidi="ar"/>
          <w14:textFill>
            <w14:solidFill>
              <w14:schemeClr w14:val="tx1"/>
            </w14:solidFill>
          </w14:textFill>
        </w:rPr>
        <w:t>培</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育</w:t>
      </w:r>
      <w:r>
        <w:rPr>
          <w:rFonts w:hint="eastAsia" w:ascii="仿宋_GB2312" w:hAnsi="仿宋_GB2312" w:eastAsia="仿宋_GB2312" w:cs="仿宋_GB2312"/>
          <w:b w:val="0"/>
          <w:color w:val="000000" w:themeColor="text1"/>
          <w:kern w:val="2"/>
          <w:sz w:val="32"/>
          <w:szCs w:val="32"/>
          <w:highlight w:val="none"/>
          <w:lang w:val="en-US" w:eastAsia="zh-CN" w:bidi="ar"/>
          <w14:textFill>
            <w14:solidFill>
              <w14:schemeClr w14:val="tx1"/>
            </w14:solidFill>
          </w14:textFill>
        </w:rPr>
        <w:t>“椰子+”</w:t>
      </w:r>
      <w:r>
        <w:rPr>
          <w:rFonts w:hint="default" w:ascii="Times New Roman" w:hAnsi="Times New Roman" w:eastAsia="仿宋_GB2312" w:cs="Times New Roman"/>
          <w:b w:val="0"/>
          <w:color w:val="000000" w:themeColor="text1"/>
          <w:kern w:val="2"/>
          <w:sz w:val="32"/>
          <w:szCs w:val="32"/>
          <w:lang w:val="en-US" w:eastAsia="zh-CN" w:bidi="ar"/>
          <w14:textFill>
            <w14:solidFill>
              <w14:schemeClr w14:val="tx1"/>
            </w14:solidFill>
          </w14:textFill>
        </w:rPr>
        <w:t>多元消费场景，</w:t>
      </w:r>
      <w:r>
        <w:rPr>
          <w:rFonts w:hint="default" w:ascii="Times New Roman" w:hAnsi="Times New Roman" w:eastAsia="仿宋_GB2312" w:cs="Times New Roman"/>
          <w:i w:val="0"/>
          <w:caps w:val="0"/>
          <w:color w:val="000000" w:themeColor="text1"/>
          <w:spacing w:val="0"/>
          <w:kern w:val="2"/>
          <w:sz w:val="32"/>
          <w:szCs w:val="32"/>
          <w:shd w:val="clear" w:fill="auto"/>
          <w:lang w:val="en-US" w:eastAsia="zh-CN" w:bidi="ar"/>
          <w14:textFill>
            <w14:solidFill>
              <w14:schemeClr w14:val="tx1"/>
            </w14:solidFill>
          </w14:textFill>
        </w:rPr>
        <w:t>提升海南椰子品牌形象和影响力。</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b/>
          <w:bCs/>
          <w:color w:val="000000" w:themeColor="text1"/>
          <w:sz w:val="32"/>
          <w:szCs w:val="32"/>
          <w:highlight w:val="none"/>
          <w:u w:val="none"/>
          <w:lang w:eastAsia="zh-CN"/>
          <w14:textFill>
            <w14:solidFill>
              <w14:schemeClr w14:val="tx1"/>
            </w14:solidFill>
          </w14:textFill>
        </w:rPr>
        <w:t>引导槟榔产业健康有序发展。</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规范槟榔种植管理，严格管控在耕地和永久基本农田上新增违法种植槟榔行为。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加强槟榔种苗管理，提高种苗优良率。</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推进</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槟榔黄化</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现象</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综合防控，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推动黄化现象严重的槟榔园实施替代种植，积极发展槟榔林下经济，实现槟榔园</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“一地多收”</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研究制定槟榔制品加工销售暂行规定，规范行业管理。探索设立槟榔制品减害加工研发、医学健康评价、药物研究等中心，拓展槟榔资源应用场景。</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516" w:name="_Toc28486"/>
      <w:bookmarkStart w:id="517" w:name="_Toc26814"/>
      <w:bookmarkStart w:id="518" w:name="_Toc31790"/>
      <w:bookmarkStart w:id="519" w:name="_Toc12569"/>
      <w:bookmarkStart w:id="520" w:name="_Toc203"/>
      <w:bookmarkStart w:id="521" w:name="_Toc25823"/>
      <w:bookmarkStart w:id="522" w:name="_Toc28221"/>
      <w:bookmarkStart w:id="523" w:name="_Toc4127"/>
      <w:bookmarkStart w:id="524" w:name="_Toc29291"/>
      <w:bookmarkStart w:id="525" w:name="_Toc31858"/>
      <w:bookmarkStart w:id="526" w:name="_Toc1485"/>
      <w:bookmarkStart w:id="527" w:name="_Toc25178"/>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五、大力发展林业和林下经济</w:t>
      </w:r>
      <w:bookmarkEnd w:id="516"/>
      <w:bookmarkEnd w:id="517"/>
      <w:bookmarkEnd w:id="518"/>
      <w:bookmarkEnd w:id="519"/>
      <w:bookmarkEnd w:id="520"/>
      <w:bookmarkEnd w:id="521"/>
      <w:bookmarkEnd w:id="522"/>
      <w:bookmarkEnd w:id="523"/>
      <w:bookmarkEnd w:id="524"/>
      <w:bookmarkEnd w:id="525"/>
      <w:bookmarkEnd w:id="526"/>
      <w:bookmarkEnd w:id="527"/>
    </w:p>
    <w:p>
      <w:pPr>
        <w:widowControl w:val="0"/>
        <w:snapToGrid/>
        <w:spacing w:line="590" w:lineRule="exact"/>
        <w:ind w:firstLine="642" w:firstLineChars="200"/>
        <w:rPr>
          <w:rFonts w:hint="default" w:ascii="Times New Roman" w:hAnsi="Times New Roman" w:eastAsia="仿宋_GB2312"/>
          <w:color w:val="000000" w:themeColor="text1"/>
          <w:sz w:val="32"/>
          <w:szCs w:val="32"/>
          <w:lang w:eastAsia="zh-CN"/>
          <w14:textFill>
            <w14:solidFill>
              <w14:schemeClr w14:val="tx1"/>
            </w14:solidFill>
          </w14:textFill>
        </w:rPr>
      </w:pPr>
      <w:r>
        <w:rPr>
          <w:rFonts w:hint="default" w:ascii="Times New Roman" w:hAnsi="Times New Roman" w:eastAsia="仿宋_GB2312"/>
          <w:b/>
          <w:bCs/>
          <w:color w:val="000000" w:themeColor="text1"/>
          <w:sz w:val="32"/>
          <w:szCs w:val="32"/>
          <w:lang w:eastAsia="zh-CN"/>
          <w14:textFill>
            <w14:solidFill>
              <w14:schemeClr w14:val="tx1"/>
            </w14:solidFill>
          </w14:textFill>
        </w:rPr>
        <w:t>着力</w:t>
      </w:r>
      <w:r>
        <w:rPr>
          <w:rFonts w:hint="default" w:ascii="Times New Roman" w:hAnsi="Times New Roman" w:eastAsia="仿宋_GB2312"/>
          <w:b/>
          <w:bCs/>
          <w:color w:val="000000" w:themeColor="text1"/>
          <w:sz w:val="32"/>
          <w:szCs w:val="32"/>
          <w14:textFill>
            <w14:solidFill>
              <w14:schemeClr w14:val="tx1"/>
            </w14:solidFill>
          </w14:textFill>
        </w:rPr>
        <w:t>构</w:t>
      </w:r>
      <w:r>
        <w:rPr>
          <w:rFonts w:hint="eastAsia" w:ascii="Times New Roman" w:hAnsi="Times New Roman" w:eastAsia="仿宋_GB2312"/>
          <w:b/>
          <w:bCs/>
          <w:color w:val="000000" w:themeColor="text1"/>
          <w:sz w:val="32"/>
          <w:szCs w:val="32"/>
          <w14:textFill>
            <w14:solidFill>
              <w14:schemeClr w14:val="tx1"/>
            </w14:solidFill>
          </w14:textFill>
        </w:rPr>
        <w:t>建“6+3”现</w:t>
      </w:r>
      <w:r>
        <w:rPr>
          <w:rFonts w:hint="default" w:ascii="Times New Roman" w:hAnsi="Times New Roman" w:eastAsia="仿宋_GB2312"/>
          <w:b/>
          <w:bCs/>
          <w:color w:val="000000" w:themeColor="text1"/>
          <w:sz w:val="32"/>
          <w:szCs w:val="32"/>
          <w14:textFill>
            <w14:solidFill>
              <w14:schemeClr w14:val="tx1"/>
            </w14:solidFill>
          </w14:textFill>
        </w:rPr>
        <w:t>代林业产业体系</w:t>
      </w:r>
      <w:r>
        <w:rPr>
          <w:rFonts w:hint="default" w:ascii="Times New Roman" w:hAnsi="Times New Roman" w:eastAsia="仿宋_GB2312"/>
          <w:b/>
          <w:bCs/>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优化花卉苗木产业结构，</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做优海口鲜切叶和观赏苗木、三亚玫瑰和热带兰花、东方菊花、乐东金钱树</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昌江木棉、白沙热带兰花等产业，</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培育壮大花卉苗木交易市场，</w:t>
      </w:r>
      <w:r>
        <w:rPr>
          <w:rFonts w:hint="default" w:ascii="Times New Roman" w:hAnsi="Times New Roman" w:eastAsia="仿宋_GB2312" w:cs="Times New Roman"/>
          <w:b w:val="0"/>
          <w:color w:val="000000" w:themeColor="text1"/>
          <w:kern w:val="2"/>
          <w:sz w:val="32"/>
          <w:szCs w:val="32"/>
          <w:lang w:val="en-US" w:eastAsia="zh-CN" w:bidi="ar"/>
          <w14:textFill>
            <w14:solidFill>
              <w14:schemeClr w14:val="tx1"/>
            </w14:solidFill>
          </w14:textFill>
        </w:rPr>
        <w:t>打造特色花旅融合产业链。</w:t>
      </w:r>
      <w:r>
        <w:rPr>
          <w:rFonts w:hint="default" w:ascii="Times New Roman" w:hAnsi="Times New Roman" w:eastAsia="仿宋_GB2312"/>
          <w:color w:val="000000" w:themeColor="text1"/>
          <w:sz w:val="32"/>
          <w:szCs w:val="32"/>
          <w14:textFill>
            <w14:solidFill>
              <w14:schemeClr w14:val="tx1"/>
            </w14:solidFill>
          </w14:textFill>
        </w:rPr>
        <w:t>扩大黄花梨种植面积</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研发医药用品、花梨茶、高级香料、日化品等产品。优化沉香种植结构和布局</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加强良种选育、结香技术等基础研究和关键技术攻关，建立加工基地</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拓展</w:t>
      </w:r>
      <w:r>
        <w:rPr>
          <w:rFonts w:hint="eastAsia" w:ascii="仿宋_GB2312" w:hAnsi="仿宋_GB2312" w:eastAsia="仿宋_GB2312" w:cs="仿宋_GB2312"/>
          <w:color w:val="000000" w:themeColor="text1"/>
          <w:sz w:val="32"/>
          <w:szCs w:val="32"/>
          <w:highlight w:val="none"/>
          <w14:textFill>
            <w14:solidFill>
              <w14:schemeClr w14:val="tx1"/>
            </w14:solidFill>
          </w14:textFill>
        </w:rPr>
        <w:t>沉香“大健康+”产</w:t>
      </w:r>
      <w:r>
        <w:rPr>
          <w:rFonts w:hint="default" w:ascii="Times New Roman" w:hAnsi="Times New Roman" w:eastAsia="仿宋_GB2312"/>
          <w:color w:val="000000" w:themeColor="text1"/>
          <w:sz w:val="32"/>
          <w:szCs w:val="32"/>
          <w14:textFill>
            <w14:solidFill>
              <w14:schemeClr w14:val="tx1"/>
            </w14:solidFill>
          </w14:textFill>
        </w:rPr>
        <w:t>业链</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搭建沉香进出口贸易网络。推广黄花梨</w:t>
      </w:r>
      <w:r>
        <w:rPr>
          <w:rFonts w:hint="default" w:ascii="Times New Roman" w:hAnsi="Times New Roman" w:eastAsia="仿宋_GB2312"/>
          <w:color w:val="000000" w:themeColor="text1"/>
          <w:sz w:val="32"/>
          <w:szCs w:val="32"/>
          <w:lang w:eastAsia="zh-CN"/>
          <w14:textFill>
            <w14:solidFill>
              <w14:schemeClr w14:val="tx1"/>
            </w14:solidFill>
          </w14:textFill>
        </w:rPr>
        <w:t>、土沉</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香</w:t>
      </w:r>
      <w:r>
        <w:rPr>
          <w:rFonts w:hint="eastAsia" w:ascii="仿宋_GB2312" w:hAnsi="仿宋_GB2312" w:eastAsia="仿宋_GB2312" w:cs="仿宋_GB2312"/>
          <w:color w:val="000000" w:themeColor="text1"/>
          <w:sz w:val="32"/>
          <w:szCs w:val="32"/>
          <w:highlight w:val="none"/>
          <w14:textFill>
            <w14:solidFill>
              <w14:schemeClr w14:val="tx1"/>
            </w14:solidFill>
          </w14:textFill>
        </w:rPr>
        <w:t>“一树一证一码”</w:t>
      </w:r>
      <w:r>
        <w:rPr>
          <w:rFonts w:hint="default" w:ascii="Times New Roman" w:hAnsi="Times New Roman" w:eastAsia="仿宋_GB2312"/>
          <w:color w:val="000000" w:themeColor="text1"/>
          <w:sz w:val="32"/>
          <w:szCs w:val="32"/>
          <w14:textFill>
            <w14:solidFill>
              <w14:schemeClr w14:val="tx1"/>
            </w14:solidFill>
          </w14:textFill>
        </w:rPr>
        <w:t>交易模式和大径材林地碳汇产品交易</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加快油茶优良品种选育和苗圃建设，持续推进油茶种植，</w:t>
      </w:r>
      <w:r>
        <w:rPr>
          <w:rFonts w:hint="eastAsia" w:ascii="Times New Roman" w:hAnsi="Times New Roman" w:eastAsia="仿宋_GB2312"/>
          <w:color w:val="000000" w:themeColor="text1"/>
          <w:sz w:val="32"/>
          <w:szCs w:val="32"/>
          <w:lang w:eastAsia="zh-CN"/>
          <w14:textFill>
            <w14:solidFill>
              <w14:schemeClr w14:val="tx1"/>
            </w14:solidFill>
          </w14:textFill>
        </w:rPr>
        <w:t>推动</w:t>
      </w:r>
      <w:r>
        <w:rPr>
          <w:rFonts w:hint="default" w:ascii="Times New Roman" w:hAnsi="Times New Roman" w:eastAsia="仿宋_GB2312"/>
          <w:color w:val="000000" w:themeColor="text1"/>
          <w:sz w:val="32"/>
          <w:szCs w:val="32"/>
          <w14:textFill>
            <w14:solidFill>
              <w14:schemeClr w14:val="tx1"/>
            </w14:solidFill>
          </w14:textFill>
        </w:rPr>
        <w:t>油茶低产林改造。加强本地茶油医疗保健产品研发</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提升加工水平</w:t>
      </w:r>
      <w:r>
        <w:rPr>
          <w:rFonts w:hint="default" w:ascii="Times New Roman" w:hAnsi="Times New Roman" w:eastAsia="仿宋_GB2312"/>
          <w:color w:val="000000" w:themeColor="text1"/>
          <w:sz w:val="32"/>
          <w:szCs w:val="32"/>
          <w:lang w:eastAsia="zh-CN"/>
          <w14:textFill>
            <w14:solidFill>
              <w14:schemeClr w14:val="tx1"/>
            </w14:solidFill>
          </w14:textFill>
        </w:rPr>
        <w:t>。发展</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森林</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旅游</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森林康养</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木材加工</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竹藤</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陆生野生动物人工繁育</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林业碳汇</w:t>
      </w:r>
      <w:r>
        <w:rPr>
          <w:rFonts w:hint="default" w:ascii="Times New Roman" w:hAnsi="Times New Roman" w:eastAsia="仿宋_GB2312"/>
          <w:color w:val="000000" w:themeColor="text1"/>
          <w:sz w:val="32"/>
          <w:szCs w:val="32"/>
          <w:lang w:eastAsia="zh-CN"/>
          <w14:textFill>
            <w14:solidFill>
              <w14:schemeClr w14:val="tx1"/>
            </w14:solidFill>
          </w14:textFill>
        </w:rPr>
        <w:t>等</w:t>
      </w:r>
      <w:r>
        <w:rPr>
          <w:rFonts w:hint="default" w:ascii="Times New Roman" w:hAnsi="Times New Roman" w:eastAsia="仿宋_GB2312"/>
          <w:color w:val="000000" w:themeColor="text1"/>
          <w:sz w:val="32"/>
          <w:szCs w:val="32"/>
          <w14:textFill>
            <w14:solidFill>
              <w14:schemeClr w14:val="tx1"/>
            </w14:solidFill>
          </w14:textFill>
        </w:rPr>
        <w:t>产业</w:t>
      </w:r>
      <w:r>
        <w:rPr>
          <w:rFonts w:hint="default" w:ascii="Times New Roman" w:hAnsi="Times New Roman" w:eastAsia="仿宋_GB2312"/>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推动发展林下经济</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充分</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利用油茶林、橡胶林、槟榔林等林下空间，扩大林下种植、养殖规模，重点发展一批林下种植、养殖展示基地。</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开发森林食物资源和林下经济产品</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fill="auto"/>
          <w14:textFill>
            <w14:solidFill>
              <w14:schemeClr w14:val="tx1"/>
            </w14:solidFill>
          </w14:textFill>
        </w:rPr>
        <w:t>布局</w:t>
      </w:r>
      <w:r>
        <w:rPr>
          <w:rFonts w:hint="default" w:ascii="Times New Roman" w:hAnsi="Times New Roman" w:eastAsia="仿宋_GB2312" w:cs="Times New Roman"/>
          <w:i w:val="0"/>
          <w:iCs w:val="0"/>
          <w:caps w:val="0"/>
          <w:color w:val="000000" w:themeColor="text1"/>
          <w:spacing w:val="0"/>
          <w:sz w:val="32"/>
          <w:szCs w:val="32"/>
          <w:highlight w:val="none"/>
          <w:shd w:val="clear" w:fill="auto"/>
          <w:lang w:eastAsia="zh-CN"/>
          <w14:textFill>
            <w14:solidFill>
              <w14:schemeClr w14:val="tx1"/>
            </w14:solidFill>
          </w14:textFill>
        </w:rPr>
        <w:t>建设</w:t>
      </w:r>
      <w:r>
        <w:rPr>
          <w:rFonts w:hint="default" w:ascii="Times New Roman" w:hAnsi="Times New Roman" w:eastAsia="仿宋_GB2312" w:cs="Times New Roman"/>
          <w:i w:val="0"/>
          <w:iCs w:val="0"/>
          <w:caps w:val="0"/>
          <w:color w:val="000000" w:themeColor="text1"/>
          <w:spacing w:val="0"/>
          <w:sz w:val="32"/>
          <w:szCs w:val="32"/>
          <w:highlight w:val="none"/>
          <w:shd w:val="clear" w:fill="auto"/>
          <w14:textFill>
            <w14:solidFill>
              <w14:schemeClr w14:val="tx1"/>
            </w14:solidFill>
          </w14:textFill>
        </w:rPr>
        <w:t>产地加工基地和交易市场，</w:t>
      </w:r>
      <w:r>
        <w:rPr>
          <w:rFonts w:hint="default" w:ascii="Times New Roman" w:hAnsi="Times New Roman" w:eastAsia="仿宋_GB2312" w:cs="Times New Roman"/>
          <w:i w:val="0"/>
          <w:iCs w:val="0"/>
          <w:caps w:val="0"/>
          <w:color w:val="000000" w:themeColor="text1"/>
          <w:spacing w:val="0"/>
          <w:sz w:val="32"/>
          <w:szCs w:val="32"/>
          <w:highlight w:val="none"/>
          <w:shd w:val="clear" w:fill="auto"/>
          <w:lang w:val="en-US" w:eastAsia="zh-CN"/>
          <w14:textFill>
            <w14:solidFill>
              <w14:schemeClr w14:val="tx1"/>
            </w14:solidFill>
          </w14:textFill>
        </w:rPr>
        <w:t>开发</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斑斓、魔芋、食用菌、野菜</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、蜂蜜等</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系列产品，</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做强</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益智、巴戟、牛大力等南药精深加工</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推动林下经济与康养旅游、自然教育等新业态融合，打造一批森林康养基地、森林人家、自然教育营地</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建立健全林下经济信息平台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林下产品流通物流体系，加强市场供求信息服务，</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做好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产销衔接。</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加快</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推进林下经济产品标准或质量标准制定</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528" w:name="_Toc23873"/>
      <w:bookmarkStart w:id="529" w:name="_Toc22447"/>
      <w:bookmarkStart w:id="530" w:name="_Toc28081"/>
      <w:bookmarkStart w:id="531" w:name="_Toc13601"/>
      <w:bookmarkStart w:id="532" w:name="_Toc27668"/>
      <w:bookmarkStart w:id="533" w:name="_Toc19697"/>
      <w:bookmarkStart w:id="534" w:name="_Toc17595"/>
      <w:bookmarkStart w:id="535" w:name="_Toc13483"/>
      <w:bookmarkStart w:id="536" w:name="_Toc32239"/>
      <w:bookmarkStart w:id="537" w:name="_Toc9172"/>
      <w:bookmarkStart w:id="538" w:name="_Toc7833"/>
      <w:bookmarkStart w:id="539" w:name="_Toc2627"/>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六、推动畜禽产业高质量发展</w:t>
      </w:r>
      <w:bookmarkEnd w:id="528"/>
      <w:bookmarkEnd w:id="529"/>
      <w:bookmarkEnd w:id="530"/>
      <w:bookmarkEnd w:id="531"/>
      <w:bookmarkEnd w:id="532"/>
      <w:bookmarkEnd w:id="533"/>
      <w:bookmarkEnd w:id="534"/>
      <w:bookmarkEnd w:id="535"/>
      <w:bookmarkEnd w:id="536"/>
      <w:bookmarkEnd w:id="537"/>
      <w:bookmarkEnd w:id="538"/>
      <w:bookmarkEnd w:id="539"/>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jc w:val="both"/>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优化</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畜禽产业</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结构。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围绕海南黑猪、文昌鸡、</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儋州鸡</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等</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特色</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品种，加强国家级和省级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保种场、核心育种场</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建设，构建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原种场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扩繁场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商品场</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三级繁育体系，以</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“风味优、效率高、抗逆强”为主要目标推进新品种（</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系）培育，</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动“椰岛黑猪”</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通过国家审定，力争到2030年海南黑猪养殖占比提高到40%</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把文昌鸡打造成百亿级特色产业集群，带动儋州鸡、嘉积鸭、白莲鹅等地方优质禽类做大做强。因地制宜发展海南和牛、海南黑山羊等特色产业，优化提升禽蛋产业。</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提高畜禽产业绿色化、设施化、品牌化水平。</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推进畜禽养殖场标准化改造升级与智能化装备应用，配备先进的智能化、自动化装备，因地制宜推动生猪、蛋鸡、黑山羊上楼养殖，</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发展立体养殖。</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实施养殖业节粮行动，推</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广“</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农牧结合、种养循</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环”绿</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色低碳养殖模式，</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加强畜禽粪污资源化综合利用，</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促进畜禽行业降本增效。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打造中高端黑猪产品，构建以粤港澳大湾区为主、覆盖全国的海南黑猪产品网络。发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展“椰子鸡”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等特色加工</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扩大文昌鸡在香港、新加坡等市场的影响力和消费量。</w:t>
      </w:r>
    </w:p>
    <w:p>
      <w:pPr>
        <w:keepNext w:val="0"/>
        <w:keepLines w:val="0"/>
        <w:pageBreakBefore w:val="0"/>
        <w:widowControl w:val="0"/>
        <w:kinsoku/>
        <w:wordWrap/>
        <w:overflowPunct/>
        <w:topLinePunct w:val="0"/>
        <w:autoSpaceDE/>
        <w:autoSpaceDN/>
        <w:bidi w:val="0"/>
        <w:adjustRightInd/>
        <w:snapToGrid w:val="0"/>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bidi="ar-SA"/>
          <w14:textFill>
            <w14:solidFill>
              <w14:schemeClr w14:val="tx1"/>
            </w14:solidFill>
          </w14:textFill>
        </w:rPr>
        <w:t>夯实</w:t>
      </w:r>
      <w:r>
        <w:rPr>
          <w:rFonts w:hint="default" w:ascii="Times New Roman" w:hAnsi="Times New Roman" w:eastAsia="仿宋_GB2312" w:cs="Times New Roman"/>
          <w:b/>
          <w:bCs/>
          <w:i w:val="0"/>
          <w:iCs w:val="0"/>
          <w:caps w:val="0"/>
          <w:color w:val="000000" w:themeColor="text1"/>
          <w:spacing w:val="0"/>
          <w:sz w:val="32"/>
          <w:szCs w:val="32"/>
          <w:highlight w:val="none"/>
          <w:shd w:val="clear" w:fill="auto"/>
          <w14:textFill>
            <w14:solidFill>
              <w14:schemeClr w14:val="tx1"/>
            </w14:solidFill>
          </w14:textFill>
        </w:rPr>
        <w:t>疫病防控</w:t>
      </w:r>
      <w:r>
        <w:rPr>
          <w:rFonts w:hint="default" w:ascii="Times New Roman" w:hAnsi="Times New Roman" w:eastAsia="仿宋_GB2312" w:cs="Times New Roman"/>
          <w:b/>
          <w:bCs/>
          <w:i w:val="0"/>
          <w:iCs w:val="0"/>
          <w:caps w:val="0"/>
          <w:color w:val="000000" w:themeColor="text1"/>
          <w:spacing w:val="0"/>
          <w:sz w:val="32"/>
          <w:szCs w:val="32"/>
          <w:highlight w:val="none"/>
          <w:shd w:val="clear" w:fill="auto"/>
          <w:lang w:val="en-US" w:eastAsia="zh-CN"/>
          <w14:textFill>
            <w14:solidFill>
              <w14:schemeClr w14:val="tx1"/>
            </w14:solidFill>
          </w14:textFill>
        </w:rPr>
        <w:t>和</w:t>
      </w:r>
      <w:r>
        <w:rPr>
          <w:rFonts w:hint="default" w:ascii="Times New Roman" w:hAnsi="Times New Roman" w:eastAsia="仿宋_GB2312" w:cs="Times New Roman"/>
          <w:b/>
          <w:bCs/>
          <w:i w:val="0"/>
          <w:iCs w:val="0"/>
          <w:caps w:val="0"/>
          <w:color w:val="000000" w:themeColor="text1"/>
          <w:spacing w:val="0"/>
          <w:sz w:val="32"/>
          <w:szCs w:val="32"/>
          <w:highlight w:val="none"/>
          <w:shd w:val="clear" w:fill="auto"/>
          <w14:textFill>
            <w14:solidFill>
              <w14:schemeClr w14:val="tx1"/>
            </w14:solidFill>
          </w14:textFill>
        </w:rPr>
        <w:t>屠宰管理</w:t>
      </w:r>
      <w:r>
        <w:rPr>
          <w:rFonts w:hint="default" w:ascii="Times New Roman" w:hAnsi="Times New Roman" w:eastAsia="仿宋_GB2312" w:cs="Times New Roman"/>
          <w:b/>
          <w:bCs/>
          <w:i w:val="0"/>
          <w:iCs w:val="0"/>
          <w:caps w:val="0"/>
          <w:color w:val="000000" w:themeColor="text1"/>
          <w:spacing w:val="0"/>
          <w:sz w:val="32"/>
          <w:szCs w:val="32"/>
          <w:highlight w:val="none"/>
          <w:shd w:val="clear" w:fill="auto"/>
          <w:lang w:eastAsia="zh-CN"/>
          <w14:textFill>
            <w14:solidFill>
              <w14:schemeClr w14:val="tx1"/>
            </w14:solidFill>
          </w14:textFill>
        </w:rPr>
        <w:t>基础。</w:t>
      </w:r>
      <w:r>
        <w:rPr>
          <w:rFonts w:hint="eastAsia" w:ascii="Times New Roman" w:hAnsi="Times New Roman" w:eastAsia="仿宋_GB2312" w:cs="Times New Roman"/>
          <w:b w:val="0"/>
          <w:bCs w:val="0"/>
          <w:i w:val="0"/>
          <w:iCs w:val="0"/>
          <w:caps w:val="0"/>
          <w:color w:val="000000" w:themeColor="text1"/>
          <w:spacing w:val="0"/>
          <w:sz w:val="32"/>
          <w:szCs w:val="32"/>
          <w:highlight w:val="none"/>
          <w:shd w:val="clear" w:fill="auto"/>
          <w:lang w:eastAsia="zh-CN"/>
          <w14:textFill>
            <w14:solidFill>
              <w14:schemeClr w14:val="tx1"/>
            </w14:solidFill>
          </w14:textFill>
        </w:rPr>
        <w:t>持续推动无规定动物疫病区建设，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推动海南省动物疫病防控指挥中心、海口动物隔离场等重点项目建成投入使用，建立健</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全“省—市县—场”联动高效的动物疫病监测预警与应急响应网络，</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落实</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重大动物疫病分区防控，建立健全粤琼活体动物指定通道</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“两省联动”工</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作机制。完善动物疫病防控基础设施，创建一批高质量疫病净化场和无疫小区。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推动屠宰加工标准化、规范化升级，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强化肉品质量安全监管与行业风险监测，提升屠宰卫生检验人员专业能力</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。鼓励</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发展</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综合型畜禽屠宰企业，支持屠宰加工企业完善冷链配送体系</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推动牛羊禽定点屠宰立法管理。</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540" w:name="_Toc15574"/>
      <w:bookmarkStart w:id="541" w:name="_Toc23267"/>
      <w:bookmarkStart w:id="542" w:name="_Toc4158"/>
      <w:bookmarkStart w:id="543" w:name="_Toc400"/>
      <w:bookmarkStart w:id="544" w:name="_Toc13135"/>
      <w:bookmarkStart w:id="545" w:name="_Toc7033"/>
      <w:bookmarkStart w:id="546" w:name="_Toc16364"/>
      <w:bookmarkStart w:id="547" w:name="_Toc30145"/>
      <w:bookmarkStart w:id="548" w:name="_Toc20272"/>
      <w:bookmarkStart w:id="549" w:name="_Toc7789"/>
      <w:bookmarkStart w:id="550" w:name="_Toc24913"/>
      <w:bookmarkStart w:id="551" w:name="_Toc673"/>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七、深化渔业“三走”转型</w:t>
      </w:r>
      <w:bookmarkEnd w:id="540"/>
      <w:bookmarkEnd w:id="541"/>
      <w:bookmarkEnd w:id="542"/>
      <w:bookmarkEnd w:id="543"/>
      <w:bookmarkEnd w:id="544"/>
      <w:bookmarkEnd w:id="545"/>
      <w:bookmarkEnd w:id="546"/>
      <w:bookmarkEnd w:id="547"/>
      <w:bookmarkEnd w:id="548"/>
      <w:bookmarkEnd w:id="549"/>
      <w:bookmarkEnd w:id="550"/>
      <w:bookmarkEnd w:id="551"/>
    </w:p>
    <w:p>
      <w:pPr>
        <w:snapToGrid w:val="0"/>
        <w:spacing w:line="590" w:lineRule="exact"/>
        <w:ind w:firstLine="642" w:firstLineChars="200"/>
        <w:rPr>
          <w:rFonts w:hint="default" w:ascii="Times New Roman" w:hAnsi="Times New Roman" w:eastAsia="仿宋"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u w:val="none"/>
          <w:shd w:val="clear" w:fill="auto"/>
          <w:lang w:eastAsia="zh-CN"/>
          <w14:textFill>
            <w14:solidFill>
              <w14:schemeClr w14:val="tx1"/>
            </w14:solidFill>
          </w14:textFill>
        </w:rPr>
        <w:t>建设水产南繁硅谷</w:t>
      </w:r>
      <w:r>
        <w:rPr>
          <w:rFonts w:hint="default" w:ascii="Times New Roman" w:hAnsi="Times New Roman" w:eastAsia="仿宋_GB2312" w:cs="Times New Roman"/>
          <w:b/>
          <w:bCs/>
          <w:color w:val="000000" w:themeColor="text1"/>
          <w:sz w:val="32"/>
          <w:szCs w:val="32"/>
          <w:highlight w:val="none"/>
          <w:u w:val="none"/>
          <w:shd w:val="clear" w:fill="auto"/>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shd w:val="clear" w:fill="auto"/>
          <w14:textFill>
            <w14:solidFill>
              <w14:schemeClr w14:val="tx1"/>
            </w14:solidFill>
          </w14:textFill>
        </w:rPr>
        <w:t>加快水产种质资源保护和利用，</w:t>
      </w:r>
      <w:r>
        <w:rPr>
          <w:rFonts w:hint="default" w:ascii="Times New Roman" w:hAnsi="Times New Roman" w:eastAsia="仿宋_GB2312" w:cs="Times New Roman"/>
          <w:color w:val="000000" w:themeColor="text1"/>
          <w:sz w:val="32"/>
          <w:szCs w:val="32"/>
          <w:u w:val="none"/>
          <w14:textFill>
            <w14:solidFill>
              <w14:schemeClr w14:val="tx1"/>
            </w14:solidFill>
          </w14:textFill>
        </w:rPr>
        <w:t>构建资源保护、育种创新、良种扩繁、市场推广的现代水产种业全链条</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，培育发展蓝色种业。</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建设</w:t>
      </w:r>
      <w:r>
        <w:rPr>
          <w:rFonts w:hint="default" w:ascii="Times New Roman" w:hAnsi="Times New Roman" w:eastAsia="仿宋_GB2312" w:cs="Times New Roman"/>
          <w:color w:val="000000" w:themeColor="text1"/>
          <w:sz w:val="32"/>
          <w:szCs w:val="32"/>
          <w:u w:val="none"/>
          <w14:textFill>
            <w14:solidFill>
              <w14:schemeClr w14:val="tx1"/>
            </w14:solidFill>
          </w14:textFill>
        </w:rPr>
        <w:t>一批水产原良种场</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、水产种质资源场</w:t>
      </w:r>
      <w:r>
        <w:rPr>
          <w:rFonts w:hint="default" w:ascii="Times New Roman" w:hAnsi="Times New Roman" w:eastAsia="仿宋_GB2312" w:cs="Times New Roman"/>
          <w:color w:val="000000" w:themeColor="text1"/>
          <w:sz w:val="32"/>
          <w:szCs w:val="32"/>
          <w:u w:val="none"/>
          <w14:textFill>
            <w14:solidFill>
              <w14:schemeClr w14:val="tx1"/>
            </w14:solidFill>
          </w14:textFill>
        </w:rPr>
        <w:t>和苗种繁育基地，</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实施一批国家种业提升工程。大力培育水产种业阵型企业，建设水产种业科技创新平台。提升水产智慧育种水平，加快</w:t>
      </w:r>
      <w:r>
        <w:rPr>
          <w:rFonts w:hint="default" w:ascii="Times New Roman" w:hAnsi="Times New Roman" w:eastAsia="仿宋_GB2312" w:cs="Times New Roman"/>
          <w:color w:val="000000" w:themeColor="text1"/>
          <w:sz w:val="32"/>
          <w:szCs w:val="32"/>
          <w:u w:val="none"/>
          <w14:textFill>
            <w14:solidFill>
              <w14:schemeClr w14:val="tx1"/>
            </w14:solidFill>
          </w14:textFill>
        </w:rPr>
        <w:t>培育生长快、抗逆强、品质优的</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特色优势</w:t>
      </w:r>
      <w:r>
        <w:rPr>
          <w:rFonts w:hint="default" w:ascii="Times New Roman" w:hAnsi="Times New Roman" w:eastAsia="仿宋_GB2312" w:cs="Times New Roman"/>
          <w:color w:val="000000" w:themeColor="text1"/>
          <w:sz w:val="32"/>
          <w:szCs w:val="32"/>
          <w:u w:val="none"/>
          <w14:textFill>
            <w14:solidFill>
              <w14:schemeClr w14:val="tx1"/>
            </w14:solidFill>
          </w14:textFill>
        </w:rPr>
        <w:t>新品种</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。推动</w:t>
      </w:r>
      <w:r>
        <w:rPr>
          <w:rFonts w:hint="default" w:ascii="Times New Roman" w:hAnsi="Times New Roman" w:eastAsia="仿宋_GB2312" w:cs="Times New Roman"/>
          <w:color w:val="000000" w:themeColor="text1"/>
          <w:sz w:val="32"/>
          <w:szCs w:val="32"/>
          <w:u w:val="none"/>
          <w14:textFill>
            <w14:solidFill>
              <w14:schemeClr w14:val="tx1"/>
            </w14:solidFill>
          </w14:textFill>
        </w:rPr>
        <w:t>石斑鱼、金枪鱼</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、章红鱼</w:t>
      </w:r>
      <w:r>
        <w:rPr>
          <w:rFonts w:hint="default" w:ascii="Times New Roman" w:hAnsi="Times New Roman" w:eastAsia="仿宋_GB2312" w:cs="Times New Roman"/>
          <w:color w:val="000000" w:themeColor="text1"/>
          <w:sz w:val="32"/>
          <w:szCs w:val="32"/>
          <w:u w:val="none"/>
          <w14:textFill>
            <w14:solidFill>
              <w14:schemeClr w14:val="tx1"/>
            </w14:solidFill>
          </w14:textFill>
        </w:rPr>
        <w:t>等高价值品种育种技术</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取得突破</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大力培育创新深远海养殖和工厂化养殖品种，积极开展国内和国际重点品种的创新和繁育</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创建一批无规定疫病苗种场，完善标准生产</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产地检疫</w:t>
      </w:r>
      <w:r>
        <w:rPr>
          <w:rFonts w:hint="default" w:ascii="Times New Roman" w:hAnsi="Times New Roman" w:eastAsia="仿宋_GB2312" w:cs="Times New Roman"/>
          <w:color w:val="000000" w:themeColor="text1"/>
          <w:sz w:val="32"/>
          <w:szCs w:val="32"/>
          <w:u w:val="none"/>
          <w14:textFill>
            <w14:solidFill>
              <w14:schemeClr w14:val="tx1"/>
            </w14:solidFill>
          </w14:textFill>
        </w:rPr>
        <w:t>、质量认证和品牌营销体系</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打</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造“好虾苗”</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“好鱼苗”</w:t>
      </w:r>
      <w:r>
        <w:rPr>
          <w:rFonts w:hint="default" w:ascii="Times New Roman" w:hAnsi="Times New Roman" w:eastAsia="仿宋_GB2312" w:cs="Times New Roman"/>
          <w:color w:val="000000" w:themeColor="text1"/>
          <w:sz w:val="32"/>
          <w:szCs w:val="32"/>
          <w:u w:val="none"/>
          <w14:textFill>
            <w14:solidFill>
              <w14:schemeClr w14:val="tx1"/>
            </w14:solidFill>
          </w14:textFill>
        </w:rPr>
        <w:t>等区域公用品牌。稳步提升全省水产养殖主导品种良种覆盖率，显著提高海南水产苗种在国内外市场占有率。</w:t>
      </w:r>
    </w:p>
    <w:p>
      <w:pPr>
        <w:snapToGrid w:val="0"/>
        <w:spacing w:line="590" w:lineRule="exact"/>
        <w:ind w:firstLine="642" w:firstLineChars="200"/>
        <w:rPr>
          <w:rFonts w:hint="default" w:ascii="Times New Roman" w:hAnsi="Times New Roman" w:eastAsia="楷体"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b/>
          <w:bCs/>
          <w:color w:val="000000" w:themeColor="text1"/>
          <w:sz w:val="32"/>
          <w:szCs w:val="32"/>
          <w:u w:val="none"/>
          <w:lang w:eastAsia="zh-CN"/>
          <w14:textFill>
            <w14:solidFill>
              <w14:schemeClr w14:val="tx1"/>
            </w14:solidFill>
          </w14:textFill>
        </w:rPr>
        <w:t>往深海走</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建</w:t>
      </w:r>
      <w:r>
        <w:rPr>
          <w:rFonts w:hint="eastAsia" w:ascii="楷体_GB2312" w:hAnsi="楷体_GB2312" w:eastAsia="楷体_GB2312" w:cs="楷体_GB2312"/>
          <w:b/>
          <w:bCs/>
          <w:color w:val="000000" w:themeColor="text1"/>
          <w:sz w:val="32"/>
          <w:szCs w:val="32"/>
          <w:highlight w:val="none"/>
          <w:u w:val="none"/>
          <w14:textFill>
            <w14:solidFill>
              <w14:schemeClr w14:val="tx1"/>
            </w14:solidFill>
          </w14:textFill>
        </w:rPr>
        <w:t>设“</w:t>
      </w:r>
      <w:r>
        <w:rPr>
          <w:rFonts w:hint="eastAsia" w:ascii="楷体_GB2312" w:hAnsi="楷体_GB2312" w:eastAsia="楷体_GB2312" w:cs="楷体_GB2312"/>
          <w:b/>
          <w:bCs/>
          <w:color w:val="000000" w:themeColor="text1"/>
          <w:sz w:val="32"/>
          <w:szCs w:val="32"/>
          <w:highlight w:val="none"/>
          <w:u w:val="none"/>
          <w:lang w:eastAsia="zh-CN"/>
          <w14:textFill>
            <w14:solidFill>
              <w14:schemeClr w14:val="tx1"/>
            </w14:solidFill>
          </w14:textFill>
        </w:rPr>
        <w:t>海上</w:t>
      </w:r>
      <w:r>
        <w:rPr>
          <w:rFonts w:hint="eastAsia" w:ascii="楷体_GB2312" w:hAnsi="楷体_GB2312" w:eastAsia="楷体_GB2312" w:cs="楷体_GB2312"/>
          <w:b/>
          <w:bCs/>
          <w:color w:val="000000" w:themeColor="text1"/>
          <w:sz w:val="32"/>
          <w:szCs w:val="32"/>
          <w:highlight w:val="none"/>
          <w:u w:val="none"/>
          <w14:textFill>
            <w14:solidFill>
              <w14:schemeClr w14:val="tx1"/>
            </w14:solidFill>
          </w14:textFill>
        </w:rPr>
        <w:t>粮仓”</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u w:val="none"/>
          <w:lang w:val="en-US" w:eastAsia="zh-CN" w:bidi="ar"/>
          <w14:textFill>
            <w14:solidFill>
              <w14:schemeClr w14:val="tx1"/>
            </w14:solidFill>
          </w14:textFill>
        </w:rPr>
        <w:t>按照“岸上苗、海里鱼”的</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思路，推</w:t>
      </w:r>
      <w:r>
        <w:rPr>
          <w:rFonts w:hint="eastAsia" w:ascii="仿宋_GB2312" w:hAnsi="仿宋_GB2312" w:eastAsia="仿宋_GB2312" w:cs="仿宋_GB2312"/>
          <w:color w:val="000000" w:themeColor="text1"/>
          <w:kern w:val="2"/>
          <w:sz w:val="32"/>
          <w:szCs w:val="32"/>
          <w:highlight w:val="none"/>
          <w:u w:val="none"/>
          <w:lang w:val="en-US" w:eastAsia="zh-CN" w:bidi="ar"/>
          <w14:textFill>
            <w14:solidFill>
              <w14:schemeClr w14:val="tx1"/>
            </w14:solidFill>
          </w14:textFill>
        </w:rPr>
        <w:t>动</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“陆海接力”分段</w:t>
      </w:r>
      <w:r>
        <w:rPr>
          <w:rFonts w:hint="default" w:ascii="Times New Roman" w:hAnsi="Times New Roman" w:eastAsia="仿宋_GB2312" w:cs="Times New Roman"/>
          <w:color w:val="000000" w:themeColor="text1"/>
          <w:sz w:val="32"/>
          <w:szCs w:val="32"/>
          <w:u w:val="none"/>
          <w14:textFill>
            <w14:solidFill>
              <w14:schemeClr w14:val="tx1"/>
            </w14:solidFill>
          </w14:textFill>
        </w:rPr>
        <w:t>养殖，</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提升生产效率和防灾减灾能力。</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因地制宜创建海上牧场，</w:t>
      </w:r>
      <w:r>
        <w:rPr>
          <w:rFonts w:hint="default" w:ascii="Times New Roman" w:hAnsi="Times New Roman" w:eastAsia="仿宋_GB2312" w:cs="Times New Roman"/>
          <w:color w:val="000000" w:themeColor="text1"/>
          <w:sz w:val="32"/>
          <w:szCs w:val="32"/>
          <w:u w:val="none"/>
          <w14:textFill>
            <w14:solidFill>
              <w14:schemeClr w14:val="tx1"/>
            </w14:solidFill>
          </w14:textFill>
        </w:rPr>
        <w:t>大力发展海产品精深加工、冷链物流与电商交易，</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引领深远海</w:t>
      </w:r>
      <w:r>
        <w:rPr>
          <w:rFonts w:hint="eastAsia" w:ascii="仿宋_GB2312" w:hAnsi="仿宋_GB2312" w:eastAsia="仿宋_GB2312" w:cs="仿宋_GB2312"/>
          <w:color w:val="000000" w:themeColor="text1"/>
          <w:kern w:val="2"/>
          <w:sz w:val="32"/>
          <w:szCs w:val="32"/>
          <w:highlight w:val="none"/>
          <w:u w:val="none"/>
          <w:lang w:val="en-US" w:eastAsia="zh-CN" w:bidi="ar"/>
          <w14:textFill>
            <w14:solidFill>
              <w14:schemeClr w14:val="tx1"/>
            </w14:solidFill>
          </w14:textFill>
        </w:rPr>
        <w:t>养殖“接二连三”</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发展。</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以科技创新为引领，推动高强度抗风浪重力式网箱、经济型桁架类网箱、多功能型养殖工船等装备创新和推广应用。重点攻关抗浪减流装备、智能化管理系统、水下机器人、水下监测设备、机械化起捕装备等方面难题，</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助力深远海养殖产业升级。</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提升拓展渔港综合服务保障能力，加快补上陆域配套短板。完善深远海养殖保险机制。</w:t>
      </w:r>
    </w:p>
    <w:p>
      <w:pPr>
        <w:snapToGrid w:val="0"/>
        <w:spacing w:line="590" w:lineRule="exact"/>
        <w:ind w:firstLine="642" w:firstLineChars="200"/>
        <w:rPr>
          <w:rFonts w:hint="default" w:ascii="Times New Roman" w:hAnsi="Times New Roman" w:eastAsia="仿宋_GB2312"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b/>
          <w:bCs/>
          <w:color w:val="000000" w:themeColor="text1"/>
          <w:sz w:val="32"/>
          <w:szCs w:val="32"/>
          <w:u w:val="none"/>
          <w:lang w:eastAsia="zh-CN"/>
          <w14:textFill>
            <w14:solidFill>
              <w14:schemeClr w14:val="tx1"/>
            </w14:solidFill>
          </w14:textFill>
        </w:rPr>
        <w:t>往岸上走建设</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现代渔业</w:t>
      </w:r>
      <w:r>
        <w:rPr>
          <w:rFonts w:hint="default" w:ascii="Times New Roman" w:hAnsi="Times New Roman" w:eastAsia="仿宋_GB2312" w:cs="Times New Roman"/>
          <w:b/>
          <w:bCs/>
          <w:color w:val="000000" w:themeColor="text1"/>
          <w:sz w:val="32"/>
          <w:szCs w:val="32"/>
          <w:u w:val="none"/>
          <w:lang w:eastAsia="zh-CN"/>
          <w14:textFill>
            <w14:solidFill>
              <w14:schemeClr w14:val="tx1"/>
            </w14:solidFill>
          </w14:textFill>
        </w:rPr>
        <w:t>园区</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坚持集约化、规模化、绿色化发展导向，完善取排水公共基础设施建设，梯次建设现代</w:t>
      </w:r>
      <w:r>
        <w:rPr>
          <w:rFonts w:hint="default" w:ascii="Times New Roman" w:hAnsi="Times New Roman" w:eastAsia="仿宋_GB2312" w:cs="Times New Roman"/>
          <w:color w:val="000000" w:themeColor="text1"/>
          <w:sz w:val="32"/>
          <w:szCs w:val="32"/>
          <w:u w:val="none"/>
          <w14:textFill>
            <w14:solidFill>
              <w14:schemeClr w14:val="tx1"/>
            </w14:solidFill>
          </w14:textFill>
        </w:rPr>
        <w:t>渔业产业园</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和集中养殖片区。强化政策支持，</w:t>
      </w:r>
      <w:r>
        <w:rPr>
          <w:rFonts w:hint="default" w:ascii="Times New Roman" w:hAnsi="Times New Roman" w:eastAsia="仿宋_GB2312" w:cs="Times New Roman"/>
          <w:color w:val="000000" w:themeColor="text1"/>
          <w:sz w:val="32"/>
          <w:szCs w:val="32"/>
          <w:u w:val="none"/>
          <w14:textFill>
            <w14:solidFill>
              <w14:schemeClr w14:val="tx1"/>
            </w14:solidFill>
          </w14:textFill>
        </w:rPr>
        <w:t>建立健全政府引导、企业主体、渔民参与的利益联结机制，引导中小养殖户入园发展</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标准化生产、规模化经营。</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大力发展特色渔业，推广特色高价值品种，因地制宜引导水产养殖区域差异化发展。</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加快</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发展设施渔业，提升养殖标准化、装备化、智慧化、绿色化水平。</w:t>
      </w:r>
      <w:r>
        <w:rPr>
          <w:rFonts w:hint="default" w:ascii="Times New Roman" w:hAnsi="Times New Roman" w:eastAsia="仿宋_GB2312" w:cs="Times New Roman"/>
          <w:color w:val="000000" w:themeColor="text1"/>
          <w:sz w:val="32"/>
          <w:szCs w:val="32"/>
          <w:u w:val="none"/>
          <w14:textFill>
            <w14:solidFill>
              <w14:schemeClr w14:val="tx1"/>
            </w14:solidFill>
          </w14:textFill>
        </w:rPr>
        <w:t>积极发展</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“渔业园区+”</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做强水产品精深加工、</w:t>
      </w:r>
      <w:r>
        <w:rPr>
          <w:rFonts w:hint="default" w:ascii="Times New Roman" w:hAnsi="Times New Roman" w:eastAsia="仿宋_GB2312" w:cs="Times New Roman"/>
          <w:color w:val="000000" w:themeColor="text1"/>
          <w:sz w:val="32"/>
          <w:szCs w:val="32"/>
          <w:u w:val="none"/>
          <w14:textFill>
            <w14:solidFill>
              <w14:schemeClr w14:val="tx1"/>
            </w14:solidFill>
          </w14:textFill>
        </w:rPr>
        <w:t>冷链物流、</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休闲渔旅等业态，</w:t>
      </w:r>
      <w:r>
        <w:rPr>
          <w:rFonts w:hint="default" w:ascii="Times New Roman" w:hAnsi="Times New Roman" w:eastAsia="仿宋_GB2312" w:cs="Times New Roman"/>
          <w:color w:val="000000" w:themeColor="text1"/>
          <w:sz w:val="32"/>
          <w:szCs w:val="32"/>
          <w:u w:val="none"/>
          <w14:textFill>
            <w14:solidFill>
              <w14:schemeClr w14:val="tx1"/>
            </w14:solidFill>
          </w14:textFill>
        </w:rPr>
        <w:t>引导</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现代</w:t>
      </w:r>
      <w:r>
        <w:rPr>
          <w:rFonts w:hint="default" w:ascii="Times New Roman" w:hAnsi="Times New Roman" w:eastAsia="仿宋_GB2312" w:cs="Times New Roman"/>
          <w:color w:val="000000" w:themeColor="text1"/>
          <w:sz w:val="32"/>
          <w:szCs w:val="32"/>
          <w:u w:val="none"/>
          <w14:textFill>
            <w14:solidFill>
              <w14:schemeClr w14:val="tx1"/>
            </w14:solidFill>
          </w14:textFill>
        </w:rPr>
        <w:t>渔业产业园向育种、养殖、加工、物流、品牌等综合功能转变。</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推动</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发展大水面生态养殖，规范稻渔综合种养</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稳定罗非鱼养殖面积，</w:t>
      </w:r>
      <w:r>
        <w:rPr>
          <w:rFonts w:hint="default" w:ascii="Times New Roman" w:hAnsi="Times New Roman" w:eastAsia="仿宋_GB2312" w:cs="Times New Roman"/>
          <w:color w:val="000000" w:themeColor="text1"/>
          <w:sz w:val="32"/>
          <w:szCs w:val="32"/>
          <w:u w:val="none"/>
          <w14:textFill>
            <w14:solidFill>
              <w14:schemeClr w14:val="tx1"/>
            </w14:solidFill>
          </w14:textFill>
        </w:rPr>
        <w:t>构建生态高效</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可持续的</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淡水</w:t>
      </w:r>
      <w:r>
        <w:rPr>
          <w:rFonts w:hint="default" w:ascii="Times New Roman" w:hAnsi="Times New Roman" w:eastAsia="仿宋_GB2312" w:cs="Times New Roman"/>
          <w:color w:val="000000" w:themeColor="text1"/>
          <w:sz w:val="32"/>
          <w:szCs w:val="32"/>
          <w:u w:val="none"/>
          <w14:textFill>
            <w14:solidFill>
              <w14:schemeClr w14:val="tx1"/>
            </w14:solidFill>
          </w14:textFill>
        </w:rPr>
        <w:t>渔业发展新格局。</w:t>
      </w:r>
    </w:p>
    <w:p>
      <w:pPr>
        <w:widowControl w:val="0"/>
        <w:snapToGrid w:val="0"/>
        <w:spacing w:line="590" w:lineRule="exact"/>
        <w:ind w:firstLine="642" w:firstLineChars="200"/>
        <w:rPr>
          <w:rFonts w:hint="default" w:ascii="Times New Roman" w:hAnsi="Times New Roman"/>
          <w:color w:val="000000" w:themeColor="text1"/>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往</w:t>
      </w: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休闲走发展休闲渔业</w:t>
      </w: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完善休闲渔业基础设施，依托渔港经济区、海上牧场和重点渔港建设，推动休闲渔船、休闲渔业码头</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及相关配套设施规范化</w:t>
      </w:r>
      <w:r>
        <w:rPr>
          <w:rFonts w:hint="default" w:ascii="Times New Roman" w:hAnsi="Times New Roman" w:eastAsia="仿宋_GB2312" w:cs="Times New Roman"/>
          <w:color w:val="000000" w:themeColor="text1"/>
          <w:sz w:val="32"/>
          <w:szCs w:val="32"/>
          <w:u w:val="none"/>
          <w14:textFill>
            <w14:solidFill>
              <w14:schemeClr w14:val="tx1"/>
            </w14:solidFill>
          </w14:textFill>
        </w:rPr>
        <w:t>建设。</w:t>
      </w:r>
      <w:r>
        <w:rPr>
          <w:rFonts w:hint="default" w:ascii="Times New Roman" w:hAnsi="Times New Roman" w:eastAsia="仿宋_GB2312" w:cs="Times New Roman"/>
          <w:i w:val="0"/>
          <w:iCs w:val="0"/>
          <w:caps w:val="0"/>
          <w:color w:val="000000" w:themeColor="text1"/>
          <w:spacing w:val="0"/>
          <w:sz w:val="32"/>
          <w:szCs w:val="32"/>
          <w:u w:val="none"/>
          <w:shd w:val="clear"/>
          <w:lang w:eastAsia="zh-CN"/>
          <w14:textFill>
            <w14:solidFill>
              <w14:schemeClr w14:val="tx1"/>
            </w14:solidFill>
          </w14:textFill>
        </w:rPr>
        <w:t>推动</w:t>
      </w:r>
      <w:r>
        <w:rPr>
          <w:rFonts w:hint="default" w:ascii="Times New Roman" w:hAnsi="Times New Roman" w:eastAsia="仿宋_GB2312" w:cs="Times New Roman"/>
          <w:i w:val="0"/>
          <w:iCs w:val="0"/>
          <w:caps w:val="0"/>
          <w:color w:val="000000" w:themeColor="text1"/>
          <w:spacing w:val="0"/>
          <w:sz w:val="32"/>
          <w:szCs w:val="32"/>
          <w:u w:val="none"/>
          <w:shd w:val="clear"/>
          <w14:textFill>
            <w14:solidFill>
              <w14:schemeClr w14:val="tx1"/>
            </w14:solidFill>
          </w14:textFill>
        </w:rPr>
        <w:t>环岛沿海市县</w:t>
      </w:r>
      <w:r>
        <w:rPr>
          <w:rFonts w:hint="default" w:ascii="Times New Roman" w:hAnsi="Times New Roman" w:eastAsia="仿宋_GB2312" w:cs="Times New Roman"/>
          <w:i w:val="0"/>
          <w:iCs w:val="0"/>
          <w:caps w:val="0"/>
          <w:color w:val="000000" w:themeColor="text1"/>
          <w:spacing w:val="0"/>
          <w:sz w:val="32"/>
          <w:szCs w:val="32"/>
          <w:u w:val="none"/>
          <w:shd w:val="clear"/>
          <w:lang w:eastAsia="zh-CN"/>
          <w14:textFill>
            <w14:solidFill>
              <w14:schemeClr w14:val="tx1"/>
            </w14:solidFill>
          </w14:textFill>
        </w:rPr>
        <w:t>休闲渔业区域化、差异化布局，促进</w:t>
      </w:r>
      <w:r>
        <w:rPr>
          <w:rFonts w:hint="default" w:ascii="Times New Roman" w:hAnsi="Times New Roman" w:eastAsia="仿宋_GB2312" w:cs="Times New Roman"/>
          <w:color w:val="000000" w:themeColor="text1"/>
          <w:sz w:val="32"/>
          <w:szCs w:val="32"/>
          <w:u w:val="none"/>
          <w14:textFill>
            <w14:solidFill>
              <w14:schemeClr w14:val="tx1"/>
            </w14:solidFill>
          </w14:textFill>
        </w:rPr>
        <w:t>三亚蜈支洲岛、乐东龙栖湾等休闲型海洋牧场融合发展</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举</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办“开渔节”“赶海节”“龙舟节”</w:t>
      </w:r>
      <w:r>
        <w:rPr>
          <w:rFonts w:hint="default" w:ascii="Times New Roman" w:hAnsi="Times New Roman" w:eastAsia="仿宋_GB2312" w:cs="Times New Roman"/>
          <w:color w:val="000000" w:themeColor="text1"/>
          <w:sz w:val="32"/>
          <w:szCs w:val="32"/>
          <w:u w:val="none"/>
          <w14:textFill>
            <w14:solidFill>
              <w14:schemeClr w14:val="tx1"/>
            </w14:solidFill>
          </w14:textFill>
        </w:rPr>
        <w:t>等文化活动，挖掘陵水疍家、潭门更路簿等渔家文化，培育出海观光、海上垂钓、赶海拾趣等渔业新业态</w:t>
      </w:r>
      <w:r>
        <w:rPr>
          <w:rFonts w:hint="eastAsia" w:ascii="Times New Roman" w:hAnsi="Times New Roman" w:eastAsia="仿宋_GB2312" w:cs="Times New Roman"/>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发展共享渔庄。</w:t>
      </w:r>
      <w:r>
        <w:rPr>
          <w:rFonts w:hint="default" w:ascii="Times New Roman" w:hAnsi="Times New Roman" w:eastAsia="仿宋_GB2312" w:cs="Times New Roman"/>
          <w:b w:val="0"/>
          <w:color w:val="000000" w:themeColor="text1"/>
          <w:kern w:val="2"/>
          <w:sz w:val="32"/>
          <w:szCs w:val="32"/>
          <w:u w:val="none"/>
          <w:lang w:val="en-US" w:eastAsia="zh-CN" w:bidi="ar"/>
          <w14:textFill>
            <w14:solidFill>
              <w14:schemeClr w14:val="tx1"/>
            </w14:solidFill>
          </w14:textFill>
        </w:rPr>
        <w:t>建立统一的休闲渔船预约和信息公开平台，培育专业化休闲渔业经营主体。构建常态化联合执法机制，筑牢休闲渔业发展安全底线。</w:t>
      </w:r>
    </w:p>
    <w:p>
      <w:pPr>
        <w:snapToGrid w:val="0"/>
        <w:spacing w:line="590" w:lineRule="exact"/>
        <w:ind w:firstLine="642" w:firstLineChars="200"/>
        <w:rPr>
          <w:rFonts w:hint="default" w:ascii="Times New Roman" w:hAnsi="Times New Roman" w:eastAsia="仿宋" w:cs="Times New Roman"/>
          <w:color w:val="000000" w:themeColor="text1"/>
          <w:sz w:val="32"/>
          <w:szCs w:val="32"/>
          <w:u w:val="none"/>
          <w14:textFill>
            <w14:solidFill>
              <w14:schemeClr w14:val="tx1"/>
            </w14:solidFill>
          </w14:textFill>
        </w:rPr>
      </w:pPr>
      <w:r>
        <w:rPr>
          <w:rFonts w:hint="default" w:ascii="Times New Roman" w:hAnsi="Times New Roman" w:eastAsia="仿宋_GB2312" w:cs="Times New Roman"/>
          <w:b/>
          <w:bCs/>
          <w:color w:val="000000" w:themeColor="text1"/>
          <w:sz w:val="32"/>
          <w:szCs w:val="32"/>
          <w:u w:val="none"/>
          <w:lang w:eastAsia="zh-CN"/>
          <w14:textFill>
            <w14:solidFill>
              <w14:schemeClr w14:val="tx1"/>
            </w14:solidFill>
          </w14:textFill>
        </w:rPr>
        <w:t>夯实现代渔业发展基础</w:t>
      </w:r>
      <w:r>
        <w:rPr>
          <w:rFonts w:hint="default" w:ascii="Times New Roman" w:hAnsi="Times New Roman" w:eastAsia="仿宋_GB2312" w:cs="Times New Roman"/>
          <w:b/>
          <w:bCs/>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14:textFill>
            <w14:solidFill>
              <w14:schemeClr w14:val="tx1"/>
            </w14:solidFill>
          </w14:textFill>
        </w:rPr>
        <w:t>建设智慧渔港、平安渔港、绿色渔港</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，促进渔港建管护良性循环，依港管船、管人、管</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渔</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获</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统筹推进渔港和渔区城镇建设</w:t>
      </w:r>
      <w:r>
        <w:rPr>
          <w:rFonts w:hint="default" w:ascii="Times New Roman" w:hAnsi="Times New Roman" w:eastAsia="仿宋_GB2312" w:cs="Times New Roman"/>
          <w:color w:val="000000" w:themeColor="text1"/>
          <w:sz w:val="32"/>
          <w:szCs w:val="32"/>
          <w:u w:val="none"/>
          <w14:textFill>
            <w14:solidFill>
              <w14:schemeClr w14:val="tx1"/>
            </w14:solidFill>
          </w14:textFill>
        </w:rPr>
        <w:t>，分批建设集渔船避风补给、渔货交易、冷链物流、精深加工等为一体的现代渔港经济区。</w:t>
      </w:r>
      <w:r>
        <w:rPr>
          <w:rFonts w:hint="default" w:ascii="Times New Roman" w:hAnsi="Times New Roman" w:eastAsia="仿宋_GB2312" w:cs="Times New Roman"/>
          <w:color w:val="000000" w:themeColor="text1"/>
          <w:sz w:val="32"/>
          <w:szCs w:val="32"/>
          <w:u w:val="none"/>
          <w:lang w:eastAsia="zh"/>
          <w14:textFill>
            <w14:solidFill>
              <w14:schemeClr w14:val="tx1"/>
            </w14:solidFill>
          </w14:textFill>
        </w:rPr>
        <w:t>持续</w:t>
      </w:r>
      <w:r>
        <w:rPr>
          <w:rFonts w:hint="default" w:ascii="Times New Roman" w:hAnsi="Times New Roman" w:eastAsia="仿宋_GB2312" w:cs="Times New Roman"/>
          <w:color w:val="000000" w:themeColor="text1"/>
          <w:sz w:val="32"/>
          <w:szCs w:val="32"/>
          <w:u w:val="none"/>
          <w14:textFill>
            <w14:solidFill>
              <w14:schemeClr w14:val="tx1"/>
            </w14:solidFill>
          </w14:textFill>
        </w:rPr>
        <w:t>实施渔船更新改造</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和</w:t>
      </w:r>
      <w:r>
        <w:rPr>
          <w:rFonts w:hint="default" w:ascii="Times New Roman" w:hAnsi="Times New Roman" w:eastAsia="仿宋_GB2312" w:cs="Times New Roman"/>
          <w:color w:val="000000" w:themeColor="text1"/>
          <w:sz w:val="32"/>
          <w:szCs w:val="32"/>
          <w:u w:val="none"/>
          <w14:textFill>
            <w14:solidFill>
              <w14:schemeClr w14:val="tx1"/>
            </w14:solidFill>
          </w14:textFill>
        </w:rPr>
        <w:t>减船转产</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工程，推动渔船</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绿色升级，支持新能源智能休闲渔船研发制造，提升渔船能效与安全水平。</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强化</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“三无”</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船舶执法监管，提高渔船管理成效，规</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范海上生产秩序。</w:t>
      </w:r>
      <w:r>
        <w:rPr>
          <w:rFonts w:hint="default" w:ascii="Times New Roman" w:hAnsi="Times New Roman" w:eastAsia="仿宋_GB2312" w:cs="Times New Roman"/>
          <w:color w:val="000000" w:themeColor="text1"/>
          <w:sz w:val="32"/>
          <w:szCs w:val="32"/>
          <w:u w:val="none"/>
          <w14:textFill>
            <w14:solidFill>
              <w14:schemeClr w14:val="tx1"/>
            </w14:solidFill>
          </w14:textFill>
        </w:rPr>
        <w:t>建设现代化海洋牧场，</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提升</w:t>
      </w:r>
      <w:r>
        <w:rPr>
          <w:rFonts w:hint="default" w:ascii="Times New Roman" w:hAnsi="Times New Roman" w:eastAsia="仿宋_GB2312" w:cs="Times New Roman"/>
          <w:color w:val="000000" w:themeColor="text1"/>
          <w:sz w:val="32"/>
          <w:szCs w:val="32"/>
          <w:u w:val="none"/>
          <w14:textFill>
            <w14:solidFill>
              <w14:schemeClr w14:val="tx1"/>
            </w14:solidFill>
          </w14:textFill>
        </w:rPr>
        <w:t>渔业资源</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养护能力</w:t>
      </w:r>
      <w:r>
        <w:rPr>
          <w:rFonts w:hint="default" w:ascii="Times New Roman" w:hAnsi="Times New Roman" w:eastAsia="仿宋_GB2312" w:cs="Times New Roman"/>
          <w:color w:val="000000" w:themeColor="text1"/>
          <w:sz w:val="32"/>
          <w:szCs w:val="32"/>
          <w:u w:val="none"/>
          <w14:textFill>
            <w14:solidFill>
              <w14:schemeClr w14:val="tx1"/>
            </w14:solidFill>
          </w14:textFill>
        </w:rPr>
        <w:t>。</w:t>
      </w:r>
    </w:p>
    <w:p>
      <w:pPr>
        <w:snapToGrid w:val="0"/>
        <w:spacing w:line="590" w:lineRule="exact"/>
        <w:ind w:firstLine="642" w:firstLineChars="200"/>
        <w:rPr>
          <w:rFonts w:hint="default" w:ascii="Times New Roman" w:hAnsi="Times New Roman" w:eastAsia="仿宋_GB2312" w:cs="Times New Roman"/>
          <w:i w:val="0"/>
          <w:caps w:val="0"/>
          <w:color w:val="000000" w:themeColor="text1"/>
          <w:spacing w:val="0"/>
          <w:kern w:val="2"/>
          <w:sz w:val="32"/>
          <w:szCs w:val="32"/>
          <w:u w:val="none"/>
          <w:shd w:val="clear" w:color="auto" w:fill="auto"/>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2"/>
          <w:sz w:val="32"/>
          <w:szCs w:val="32"/>
          <w:u w:val="none"/>
          <w:lang w:val="en-US" w:eastAsia="zh-CN" w:bidi="ar-SA"/>
          <w14:textFill>
            <w14:solidFill>
              <w14:schemeClr w14:val="tx1"/>
            </w14:solidFill>
          </w14:textFill>
        </w:rPr>
        <w:t>推动海水养殖绿色转型</w:t>
      </w:r>
      <w:r>
        <w:rPr>
          <w:rFonts w:hint="default" w:ascii="Times New Roman" w:hAnsi="Times New Roman" w:eastAsia="仿宋_GB2312" w:cs="Times New Roman"/>
          <w:b/>
          <w:bCs/>
          <w:i w:val="0"/>
          <w:caps w:val="0"/>
          <w:color w:val="000000" w:themeColor="text1"/>
          <w:spacing w:val="0"/>
          <w:kern w:val="2"/>
          <w:sz w:val="32"/>
          <w:szCs w:val="32"/>
          <w:u w:val="none"/>
          <w:shd w:val="clear" w:color="auto" w:fill="auto"/>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u w:val="none"/>
          <w:lang w:val="en-US" w:eastAsia="zh-CN" w:bidi="ar"/>
          <w14:textFill>
            <w14:solidFill>
              <w14:schemeClr w14:val="tx1"/>
            </w14:solidFill>
          </w14:textFill>
        </w:rPr>
        <w:t>严格落实生态保护红线等重要控制线管理要求，优化养殖水域滩涂规划和水产养殖空间布局，科学划定分区，严格执行分区管控。根据环境资源禀赋和承载力，坚持保护优先、绿色发展，按照限养区严格管控、养殖区集中布局、全行业逐步规范的要求，构建海水养殖产业发展新格局。清理整治违法违规养殖设施，推动违规占用砂质岸线和破坏海防林问题整治。出台海水养殖绿色发展规划，以海水养殖园区、连片养殖区为主要发展方向，科学论证布局，引导养殖项目集聚集约发展，集中规划建设取排水管道，有效规范取排水行为。研发推广养殖尾水治理模式，推动养殖尾水达标排放。</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552" w:name="_Toc1943"/>
      <w:bookmarkStart w:id="553" w:name="_Toc12676"/>
      <w:bookmarkStart w:id="554" w:name="_Toc4157"/>
      <w:bookmarkStart w:id="555" w:name="_Toc8183"/>
      <w:bookmarkStart w:id="556" w:name="_Toc8670"/>
      <w:bookmarkStart w:id="557" w:name="_Toc6993"/>
      <w:bookmarkStart w:id="558" w:name="_Toc22930"/>
      <w:bookmarkStart w:id="559" w:name="_Toc16129"/>
      <w:bookmarkStart w:id="560" w:name="_Toc20397"/>
      <w:bookmarkStart w:id="561" w:name="_Toc13964"/>
      <w:bookmarkStart w:id="562" w:name="_Toc2507"/>
      <w:bookmarkStart w:id="563" w:name="_Toc20579"/>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八、打造国际热带农产品加工中心</w:t>
      </w:r>
      <w:bookmarkEnd w:id="552"/>
      <w:bookmarkEnd w:id="553"/>
      <w:bookmarkEnd w:id="554"/>
      <w:bookmarkEnd w:id="555"/>
      <w:bookmarkEnd w:id="556"/>
      <w:bookmarkEnd w:id="557"/>
      <w:bookmarkEnd w:id="558"/>
      <w:bookmarkEnd w:id="559"/>
      <w:bookmarkEnd w:id="560"/>
      <w:bookmarkEnd w:id="561"/>
      <w:bookmarkEnd w:id="562"/>
      <w:bookmarkEnd w:id="563"/>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u w:val="none"/>
          <w14:textFill>
            <w14:solidFill>
              <w14:schemeClr w14:val="tx1"/>
            </w14:solidFill>
          </w14:textFill>
        </w:rPr>
        <w:t>发展</w:t>
      </w:r>
      <w:r>
        <w:rPr>
          <w:rFonts w:hint="default" w:ascii="Times New Roman" w:hAnsi="Times New Roman" w:eastAsia="仿宋_GB2312" w:cs="Times New Roman"/>
          <w:b/>
          <w:bCs/>
          <w:color w:val="000000" w:themeColor="text1"/>
          <w:sz w:val="32"/>
          <w:szCs w:val="32"/>
          <w:highlight w:val="none"/>
          <w:u w:val="none"/>
          <w:lang w:eastAsia="zh-CN"/>
          <w14:textFill>
            <w14:solidFill>
              <w14:schemeClr w14:val="tx1"/>
            </w14:solidFill>
          </w14:textFill>
        </w:rPr>
        <w:t>壮大</w:t>
      </w:r>
      <w:r>
        <w:rPr>
          <w:rFonts w:hint="default" w:ascii="Times New Roman" w:hAnsi="Times New Roman" w:eastAsia="仿宋_GB2312" w:cs="Times New Roman"/>
          <w:b/>
          <w:bCs/>
          <w:color w:val="000000" w:themeColor="text1"/>
          <w:sz w:val="32"/>
          <w:szCs w:val="32"/>
          <w:highlight w:val="none"/>
          <w:u w:val="none"/>
          <w14:textFill>
            <w14:solidFill>
              <w14:schemeClr w14:val="tx1"/>
            </w14:solidFill>
          </w14:textFill>
        </w:rPr>
        <w:t>国际农产品加工业。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发挥自贸港政策优势和区位优势，重点发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展“两头在外”</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型</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农产品加工业，</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通过“零关税”</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农产品进口</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与本地农产品结合</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，增强供应链稳定性，做大粮油、咖啡、椰子、坚果、肉制品、水产品等加工业。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针对本省农产品特色强、成本高、体量小等实际，重点发展清洗、分拣、分级、冷藏、保鲜、包装等产地初加工，进一步提高鲜活农产品品质。大力发展糟粕醋</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、椰子鸡、油茶、鹧鸪茶、大叶茶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等“土特产”</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，积极发展功能性食品、药品、日化产品等精深加工，打造</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“前店后厂”</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特色加工经营模式。</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优化全省农产品加工园区布局，完善水电气供应及环保处理设施，推动园区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差异化发展</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到2030年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农产品加工业产值与农业总产值之比提高至1.8</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rPr>
          <w:rFonts w:hint="default" w:ascii="Times New Roman" w:hAnsi="Times New Roman" w:eastAsia="楷体" w:cs="Times New Roman"/>
          <w:b/>
          <w:bCs/>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健全完善农产品冷链物流体系。</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创建洋浦国家骨干冷链物流基地，引育2-3家大型冷链物流企业落户运营。在6大省级物流园区布局建设农产品冷链物流设施。推动农产品冷链集配中心服务能力全域覆盖，加强田头预冷库、移动冷库等产地冷藏保鲜设施建设。</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加强冷链物流末端基础设施建设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在海口、三亚等城市建设</w:t>
      </w:r>
      <w:r>
        <w:rPr>
          <w:rFonts w:hint="eastAsia" w:ascii="仿宋_GB2312" w:hAnsi="仿宋_GB2312" w:eastAsia="仿宋_GB2312" w:cs="仿宋_GB2312"/>
          <w:color w:val="000000" w:themeColor="text1"/>
          <w:kern w:val="2"/>
          <w:sz w:val="32"/>
          <w:szCs w:val="32"/>
          <w:highlight w:val="none"/>
          <w:lang w:val="en-US" w:eastAsia="zh-CN" w:bidi="ar"/>
          <w14:textFill>
            <w14:solidFill>
              <w14:schemeClr w14:val="tx1"/>
            </w14:solidFill>
          </w14:textFill>
        </w:rPr>
        <w:t>“中央厨房+冷链仓</w:t>
      </w:r>
      <w:r>
        <w:rPr>
          <w:rFonts w:hint="eastAsia" w:ascii="仿宋_GB2312" w:hAnsi="仿宋_GB2312" w:eastAsia="仿宋_GB2312" w:cs="仿宋_GB2312"/>
          <w:color w:val="000000" w:themeColor="text1"/>
          <w:sz w:val="32"/>
          <w:szCs w:val="32"/>
          <w:highlight w:val="none"/>
          <w14:textFill>
            <w14:solidFill>
              <w14:schemeClr w14:val="tx1"/>
            </w14:solidFill>
          </w14:textFill>
        </w:rPr>
        <w:t>储+食材冷链配送”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项目</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到2030年</w:t>
      </w:r>
      <w:r>
        <w:rPr>
          <w:rFonts w:hint="eastAsia"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增设移动冷库500个、库容5万立方米。加快建设海南冷链物流公共服务数字平台，促进冷链物流数据互联共享，</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畅通农产品冷链进出岛通道</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564" w:name="_Toc15475"/>
      <w:bookmarkStart w:id="565" w:name="_Toc28727"/>
      <w:bookmarkStart w:id="566" w:name="_Toc30832"/>
      <w:bookmarkStart w:id="567" w:name="_Toc27963"/>
      <w:bookmarkStart w:id="568" w:name="_Toc31901"/>
      <w:bookmarkStart w:id="569" w:name="_Toc368"/>
      <w:bookmarkStart w:id="570" w:name="_Toc19790"/>
      <w:bookmarkStart w:id="571" w:name="_Toc15709"/>
      <w:bookmarkStart w:id="572" w:name="_Toc18501"/>
      <w:bookmarkStart w:id="573" w:name="_Toc9864"/>
      <w:bookmarkStart w:id="574" w:name="_Toc25965"/>
      <w:bookmarkStart w:id="575" w:name="_Toc23579"/>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九、打造一流乡村旅游目的地</w:t>
      </w:r>
      <w:bookmarkEnd w:id="564"/>
      <w:bookmarkEnd w:id="565"/>
      <w:bookmarkEnd w:id="566"/>
      <w:bookmarkEnd w:id="567"/>
      <w:bookmarkEnd w:id="568"/>
      <w:bookmarkEnd w:id="569"/>
      <w:bookmarkEnd w:id="570"/>
      <w:bookmarkEnd w:id="571"/>
      <w:bookmarkEnd w:id="572"/>
      <w:bookmarkEnd w:id="573"/>
      <w:bookmarkEnd w:id="574"/>
      <w:bookmarkEnd w:id="575"/>
    </w:p>
    <w:p>
      <w:pPr>
        <w:adjustRightInd w:val="0"/>
        <w:snapToGrid w:val="0"/>
        <w:spacing w:line="590" w:lineRule="exact"/>
        <w:ind w:firstLine="640" w:firstLineChars="200"/>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培育</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“农业+旅游”“农业+文创”“农业+康养”</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等新业态，打响海南乡村旅游和休闲农业品牌，推动</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农</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业从“卖原料”向“卖体验”</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转变。</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围绕</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“三极”构筑城市近郊乡村旅游圈，沿“双环”</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旅游公路打造</w:t>
      </w:r>
      <w:r>
        <w:rPr>
          <w:rFonts w:hint="default" w:ascii="Times New Roman" w:hAnsi="Times New Roman" w:eastAsia="仿宋_GB2312" w:cs="Times New Roman"/>
          <w:color w:val="000000" w:themeColor="text1"/>
          <w:sz w:val="32"/>
          <w:szCs w:val="32"/>
          <w:highlight w:val="none"/>
          <w:u w:val="none"/>
          <w:vertAlign w:val="baseline"/>
          <w:lang w:val="en-US" w:eastAsia="zh-CN"/>
          <w14:textFill>
            <w14:solidFill>
              <w14:schemeClr w14:val="tx1"/>
            </w14:solidFill>
          </w14:textFill>
        </w:rPr>
        <w:t>海洋和乡村旅游带</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，围绕大型景区、旅游度假区打造乡村旅游集聚区</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让农民</w:t>
      </w:r>
      <w:r>
        <w:rPr>
          <w:rFonts w:hint="eastAsia" w:ascii="仿宋_GB2312" w:hAnsi="仿宋_GB2312" w:eastAsia="仿宋_GB2312" w:cs="仿宋_GB2312"/>
          <w:color w:val="000000" w:themeColor="text1"/>
          <w:sz w:val="32"/>
          <w:szCs w:val="32"/>
          <w:highlight w:val="none"/>
          <w:u w:val="none"/>
          <w:lang w:val="en-US" w:eastAsia="zh-CN"/>
          <w14:textFill>
            <w14:solidFill>
              <w14:schemeClr w14:val="tx1"/>
            </w14:solidFill>
          </w14:textFill>
        </w:rPr>
        <w:t>吃上“旅游饭”“生态饭”</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深度</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开发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“夜游、夜购、夜娱、夜食”</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等夜间产品和服务，举办田园音乐会、篝火晚会、美食节、采摘季、露营节和军坡节、乡村排球、乡村武术等海南传统节庆和民间竞技活动，推出一批乡村旅游网红打卡地</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发展特色共享农庄</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，打造</w:t>
      </w:r>
      <w:r>
        <w:rPr>
          <w:rFonts w:hint="eastAsia" w:ascii="Times New Roman" w:hAnsi="Times New Roman" w:eastAsia="仿宋_GB2312"/>
          <w:color w:val="000000" w:themeColor="text1"/>
          <w:sz w:val="32"/>
          <w:szCs w:val="32"/>
          <w:highlight w:val="none"/>
          <w:u w:val="none"/>
          <w:lang w:val="en-US" w:eastAsia="zh-CN"/>
          <w14:textFill>
            <w14:solidFill>
              <w14:schemeClr w14:val="tx1"/>
            </w14:solidFill>
          </w14:textFill>
        </w:rPr>
        <w:t>乡村消费场所</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。培育特色鲜明的乡村旅游品牌民宿和乡村伴手礼。</w:t>
      </w:r>
    </w:p>
    <w:tbl>
      <w:tblPr>
        <w:tblStyle w:val="20"/>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0" w:type="dxa"/>
          <w:left w:w="128" w:type="dxa"/>
          <w:bottom w:w="80" w:type="dxa"/>
          <w:right w:w="128" w:type="dxa"/>
        </w:tblCellMar>
      </w:tblPr>
      <w:tblGrid>
        <w:gridCol w:w="8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tblHeader/>
          <w:jc w:val="center"/>
        </w:trPr>
        <w:tc>
          <w:tcPr>
            <w:tcW w:w="8788" w:type="dxa"/>
            <w:shd w:val="clear" w:color="auto" w:fill="BEBEBE" w:themeFill="background1" w:themeFillShade="BF"/>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Lines="-2147483648" w:afterLines="-2147483648" w:line="360" w:lineRule="auto"/>
              <w:ind w:firstLine="0" w:firstLineChars="0"/>
              <w:jc w:val="center"/>
              <w:textAlignment w:val="auto"/>
              <w:outlineLvl w:val="0"/>
              <w:rPr>
                <w:rFonts w:hint="default" w:ascii="Times New Roman" w:hAnsi="Times New Roman" w:cs="Times New Roman"/>
                <w:b/>
                <w:bCs/>
                <w:color w:val="000000" w:themeColor="text1"/>
                <w:sz w:val="24"/>
                <w:highlight w:val="none"/>
                <w:lang w:val="en-US" w:eastAsia="zh-CN"/>
                <w14:textFill>
                  <w14:solidFill>
                    <w14:schemeClr w14:val="tx1"/>
                  </w14:solidFill>
                </w14:textFill>
              </w:rPr>
            </w:pPr>
            <w:bookmarkStart w:id="576" w:name="_Toc14020"/>
            <w:bookmarkStart w:id="577" w:name="_Toc10799"/>
            <w:bookmarkStart w:id="578" w:name="_Toc27939"/>
            <w:bookmarkStart w:id="579" w:name="_Toc6160"/>
            <w:bookmarkStart w:id="580" w:name="_Toc13125"/>
            <w:bookmarkStart w:id="581" w:name="_Toc3198"/>
            <w:bookmarkStart w:id="582" w:name="_Toc514"/>
            <w:bookmarkStart w:id="583" w:name="_Toc11871"/>
            <w:bookmarkStart w:id="584" w:name="_Toc29953"/>
            <w:bookmarkStart w:id="585" w:name="_Toc21368"/>
            <w:r>
              <w:rPr>
                <w:rFonts w:hint="eastAsia" w:ascii="楷体" w:hAnsi="楷体" w:eastAsia="楷体" w:cs="楷体"/>
                <w:b w:val="0"/>
                <w:bCs/>
                <w:color w:val="000000"/>
                <w:sz w:val="28"/>
                <w:szCs w:val="28"/>
                <w:highlight w:val="none"/>
                <w:shd w:val="clear" w:color="auto" w:fill="FFFFFF"/>
              </w:rPr>
              <w:t>专栏</w:t>
            </w:r>
            <w:r>
              <w:rPr>
                <w:rFonts w:hint="eastAsia" w:ascii="楷体" w:hAnsi="楷体" w:eastAsia="楷体" w:cs="楷体"/>
                <w:b w:val="0"/>
                <w:bCs/>
                <w:color w:val="000000"/>
                <w:sz w:val="28"/>
                <w:szCs w:val="28"/>
                <w:highlight w:val="none"/>
                <w:shd w:val="clear" w:color="auto" w:fill="FFFFFF"/>
                <w:lang w:val="en-US" w:eastAsia="zh-CN"/>
              </w:rPr>
              <w:t>3</w:t>
            </w:r>
            <w:r>
              <w:rPr>
                <w:rFonts w:hint="eastAsia" w:ascii="楷体" w:hAnsi="楷体" w:eastAsia="楷体" w:cs="楷体"/>
                <w:b w:val="0"/>
                <w:bCs/>
                <w:color w:val="000000"/>
                <w:sz w:val="28"/>
                <w:szCs w:val="28"/>
                <w:highlight w:val="none"/>
                <w:shd w:val="clear" w:color="auto" w:fill="FFFFFF"/>
              </w:rPr>
              <w:t xml:space="preserve">  特色优势现代农业产业体系工程</w:t>
            </w:r>
            <w:bookmarkEnd w:id="576"/>
            <w:bookmarkEnd w:id="577"/>
            <w:bookmarkEnd w:id="578"/>
            <w:bookmarkEnd w:id="579"/>
            <w:bookmarkEnd w:id="580"/>
            <w:bookmarkEnd w:id="581"/>
            <w:bookmarkEnd w:id="582"/>
            <w:bookmarkEnd w:id="583"/>
            <w:bookmarkEnd w:id="584"/>
            <w:bookmarkEnd w:id="58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88" w:type="dxa"/>
            <w:shd w:val="clear" w:color="auto" w:fill="F1F1F1" w:themeFill="background1" w:themeFillShade="F2"/>
            <w:vAlign w:val="top"/>
          </w:tcPr>
          <w:p>
            <w:pPr>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Lines="-2147483648" w:afterLines="-2147483648" w:line="440" w:lineRule="exact"/>
              <w:ind w:firstLine="0" w:firstLineChars="0"/>
              <w:jc w:val="both"/>
              <w:textAlignment w:val="auto"/>
              <w:outlineLvl w:val="9"/>
              <w:rPr>
                <w:rFonts w:hint="eastAsia" w:ascii="楷体" w:hAnsi="楷体" w:eastAsia="楷体" w:cs="楷体"/>
                <w:b w:val="0"/>
                <w:bCs w:val="0"/>
                <w:color w:val="auto"/>
                <w:sz w:val="28"/>
                <w:szCs w:val="28"/>
                <w:highlight w:val="none"/>
                <w:u w:val="none"/>
                <w:shd w:val="clear" w:color="auto" w:fill="auto"/>
                <w:lang w:eastAsia="zh-CN" w:bidi="ar-SA"/>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01</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t>全方位</w:t>
            </w:r>
            <w:r>
              <w:rPr>
                <w:rFonts w:hint="eastAsia" w:ascii="楷体_GB2312" w:hAnsi="楷体_GB2312" w:eastAsia="楷体_GB2312" w:cs="楷体_GB2312"/>
                <w:b w:val="0"/>
                <w:bCs w:val="0"/>
                <w:color w:val="auto"/>
                <w:sz w:val="28"/>
                <w:szCs w:val="28"/>
                <w:highlight w:val="none"/>
                <w:u w:val="none"/>
                <w:shd w:val="clear" w:color="auto" w:fill="auto"/>
                <w:lang w:bidi="ar-SA"/>
              </w:rPr>
              <w:t>夯实粮食安全根基</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auto"/>
                <w:sz w:val="28"/>
                <w:szCs w:val="28"/>
                <w:highlight w:val="none"/>
                <w:u w:val="none"/>
                <w:shd w:val="clear" w:color="auto" w:fill="auto"/>
                <w:lang w:bidi="ar-SA"/>
              </w:rPr>
              <w:t>加强耕地种植用途管控，持续开展耕地“非农化”“非粮化”整治</w:t>
            </w:r>
            <w:r>
              <w:rPr>
                <w:rFonts w:hint="eastAsia" w:ascii="仿宋_GB2312" w:hAnsi="仿宋_GB2312" w:eastAsia="仿宋_GB2312" w:cs="仿宋_GB2312"/>
                <w:b w:val="0"/>
                <w:bCs w:val="0"/>
                <w:color w:val="auto"/>
                <w:sz w:val="28"/>
                <w:szCs w:val="28"/>
                <w:highlight w:val="none"/>
                <w:u w:val="none"/>
                <w:shd w:val="clear" w:color="auto" w:fill="auto"/>
                <w:lang w:eastAsia="zh-CN" w:bidi="ar-SA"/>
              </w:rPr>
              <w:t>。</w:t>
            </w:r>
            <w:r>
              <w:rPr>
                <w:rFonts w:hint="eastAsia" w:ascii="仿宋_GB2312" w:hAnsi="仿宋_GB2312" w:eastAsia="仿宋_GB2312" w:cs="仿宋_GB2312"/>
                <w:b w:val="0"/>
                <w:bCs w:val="0"/>
                <w:color w:val="auto"/>
                <w:sz w:val="28"/>
                <w:szCs w:val="28"/>
                <w:highlight w:val="none"/>
                <w:u w:val="none"/>
                <w:shd w:val="clear" w:color="auto" w:fill="auto"/>
                <w:lang w:val="en-US" w:eastAsia="zh-CN" w:bidi="ar-SA"/>
              </w:rPr>
              <w:t>实施</w:t>
            </w:r>
            <w:r>
              <w:rPr>
                <w:rFonts w:hint="eastAsia" w:ascii="仿宋_GB2312" w:hAnsi="仿宋_GB2312" w:eastAsia="仿宋_GB2312" w:cs="仿宋_GB2312"/>
                <w:b w:val="0"/>
                <w:bCs w:val="0"/>
                <w:color w:val="auto"/>
                <w:kern w:val="2"/>
                <w:sz w:val="28"/>
                <w:szCs w:val="28"/>
                <w:highlight w:val="none"/>
                <w:u w:val="none"/>
                <w:shd w:val="clear" w:color="auto" w:fill="auto"/>
                <w:lang w:val="en-US" w:eastAsia="zh-CN" w:bidi="ar-SA"/>
              </w:rPr>
              <w:t>新一轮粮食产能提升行动。打造水稻单产提升整建制推进县</w:t>
            </w:r>
            <w:r>
              <w:rPr>
                <w:rFonts w:hint="eastAsia" w:ascii="仿宋_GB2312" w:hAnsi="仿宋_GB2312" w:eastAsia="仿宋_GB2312" w:cs="仿宋_GB2312"/>
                <w:b w:val="0"/>
                <w:bCs w:val="0"/>
                <w:color w:val="auto"/>
                <w:sz w:val="28"/>
                <w:szCs w:val="28"/>
                <w:highlight w:val="none"/>
                <w:u w:val="none"/>
                <w:shd w:val="clear" w:color="auto" w:fill="auto"/>
                <w:lang w:bidi="ar-SA"/>
              </w:rPr>
              <w:t>。逐步把具备条件的永久基本农田建成高标准农田，完善建设、验收、管护机制。健全农业水利基础设施网络，打通灌渠到田间“最后一公里”</w:t>
            </w:r>
            <w:r>
              <w:rPr>
                <w:rFonts w:hint="eastAsia" w:ascii="仿宋_GB2312" w:hAnsi="仿宋_GB2312" w:eastAsia="仿宋_GB2312" w:cs="仿宋_GB2312"/>
                <w:b w:val="0"/>
                <w:bCs w:val="0"/>
                <w:color w:val="auto"/>
                <w:sz w:val="28"/>
                <w:szCs w:val="28"/>
                <w:highlight w:val="none"/>
                <w:u w:val="none"/>
                <w:shd w:val="clear" w:color="auto" w:fill="auto"/>
                <w:lang w:eastAsia="zh-CN" w:bidi="ar-SA"/>
              </w:rPr>
              <w:t>。</w:t>
            </w:r>
            <w:r>
              <w:rPr>
                <w:rFonts w:hint="eastAsia" w:ascii="仿宋_GB2312" w:hAnsi="仿宋_GB2312" w:eastAsia="仿宋_GB2312" w:cs="仿宋_GB2312"/>
                <w:color w:val="auto"/>
                <w:sz w:val="28"/>
                <w:szCs w:val="28"/>
                <w:highlight w:val="none"/>
                <w:u w:val="none"/>
                <w:shd w:val="clear" w:color="auto" w:fill="auto"/>
                <w:lang w:bidi="ar-SA"/>
              </w:rPr>
              <w:t>建设省级粮食储备库。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88" w:type="dxa"/>
            <w:shd w:val="clear" w:color="auto" w:fill="F1F1F1" w:themeFill="background1" w:themeFillShade="F2"/>
            <w:vAlign w:val="top"/>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0" w:leftChars="0" w:firstLine="0" w:firstLineChars="0"/>
              <w:textAlignment w:val="auto"/>
              <w:outlineLvl w:val="9"/>
              <w:rPr>
                <w:rFonts w:hint="eastAsia" w:ascii="楷体_GB2312" w:hAnsi="楷体_GB2312" w:eastAsia="楷体_GB2312" w:cs="楷体_GB2312"/>
                <w:b w:val="0"/>
                <w:bCs w:val="0"/>
                <w:color w:val="auto"/>
                <w:sz w:val="28"/>
                <w:szCs w:val="28"/>
                <w:highlight w:val="none"/>
                <w:u w:val="none"/>
                <w:shd w:val="clear" w:color="auto" w:fill="auto"/>
                <w:lang w:bidi="ar-SA"/>
              </w:rPr>
            </w:pPr>
            <w:r>
              <w:rPr>
                <w:rFonts w:hint="eastAsia" w:ascii="楷体" w:hAnsi="楷体" w:eastAsia="楷体" w:cs="楷体"/>
                <w:b w:val="0"/>
                <w:bCs w:val="0"/>
                <w:color w:val="auto"/>
                <w:sz w:val="28"/>
                <w:szCs w:val="28"/>
                <w:highlight w:val="none"/>
                <w:u w:val="none"/>
                <w:shd w:val="clear" w:color="auto" w:fill="auto"/>
                <w:lang w:val="en-US" w:eastAsia="zh-CN"/>
              </w:rPr>
              <w:t xml:space="preserve">02  </w:t>
            </w:r>
            <w:r>
              <w:rPr>
                <w:rFonts w:hint="eastAsia" w:ascii="楷体_GB2312" w:hAnsi="楷体_GB2312" w:eastAsia="楷体_GB2312" w:cs="楷体_GB2312"/>
                <w:b w:val="0"/>
                <w:bCs w:val="0"/>
                <w:color w:val="auto"/>
                <w:sz w:val="28"/>
                <w:szCs w:val="28"/>
                <w:highlight w:val="none"/>
                <w:u w:val="none"/>
                <w:shd w:val="clear" w:color="auto" w:fill="auto"/>
                <w:lang w:bidi="ar-SA"/>
              </w:rPr>
              <w:t>做精做优冬季瓜菜产业</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 w:val="0"/>
                <w:bCs w:val="0"/>
                <w:color w:val="auto"/>
                <w:sz w:val="28"/>
                <w:szCs w:val="28"/>
                <w:highlight w:val="none"/>
                <w:u w:val="none"/>
                <w:shd w:val="clear" w:color="auto" w:fill="auto"/>
                <w:lang w:bidi="ar-SA"/>
              </w:rPr>
              <w:t>实施瓜菜良种选育推广工</w:t>
            </w:r>
            <w:r>
              <w:rPr>
                <w:rFonts w:hint="default" w:ascii="Times New Roman" w:hAnsi="Times New Roman" w:eastAsia="仿宋_GB2312" w:cs="Times New Roman"/>
                <w:b w:val="0"/>
                <w:bCs w:val="0"/>
                <w:color w:val="auto"/>
                <w:sz w:val="28"/>
                <w:szCs w:val="28"/>
                <w:highlight w:val="none"/>
                <w:u w:val="none"/>
                <w:shd w:val="clear" w:color="auto" w:fill="auto"/>
                <w:lang w:bidi="ar-SA"/>
              </w:rPr>
              <w:t>程</w:t>
            </w:r>
            <w:r>
              <w:rPr>
                <w:rFonts w:hint="default" w:ascii="Times New Roman" w:hAnsi="Times New Roman" w:eastAsia="仿宋_GB2312" w:cs="Times New Roman"/>
                <w:b w:val="0"/>
                <w:bCs w:val="0"/>
                <w:color w:val="auto"/>
                <w:sz w:val="28"/>
                <w:szCs w:val="28"/>
                <w:highlight w:val="none"/>
                <w:u w:val="none"/>
                <w:shd w:val="clear" w:color="auto" w:fill="auto"/>
                <w:lang w:eastAsia="zh-CN" w:bidi="ar-SA"/>
              </w:rPr>
              <w:t>。</w:t>
            </w:r>
            <w:r>
              <w:rPr>
                <w:rFonts w:hint="default" w:ascii="Times New Roman" w:hAnsi="Times New Roman" w:eastAsia="仿宋_GB2312" w:cs="Times New Roman"/>
                <w:b w:val="0"/>
                <w:bCs w:val="0"/>
                <w:color w:val="auto"/>
                <w:sz w:val="28"/>
                <w:szCs w:val="28"/>
                <w:highlight w:val="none"/>
                <w:u w:val="none"/>
                <w:shd w:val="clear" w:color="auto" w:fill="auto"/>
                <w:lang w:val="en-US" w:eastAsia="zh-CN" w:bidi="ar-SA"/>
              </w:rPr>
              <w:t>开展</w:t>
            </w:r>
            <w:r>
              <w:rPr>
                <w:rFonts w:hint="default" w:ascii="Times New Roman" w:hAnsi="Times New Roman" w:eastAsia="仿宋_GB2312" w:cs="Times New Roman"/>
                <w:b w:val="0"/>
                <w:bCs w:val="0"/>
                <w:color w:val="auto"/>
                <w:sz w:val="28"/>
                <w:szCs w:val="28"/>
                <w:highlight w:val="none"/>
                <w:u w:val="none"/>
                <w:shd w:val="clear" w:color="auto" w:fill="auto"/>
                <w:lang w:bidi="ar-SA"/>
              </w:rPr>
              <w:t>常年蔬菜基地老旧基础设施改造升级行动</w:t>
            </w:r>
            <w:r>
              <w:rPr>
                <w:rFonts w:hint="default" w:ascii="Times New Roman" w:hAnsi="Times New Roman" w:eastAsia="仿宋_GB2312" w:cs="Times New Roman"/>
                <w:b w:val="0"/>
                <w:bCs w:val="0"/>
                <w:color w:val="auto"/>
                <w:sz w:val="28"/>
                <w:szCs w:val="28"/>
                <w:highlight w:val="none"/>
                <w:u w:val="none"/>
                <w:shd w:val="clear" w:color="auto" w:fill="auto"/>
                <w:lang w:eastAsia="zh-CN" w:bidi="ar-SA"/>
              </w:rPr>
              <w:t>。</w:t>
            </w:r>
            <w:r>
              <w:rPr>
                <w:rFonts w:hint="default" w:ascii="Times New Roman" w:hAnsi="Times New Roman" w:eastAsia="仿宋_GB2312" w:cs="Times New Roman"/>
                <w:color w:val="auto"/>
                <w:sz w:val="28"/>
                <w:szCs w:val="28"/>
                <w:highlight w:val="none"/>
                <w:u w:val="none"/>
                <w:shd w:val="clear" w:color="auto" w:fill="auto"/>
                <w:vertAlign w:val="baseline"/>
                <w:lang w:val="en-US" w:eastAsia="zh-CN" w:bidi="ar-SA"/>
              </w:rPr>
              <w:t>加强对供应海南市场</w:t>
            </w:r>
            <w:r>
              <w:rPr>
                <w:rFonts w:hint="eastAsia" w:ascii="仿宋_GB2312" w:hAnsi="仿宋_GB2312" w:eastAsia="仿宋_GB2312" w:cs="仿宋_GB2312"/>
                <w:color w:val="auto"/>
                <w:sz w:val="28"/>
                <w:szCs w:val="28"/>
                <w:highlight w:val="none"/>
                <w:u w:val="none"/>
                <w:shd w:val="clear" w:color="auto" w:fill="auto"/>
                <w:vertAlign w:val="baseline"/>
                <w:lang w:val="en-US" w:eastAsia="zh-CN" w:bidi="ar-SA"/>
              </w:rPr>
              <w:t>“菜篮子”</w:t>
            </w:r>
            <w:r>
              <w:rPr>
                <w:rFonts w:hint="default" w:ascii="Times New Roman" w:hAnsi="Times New Roman" w:eastAsia="仿宋_GB2312" w:cs="Times New Roman"/>
                <w:color w:val="auto"/>
                <w:sz w:val="28"/>
                <w:szCs w:val="28"/>
                <w:highlight w:val="none"/>
                <w:u w:val="none"/>
                <w:shd w:val="clear" w:color="auto" w:fill="auto"/>
                <w:vertAlign w:val="baseline"/>
                <w:lang w:val="en-US" w:eastAsia="zh-CN" w:bidi="ar-SA"/>
              </w:rPr>
              <w:t>产品生产规划安排</w:t>
            </w:r>
            <w:r>
              <w:rPr>
                <w:rFonts w:hint="default" w:ascii="Times New Roman" w:hAnsi="Times New Roman" w:eastAsia="仿宋_GB2312" w:cs="Times New Roman"/>
                <w:color w:val="auto"/>
                <w:sz w:val="28"/>
                <w:szCs w:val="28"/>
                <w:highlight w:val="none"/>
                <w:u w:val="none"/>
                <w:shd w:val="clear" w:color="auto" w:fill="auto"/>
                <w:lang w:eastAsia="zh-CN" w:bidi="ar-SA"/>
              </w:rPr>
              <w:t>。</w:t>
            </w:r>
            <w:r>
              <w:rPr>
                <w:rFonts w:hint="default" w:ascii="Times New Roman" w:hAnsi="Times New Roman" w:eastAsia="仿宋_GB2312" w:cs="Times New Roman"/>
                <w:b w:val="0"/>
                <w:bCs w:val="0"/>
                <w:color w:val="auto"/>
                <w:sz w:val="28"/>
                <w:szCs w:val="28"/>
                <w:highlight w:val="none"/>
                <w:u w:val="none"/>
                <w:shd w:val="clear" w:color="auto" w:fill="auto"/>
                <w:lang w:val="en-US" w:eastAsia="zh-CN" w:bidi="ar-SA"/>
              </w:rPr>
              <w:t>到2030年，</w:t>
            </w:r>
            <w:r>
              <w:rPr>
                <w:rFonts w:hint="default" w:ascii="Times New Roman" w:hAnsi="Times New Roman" w:eastAsia="仿宋_GB2312" w:cs="Times New Roman"/>
                <w:color w:val="auto"/>
                <w:sz w:val="28"/>
                <w:szCs w:val="28"/>
                <w:highlight w:val="none"/>
                <w:u w:val="none"/>
                <w:shd w:val="clear" w:color="auto" w:fill="auto"/>
                <w:lang w:val="en-US" w:eastAsia="zh-CN" w:bidi="ar-SA"/>
              </w:rPr>
              <w:t>全省冬季瓜菜种植生产面积稳定在280万亩。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88" w:type="dxa"/>
            <w:shd w:val="clear" w:color="auto" w:fill="F1F1F1" w:themeFill="background1" w:themeFillShade="F2"/>
            <w:vAlign w:val="top"/>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0" w:leftChars="0" w:firstLine="0" w:firstLineChars="0"/>
              <w:textAlignment w:val="auto"/>
              <w:outlineLvl w:val="9"/>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03</w:t>
            </w:r>
            <w:r>
              <w:rPr>
                <w:rFonts w:hint="eastAsia" w:ascii="楷体_GB2312" w:hAnsi="楷体_GB2312" w:eastAsia="楷体_GB2312" w:cs="楷体_GB2312"/>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t>做大做强热带优异水果产业</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仿宋_GB2312" w:cs="Times New Roman"/>
                <w:b w:val="0"/>
                <w:bCs w:val="0"/>
                <w:color w:val="auto"/>
                <w:sz w:val="28"/>
                <w:szCs w:val="28"/>
                <w:highlight w:val="none"/>
                <w:u w:val="none"/>
                <w:shd w:val="clear" w:color="auto" w:fill="auto"/>
                <w:lang w:val="en-US" w:eastAsia="zh-CN" w:bidi="ar-SA"/>
              </w:rPr>
              <w:t>建设热带水果品种展示园、热带果树良种（苗）繁育场；建设热带优异水果种质资源圃（库）和信息数据库；实施热带优异水果技术集成创新工程。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88" w:type="dxa"/>
            <w:shd w:val="clear" w:color="auto" w:fill="F1F1F1" w:themeFill="background1" w:themeFillShade="F2"/>
            <w:vAlign w:val="top"/>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0" w:leftChars="0" w:firstLine="0" w:firstLineChars="0"/>
              <w:textAlignment w:val="auto"/>
              <w:outlineLvl w:val="9"/>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pPr>
            <w:r>
              <w:rPr>
                <w:rFonts w:hint="eastAsia" w:ascii="楷体" w:hAnsi="楷体" w:eastAsia="楷体" w:cs="楷体"/>
                <w:b w:val="0"/>
                <w:bCs w:val="0"/>
                <w:color w:val="auto"/>
                <w:sz w:val="28"/>
                <w:szCs w:val="28"/>
                <w:highlight w:val="none"/>
                <w:u w:val="none"/>
                <w:shd w:val="clear" w:color="auto" w:fill="auto"/>
                <w:lang w:val="en-US" w:eastAsia="zh-CN"/>
              </w:rPr>
              <w:t xml:space="preserve">04  </w:t>
            </w:r>
            <w:r>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t>因地制宜发展热带作物产业</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仿宋_GB2312" w:cs="Times New Roman"/>
                <w:b w:val="0"/>
                <w:bCs w:val="0"/>
                <w:color w:val="auto"/>
                <w:sz w:val="28"/>
                <w:szCs w:val="28"/>
                <w:highlight w:val="none"/>
                <w:u w:val="none"/>
                <w:shd w:val="clear" w:color="auto" w:fill="auto"/>
                <w:lang w:val="en-US" w:eastAsia="zh-CN" w:bidi="ar-SA"/>
              </w:rPr>
              <w:t>建设生态高产胡椒园。打造海南国际咖啡专业化交易市场。打造</w:t>
            </w: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椰子产业集群。</w:t>
            </w:r>
            <w:r>
              <w:rPr>
                <w:rFonts w:hint="default" w:ascii="Times New Roman" w:hAnsi="Times New Roman" w:eastAsia="仿宋_GB2312" w:cs="Times New Roman"/>
                <w:b w:val="0"/>
                <w:bCs w:val="0"/>
                <w:color w:val="auto"/>
                <w:sz w:val="28"/>
                <w:szCs w:val="28"/>
                <w:highlight w:val="none"/>
                <w:u w:val="none"/>
                <w:shd w:val="clear" w:color="auto" w:fill="auto"/>
                <w:lang w:val="en-US" w:eastAsia="zh-CN" w:bidi="ar-SA"/>
              </w:rPr>
              <w:t>建设热带花卉育种中心与繁育基地；建设花卉精深加工基地和产业聚集区；实施道地中药材种质资源保护工程。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88" w:type="dxa"/>
            <w:shd w:val="clear" w:color="auto" w:fill="F1F1F1" w:themeFill="background1" w:themeFillShade="F2"/>
            <w:vAlign w:val="top"/>
          </w:tcPr>
          <w:p>
            <w:pPr>
              <w:widowControl w:val="0"/>
              <w:pBdr>
                <w:top w:val="none" w:color="auto" w:sz="0" w:space="0"/>
                <w:left w:val="none" w:color="auto" w:sz="0" w:space="0"/>
                <w:bottom w:val="none" w:color="auto" w:sz="0" w:space="0"/>
                <w:right w:val="none" w:color="auto" w:sz="0" w:space="0"/>
                <w:between w:val="none" w:color="auto" w:sz="0" w:space="0"/>
              </w:pBdr>
              <w:tabs>
                <w:tab w:val="left" w:pos="960"/>
              </w:tabs>
              <w:snapToGrid/>
              <w:spacing w:line="440" w:lineRule="exact"/>
              <w:ind w:left="0" w:leftChars="0" w:firstLine="0"/>
              <w:outlineLvl w:val="9"/>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pPr>
            <w:r>
              <w:rPr>
                <w:rFonts w:hint="eastAsia" w:ascii="楷体" w:hAnsi="楷体" w:eastAsia="楷体" w:cs="楷体"/>
                <w:b w:val="0"/>
                <w:bCs w:val="0"/>
                <w:color w:val="auto"/>
                <w:sz w:val="28"/>
                <w:szCs w:val="28"/>
                <w:highlight w:val="none"/>
                <w:u w:val="none"/>
                <w:shd w:val="clear" w:color="auto" w:fill="auto"/>
                <w:lang w:val="en-US" w:eastAsia="zh-CN"/>
              </w:rPr>
              <w:t xml:space="preserve">05  </w:t>
            </w:r>
            <w:r>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t>大力发展林业和林下经济</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eastAsia" w:ascii="楷体" w:hAnsi="楷体" w:eastAsia="楷体" w:cs="楷体"/>
                <w:b w:val="0"/>
                <w:bCs w:val="0"/>
                <w:color w:val="auto"/>
                <w:sz w:val="28"/>
                <w:szCs w:val="28"/>
                <w:highlight w:val="none"/>
                <w:u w:val="none"/>
                <w:shd w:val="clear" w:color="auto" w:fill="auto"/>
                <w:lang w:val="en-US" w:eastAsia="zh-CN"/>
              </w:rPr>
            </w:pP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推动发展</w:t>
            </w:r>
            <w:r>
              <w:rPr>
                <w:rFonts w:hint="eastAsia" w:ascii="仿宋_GB2312" w:hAnsi="仿宋_GB2312" w:eastAsia="仿宋_GB2312" w:cs="仿宋_GB2312"/>
                <w:b w:val="0"/>
                <w:bCs w:val="0"/>
                <w:color w:val="auto"/>
                <w:kern w:val="2"/>
                <w:sz w:val="28"/>
                <w:szCs w:val="28"/>
                <w:highlight w:val="none"/>
                <w:u w:val="none"/>
                <w:shd w:val="clear" w:color="auto" w:fill="auto"/>
                <w:lang w:val="en-US" w:eastAsia="zh-CN" w:bidi="ar-SA"/>
              </w:rPr>
              <w:t>“三棵树”</w:t>
            </w: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w:t>
            </w:r>
            <w:r>
              <w:rPr>
                <w:rFonts w:hint="default" w:ascii="Times New Roman" w:hAnsi="Times New Roman" w:eastAsia="仿宋_GB2312" w:cs="Times New Roman"/>
                <w:color w:val="auto"/>
                <w:kern w:val="2"/>
                <w:sz w:val="28"/>
                <w:szCs w:val="28"/>
                <w:highlight w:val="none"/>
                <w:u w:val="none"/>
                <w:shd w:val="clear" w:color="auto" w:fill="auto"/>
                <w:lang w:val="en-US" w:eastAsia="zh-CN" w:bidi="ar-SA"/>
              </w:rPr>
              <w:t>到2030年，推动沉香种植面积（含四旁树）达到20万亩以上，花梨种植面积（含四旁树）稳定在15万亩以上。</w:t>
            </w: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实施垦地融合10万亩胶园林下经济发展行动，</w:t>
            </w:r>
            <w:r>
              <w:rPr>
                <w:rFonts w:hint="default" w:ascii="Times New Roman" w:hAnsi="Times New Roman" w:eastAsia="仿宋_GB2312" w:cs="Times New Roman"/>
                <w:b w:val="0"/>
                <w:bCs w:val="0"/>
                <w:color w:val="auto"/>
                <w:sz w:val="28"/>
                <w:szCs w:val="28"/>
                <w:highlight w:val="none"/>
                <w:u w:val="none"/>
                <w:shd w:val="clear" w:color="auto" w:fill="auto"/>
                <w:lang w:val="en-US" w:eastAsia="zh-CN" w:bidi="ar-SA"/>
              </w:rPr>
              <w:t>建设一批林下经济生产、加工基地。建立林业电商交易平台。</w:t>
            </w:r>
            <w:r>
              <w:rPr>
                <w:rFonts w:hint="default" w:ascii="Times New Roman" w:hAnsi="Times New Roman" w:eastAsia="仿宋_GB2312" w:cs="Times New Roman"/>
                <w:color w:val="auto"/>
                <w:sz w:val="28"/>
                <w:szCs w:val="28"/>
                <w:highlight w:val="none"/>
                <w:u w:val="none"/>
                <w:shd w:val="clear" w:color="auto" w:fill="auto"/>
                <w:lang w:val="en-US" w:bidi="ar-SA"/>
              </w:rPr>
              <w:t>推进林业生态产品认证，完善认证标准体系</w:t>
            </w:r>
            <w:r>
              <w:rPr>
                <w:rFonts w:hint="default" w:ascii="Times New Roman" w:hAnsi="Times New Roman" w:eastAsia="仿宋_GB2312" w:cs="Times New Roman"/>
                <w:color w:val="auto"/>
                <w:sz w:val="28"/>
                <w:szCs w:val="28"/>
                <w:highlight w:val="none"/>
                <w:u w:val="none"/>
                <w:shd w:val="clear" w:color="auto" w:fill="auto"/>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88" w:type="dxa"/>
            <w:shd w:val="clear" w:color="auto" w:fill="F1F1F1" w:themeFill="background1" w:themeFillShade="F2"/>
            <w:vAlign w:val="top"/>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40" w:lineRule="exact"/>
              <w:ind w:firstLine="0" w:firstLineChars="0"/>
              <w:textAlignment w:val="auto"/>
              <w:outlineLvl w:val="9"/>
              <w:rPr>
                <w:rFonts w:hint="eastAsia" w:ascii="楷体_GB2312" w:hAnsi="楷体_GB2312" w:eastAsia="楷体_GB2312" w:cs="楷体_GB2312"/>
                <w:b w:val="0"/>
                <w:bCs w:val="0"/>
                <w:color w:val="auto"/>
                <w:sz w:val="28"/>
                <w:szCs w:val="28"/>
                <w:highlight w:val="none"/>
                <w:u w:val="none"/>
                <w:shd w:val="clear" w:color="auto" w:fill="auto"/>
                <w:lang w:bidi="ar-SA"/>
              </w:rPr>
            </w:pPr>
            <w:r>
              <w:rPr>
                <w:rFonts w:hint="eastAsia" w:ascii="楷体" w:hAnsi="楷体" w:eastAsia="楷体" w:cs="楷体"/>
                <w:b w:val="0"/>
                <w:bCs w:val="0"/>
                <w:color w:val="auto"/>
                <w:sz w:val="28"/>
                <w:szCs w:val="28"/>
                <w:highlight w:val="none"/>
                <w:u w:val="none"/>
                <w:shd w:val="clear" w:color="auto" w:fill="auto"/>
                <w:lang w:val="en-US" w:eastAsia="zh-CN"/>
              </w:rPr>
              <w:t>06</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 xml:space="preserve">  </w:t>
            </w:r>
            <w:r>
              <w:rPr>
                <w:rFonts w:hint="eastAsia" w:ascii="楷体_GB2312" w:hAnsi="楷体_GB2312" w:eastAsia="楷体_GB2312" w:cs="楷体_GB2312"/>
                <w:b w:val="0"/>
                <w:bCs w:val="0"/>
                <w:color w:val="auto"/>
                <w:sz w:val="28"/>
                <w:szCs w:val="28"/>
                <w:highlight w:val="none"/>
                <w:u w:val="none"/>
                <w:shd w:val="clear" w:color="auto" w:fill="auto"/>
                <w:lang w:bidi="ar-SA"/>
              </w:rPr>
              <w:t>推动畜禽产业高质量发展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eastAsia" w:ascii="楷体" w:hAnsi="楷体" w:eastAsia="楷体" w:cs="楷体"/>
                <w:b w:val="0"/>
                <w:bCs w:val="0"/>
                <w:color w:val="auto"/>
                <w:sz w:val="28"/>
                <w:szCs w:val="28"/>
                <w:highlight w:val="none"/>
                <w:u w:val="none"/>
                <w:shd w:val="clear" w:color="auto" w:fill="auto"/>
                <w:lang w:val="en-US" w:eastAsia="zh-CN"/>
              </w:rPr>
            </w:pPr>
            <w:r>
              <w:rPr>
                <w:rFonts w:hint="default" w:ascii="Times New Roman" w:hAnsi="Times New Roman" w:eastAsia="仿宋_GB2312" w:cs="Times New Roman"/>
                <w:b w:val="0"/>
                <w:bCs w:val="0"/>
                <w:color w:val="auto"/>
                <w:sz w:val="28"/>
                <w:szCs w:val="28"/>
                <w:highlight w:val="none"/>
                <w:u w:val="none"/>
                <w:shd w:val="clear" w:color="auto" w:fill="auto"/>
                <w:lang w:val="en-US" w:eastAsia="zh-CN" w:bidi="ar-SA"/>
              </w:rPr>
              <w:t>建设一批畜禽保种场和核心育种场。建设一批现代化畜牧设施养殖基地。推动海南省动物疫病防控指挥中心、海口动物隔离场和儋州市区域病死畜禽无害化处理中心等项目投入使用，改扩建市县级兽医实验室。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88" w:type="dxa"/>
            <w:shd w:val="clear" w:color="auto" w:fill="F1F1F1" w:themeFill="background1" w:themeFillShade="F2"/>
            <w:vAlign w:val="top"/>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40" w:lineRule="exact"/>
              <w:ind w:firstLine="0" w:firstLineChars="0"/>
              <w:textAlignment w:val="auto"/>
              <w:outlineLvl w:val="9"/>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pPr>
            <w:r>
              <w:rPr>
                <w:rFonts w:hint="eastAsia" w:ascii="楷体" w:hAnsi="楷体" w:eastAsia="楷体" w:cs="楷体"/>
                <w:b w:val="0"/>
                <w:bCs w:val="0"/>
                <w:color w:val="auto"/>
                <w:sz w:val="28"/>
                <w:szCs w:val="28"/>
                <w:highlight w:val="none"/>
                <w:u w:val="none"/>
                <w:shd w:val="clear" w:color="auto" w:fill="auto"/>
                <w:lang w:val="en-US" w:eastAsia="zh-CN"/>
              </w:rPr>
              <w:t xml:space="preserve">07  </w:t>
            </w:r>
            <w:r>
              <w:rPr>
                <w:rFonts w:hint="eastAsia" w:ascii="楷体_GB2312" w:hAnsi="楷体_GB2312" w:eastAsia="楷体_GB2312" w:cs="楷体_GB2312"/>
                <w:b w:val="0"/>
                <w:bCs w:val="0"/>
                <w:color w:val="auto"/>
                <w:kern w:val="2"/>
                <w:sz w:val="28"/>
                <w:szCs w:val="28"/>
                <w:highlight w:val="none"/>
                <w:u w:val="none"/>
                <w:shd w:val="clear" w:color="auto" w:fill="auto"/>
                <w:lang w:val="en-US" w:eastAsia="zh-CN" w:bidi="ar-SA"/>
              </w:rPr>
              <w:t>深化渔业“三走”转型</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eastAsia" w:ascii="楷体" w:hAnsi="楷体" w:eastAsia="楷体" w:cs="楷体"/>
                <w:b w:val="0"/>
                <w:bCs w:val="0"/>
                <w:color w:val="auto"/>
                <w:sz w:val="28"/>
                <w:szCs w:val="28"/>
                <w:highlight w:val="none"/>
                <w:u w:val="none"/>
                <w:shd w:val="clear" w:color="auto" w:fill="auto"/>
                <w:lang w:val="en-US" w:eastAsia="zh-CN"/>
              </w:rPr>
            </w:pP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建设东方市现代水产南繁种业产业园、昌江国家级现代农业产业园，</w:t>
            </w:r>
            <w:r>
              <w:rPr>
                <w:rFonts w:hint="default" w:ascii="Times New Roman" w:hAnsi="Times New Roman" w:eastAsia="仿宋_GB2312" w:cs="Times New Roman"/>
                <w:color w:val="auto"/>
                <w:sz w:val="28"/>
                <w:szCs w:val="28"/>
                <w:highlight w:val="none"/>
                <w:u w:val="none"/>
                <w:shd w:val="clear" w:color="auto" w:fill="auto"/>
                <w:lang w:bidi="ar-SA"/>
              </w:rPr>
              <w:t>提质升级文昌市冯家湾现代化渔业产业园</w:t>
            </w:r>
            <w:r>
              <w:rPr>
                <w:rFonts w:hint="default" w:ascii="Times New Roman" w:hAnsi="Times New Roman" w:eastAsia="仿宋_GB2312" w:cs="Times New Roman"/>
                <w:color w:val="auto"/>
                <w:sz w:val="28"/>
                <w:szCs w:val="28"/>
                <w:highlight w:val="none"/>
                <w:u w:val="none"/>
                <w:shd w:val="clear" w:color="auto" w:fill="auto"/>
                <w:lang w:eastAsia="zh-CN" w:bidi="ar-SA"/>
              </w:rPr>
              <w:t>。</w:t>
            </w: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完善陵水海洋水产南繁种业产业园、乐东海洋南繁种质产业园和儋州金雨海洋智慧渔业产业园等现代渔业产业园建设。建设国家级沿海渔港经济区</w:t>
            </w:r>
            <w:r>
              <w:rPr>
                <w:rFonts w:hint="default" w:ascii="Times New Roman" w:hAnsi="Times New Roman" w:eastAsia="仿宋_GB2312" w:cs="Times New Roman"/>
                <w:b w:val="0"/>
                <w:bCs w:val="0"/>
                <w:color w:val="auto"/>
                <w:kern w:val="2"/>
                <w:sz w:val="28"/>
                <w:szCs w:val="28"/>
                <w:highlight w:val="none"/>
                <w:u w:val="none"/>
                <w:shd w:val="clear" w:color="auto" w:fill="auto"/>
                <w:lang w:eastAsia="zh-CN" w:bidi="ar-SA"/>
              </w:rPr>
              <w:t>和重点渔港</w:t>
            </w: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10个以上，改造提升</w:t>
            </w:r>
            <w:r>
              <w:rPr>
                <w:rFonts w:hint="default" w:ascii="Times New Roman" w:hAnsi="Times New Roman" w:eastAsia="仿宋_GB2312" w:cs="Times New Roman"/>
                <w:color w:val="auto"/>
                <w:sz w:val="28"/>
                <w:szCs w:val="28"/>
                <w:highlight w:val="none"/>
                <w:u w:val="none"/>
                <w:shd w:val="clear" w:color="auto" w:fill="auto"/>
                <w:lang w:eastAsia="zh-CN" w:bidi="ar-SA"/>
              </w:rPr>
              <w:t>临高</w:t>
            </w:r>
            <w:r>
              <w:rPr>
                <w:rFonts w:hint="default" w:ascii="Times New Roman" w:hAnsi="Times New Roman" w:eastAsia="仿宋_GB2312" w:cs="Times New Roman"/>
                <w:color w:val="auto"/>
                <w:sz w:val="28"/>
                <w:szCs w:val="28"/>
                <w:highlight w:val="none"/>
                <w:u w:val="none"/>
                <w:shd w:val="clear" w:color="auto" w:fill="auto"/>
                <w:lang w:val="en-US" w:eastAsia="zh-CN" w:bidi="ar-SA"/>
              </w:rPr>
              <w:t>县</w:t>
            </w:r>
            <w:r>
              <w:rPr>
                <w:rFonts w:hint="default" w:ascii="Times New Roman" w:hAnsi="Times New Roman" w:eastAsia="仿宋_GB2312" w:cs="Times New Roman"/>
                <w:color w:val="auto"/>
                <w:sz w:val="28"/>
                <w:szCs w:val="28"/>
                <w:highlight w:val="none"/>
                <w:u w:val="none"/>
                <w:shd w:val="clear" w:color="auto" w:fill="auto"/>
                <w:lang w:eastAsia="zh-CN" w:bidi="ar-SA"/>
              </w:rPr>
              <w:t>新盈、陵水</w:t>
            </w:r>
            <w:r>
              <w:rPr>
                <w:rFonts w:hint="default" w:ascii="Times New Roman" w:hAnsi="Times New Roman" w:eastAsia="仿宋_GB2312" w:cs="Times New Roman"/>
                <w:color w:val="auto"/>
                <w:sz w:val="28"/>
                <w:szCs w:val="28"/>
                <w:highlight w:val="none"/>
                <w:u w:val="none"/>
                <w:shd w:val="clear" w:color="auto" w:fill="auto"/>
                <w:lang w:val="en-US" w:eastAsia="zh-CN" w:bidi="ar-SA"/>
              </w:rPr>
              <w:t>县</w:t>
            </w:r>
            <w:r>
              <w:rPr>
                <w:rFonts w:hint="default" w:ascii="Times New Roman" w:hAnsi="Times New Roman" w:eastAsia="仿宋_GB2312" w:cs="Times New Roman"/>
                <w:color w:val="auto"/>
                <w:sz w:val="28"/>
                <w:szCs w:val="28"/>
                <w:highlight w:val="none"/>
                <w:u w:val="none"/>
                <w:shd w:val="clear" w:color="auto" w:fill="auto"/>
                <w:lang w:eastAsia="zh-CN" w:bidi="ar-SA"/>
              </w:rPr>
              <w:t>新村、琼海</w:t>
            </w:r>
            <w:r>
              <w:rPr>
                <w:rFonts w:hint="default" w:ascii="Times New Roman" w:hAnsi="Times New Roman" w:eastAsia="仿宋_GB2312" w:cs="Times New Roman"/>
                <w:color w:val="auto"/>
                <w:sz w:val="28"/>
                <w:szCs w:val="28"/>
                <w:highlight w:val="none"/>
                <w:u w:val="none"/>
                <w:shd w:val="clear" w:color="auto" w:fill="auto"/>
                <w:lang w:val="en-US" w:eastAsia="zh-CN" w:bidi="ar-SA"/>
              </w:rPr>
              <w:t>市</w:t>
            </w:r>
            <w:r>
              <w:rPr>
                <w:rFonts w:hint="default" w:ascii="Times New Roman" w:hAnsi="Times New Roman" w:eastAsia="仿宋_GB2312" w:cs="Times New Roman"/>
                <w:color w:val="auto"/>
                <w:sz w:val="28"/>
                <w:szCs w:val="28"/>
                <w:highlight w:val="none"/>
                <w:u w:val="none"/>
                <w:shd w:val="clear" w:color="auto" w:fill="auto"/>
                <w:lang w:eastAsia="zh-CN" w:bidi="ar-SA"/>
              </w:rPr>
              <w:t>潭门、东方</w:t>
            </w:r>
            <w:r>
              <w:rPr>
                <w:rFonts w:hint="default" w:ascii="Times New Roman" w:hAnsi="Times New Roman" w:eastAsia="仿宋_GB2312" w:cs="Times New Roman"/>
                <w:color w:val="auto"/>
                <w:sz w:val="28"/>
                <w:szCs w:val="28"/>
                <w:highlight w:val="none"/>
                <w:u w:val="none"/>
                <w:shd w:val="clear" w:color="auto" w:fill="auto"/>
                <w:lang w:val="en-US" w:eastAsia="zh-CN" w:bidi="ar-SA"/>
              </w:rPr>
              <w:t>市</w:t>
            </w:r>
            <w:r>
              <w:rPr>
                <w:rFonts w:hint="default" w:ascii="Times New Roman" w:hAnsi="Times New Roman" w:eastAsia="仿宋_GB2312" w:cs="Times New Roman"/>
                <w:color w:val="auto"/>
                <w:sz w:val="28"/>
                <w:szCs w:val="28"/>
                <w:highlight w:val="none"/>
                <w:u w:val="none"/>
                <w:shd w:val="clear" w:color="auto" w:fill="auto"/>
                <w:lang w:eastAsia="zh-CN" w:bidi="ar-SA"/>
              </w:rPr>
              <w:t>感恩</w:t>
            </w:r>
            <w:r>
              <w:rPr>
                <w:rFonts w:hint="default" w:ascii="Times New Roman" w:hAnsi="Times New Roman" w:eastAsia="仿宋_GB2312" w:cs="Times New Roman"/>
                <w:color w:val="auto"/>
                <w:sz w:val="28"/>
                <w:szCs w:val="28"/>
                <w:highlight w:val="none"/>
                <w:u w:val="none"/>
                <w:shd w:val="clear" w:color="auto" w:fill="auto"/>
                <w:lang w:bidi="ar-SA"/>
              </w:rPr>
              <w:t>、昌江</w:t>
            </w:r>
            <w:r>
              <w:rPr>
                <w:rFonts w:hint="default" w:ascii="Times New Roman" w:hAnsi="Times New Roman" w:eastAsia="仿宋_GB2312" w:cs="Times New Roman"/>
                <w:color w:val="auto"/>
                <w:sz w:val="28"/>
                <w:szCs w:val="28"/>
                <w:highlight w:val="none"/>
                <w:u w:val="none"/>
                <w:shd w:val="clear" w:color="auto" w:fill="auto"/>
                <w:lang w:val="en-US" w:eastAsia="zh-CN" w:bidi="ar-SA"/>
              </w:rPr>
              <w:t>县</w:t>
            </w:r>
            <w:r>
              <w:rPr>
                <w:rFonts w:hint="default" w:ascii="Times New Roman" w:hAnsi="Times New Roman" w:eastAsia="仿宋_GB2312" w:cs="Times New Roman"/>
                <w:color w:val="auto"/>
                <w:sz w:val="28"/>
                <w:szCs w:val="28"/>
                <w:highlight w:val="none"/>
                <w:u w:val="none"/>
                <w:shd w:val="clear" w:color="auto" w:fill="auto"/>
                <w:lang w:bidi="ar-SA"/>
              </w:rPr>
              <w:t>海尾</w:t>
            </w: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等渔港。打造2个现代化海上牧场。建设部省共建渔业绿色发展先行区</w:t>
            </w:r>
            <w:r>
              <w:rPr>
                <w:rFonts w:hint="default" w:ascii="Times New Roman" w:hAnsi="Times New Roman" w:eastAsia="仿宋_GB2312" w:cs="Times New Roman"/>
                <w:b w:val="0"/>
                <w:bCs w:val="0"/>
                <w:color w:val="auto"/>
                <w:sz w:val="28"/>
                <w:szCs w:val="28"/>
                <w:highlight w:val="none"/>
                <w:u w:val="none"/>
                <w:shd w:val="clear" w:color="auto" w:fill="auto"/>
                <w:lang w:eastAsia="zh-CN" w:bidi="ar-SA"/>
              </w:rPr>
              <w:t>。</w:t>
            </w:r>
            <w:r>
              <w:rPr>
                <w:rFonts w:hint="default" w:ascii="Times New Roman" w:hAnsi="Times New Roman" w:eastAsia="仿宋_GB2312" w:cs="Times New Roman"/>
                <w:b w:val="0"/>
                <w:bCs w:val="0"/>
                <w:color w:val="auto"/>
                <w:sz w:val="28"/>
                <w:szCs w:val="28"/>
                <w:highlight w:val="none"/>
                <w:u w:val="none"/>
                <w:shd w:val="clear" w:color="auto" w:fill="auto"/>
                <w:lang w:bidi="ar-SA"/>
              </w:rPr>
              <w:t>建设三亚崖州渔港、陵水新村渔港、万宁乌场港等休闲渔业码头或休闲渔业接驳点</w:t>
            </w:r>
            <w:r>
              <w:rPr>
                <w:rFonts w:hint="default" w:ascii="Times New Roman" w:hAnsi="Times New Roman" w:eastAsia="仿宋_GB2312" w:cs="Times New Roman"/>
                <w:b w:val="0"/>
                <w:bCs w:val="0"/>
                <w:color w:val="auto"/>
                <w:sz w:val="28"/>
                <w:szCs w:val="28"/>
                <w:highlight w:val="none"/>
                <w:u w:val="none"/>
                <w:shd w:val="clear" w:color="auto" w:fill="auto"/>
                <w:lang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88" w:type="dxa"/>
            <w:shd w:val="clear" w:color="auto" w:fill="F1F1F1" w:themeFill="background1" w:themeFillShade="F2"/>
            <w:vAlign w:val="top"/>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40" w:lineRule="exact"/>
              <w:ind w:firstLine="0" w:firstLineChars="0"/>
              <w:textAlignment w:val="auto"/>
              <w:outlineLvl w:val="9"/>
              <w:rPr>
                <w:rFonts w:hint="default" w:ascii="Times New Roman" w:hAnsi="Times New Roman" w:cs="Times New Roman" w:eastAsiaTheme="minorEastAsia"/>
                <w:b/>
                <w:bCs/>
                <w:color w:val="000000" w:themeColor="text1"/>
                <w:sz w:val="24"/>
                <w:highlight w:val="none"/>
                <w:lang w:bidi="ar"/>
                <w14:textFill>
                  <w14:solidFill>
                    <w14:schemeClr w14:val="tx1"/>
                  </w14:solidFill>
                </w14:textFill>
              </w:rPr>
            </w:pPr>
            <w:r>
              <w:rPr>
                <w:rFonts w:hint="eastAsia" w:ascii="楷体" w:hAnsi="楷体" w:eastAsia="楷体" w:cs="楷体"/>
                <w:b w:val="0"/>
                <w:bCs w:val="0"/>
                <w:color w:val="auto"/>
                <w:sz w:val="28"/>
                <w:szCs w:val="28"/>
                <w:highlight w:val="none"/>
                <w:u w:val="none"/>
                <w:shd w:val="clear" w:color="auto" w:fill="auto"/>
                <w:lang w:val="en-US" w:eastAsia="zh-CN"/>
              </w:rPr>
              <w:t xml:space="preserve">08  </w:t>
            </w:r>
            <w:r>
              <w:rPr>
                <w:rFonts w:hint="eastAsia" w:ascii="楷体_GB2312" w:hAnsi="楷体_GB2312" w:eastAsia="楷体_GB2312" w:cs="楷体_GB2312"/>
                <w:b w:val="0"/>
                <w:bCs w:val="0"/>
                <w:color w:val="auto"/>
                <w:sz w:val="28"/>
                <w:szCs w:val="28"/>
                <w:highlight w:val="none"/>
                <w:u w:val="none"/>
                <w:shd w:val="clear" w:color="auto" w:fill="auto"/>
                <w:lang w:bidi="ar-SA"/>
              </w:rPr>
              <w:t>打造国际热带农产品加工中心</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eastAsia" w:ascii="Times New Roman" w:hAnsi="Times New Roman" w:cs="Times New Roman" w:eastAsiaTheme="minorEastAsia"/>
                <w:b/>
                <w:bCs/>
                <w:color w:val="000000" w:themeColor="text1"/>
                <w:sz w:val="24"/>
                <w:highlight w:val="none"/>
                <w:lang w:val="en-US" w:eastAsia="zh-CN" w:bidi="ar"/>
                <w14:textFill>
                  <w14:solidFill>
                    <w14:schemeClr w14:val="tx1"/>
                  </w14:solidFill>
                </w14:textFill>
              </w:rPr>
            </w:pPr>
            <w:r>
              <w:rPr>
                <w:rFonts w:hint="default" w:ascii="Times New Roman" w:hAnsi="Times New Roman" w:eastAsia="仿宋_GB2312" w:cs="Times New Roman"/>
                <w:b w:val="0"/>
                <w:bCs w:val="0"/>
                <w:color w:val="auto"/>
                <w:sz w:val="28"/>
                <w:szCs w:val="28"/>
                <w:highlight w:val="none"/>
                <w:u w:val="none"/>
                <w:shd w:val="clear" w:color="auto" w:fill="auto"/>
                <w:lang w:val="en-US" w:eastAsia="zh-CN" w:bidi="ar-SA"/>
              </w:rPr>
              <w:t>建设海南农产品岛外销售前置仓，打造国际农产品加工园和省际飞地经济产业园。建设国家骨干冷链物流基地和</w:t>
            </w:r>
            <w:r>
              <w:rPr>
                <w:rFonts w:hint="eastAsia" w:ascii="仿宋_GB2312" w:hAnsi="仿宋_GB2312" w:eastAsia="仿宋_GB2312" w:cs="仿宋_GB2312"/>
                <w:b w:val="0"/>
                <w:bCs w:val="0"/>
                <w:color w:val="auto"/>
                <w:sz w:val="28"/>
                <w:szCs w:val="28"/>
                <w:highlight w:val="none"/>
                <w:u w:val="none"/>
                <w:shd w:val="clear" w:color="auto" w:fill="auto"/>
                <w:lang w:val="en-US" w:eastAsia="zh-CN" w:bidi="ar-SA"/>
              </w:rPr>
              <w:t>“一站式”</w:t>
            </w:r>
            <w:r>
              <w:rPr>
                <w:rFonts w:hint="default" w:ascii="Times New Roman" w:hAnsi="Times New Roman" w:eastAsia="仿宋_GB2312" w:cs="Times New Roman"/>
                <w:b w:val="0"/>
                <w:bCs w:val="0"/>
                <w:color w:val="auto"/>
                <w:sz w:val="28"/>
                <w:szCs w:val="28"/>
                <w:highlight w:val="none"/>
                <w:u w:val="none"/>
                <w:shd w:val="clear" w:color="auto" w:fill="auto"/>
                <w:lang w:val="en-US" w:eastAsia="zh-CN" w:bidi="ar-SA"/>
              </w:rPr>
              <w:t>产品冷链集配中心。建设热带特色农产品精深加工基地。</w:t>
            </w: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引导长江经济带沿线地区工程机械、农产品加工、智能制造、低空经济等企业在海南设立出口加工基地。</w:t>
            </w:r>
            <w:r>
              <w:rPr>
                <w:rFonts w:hint="default" w:ascii="Times New Roman" w:hAnsi="Times New Roman" w:eastAsia="仿宋_GB2312" w:cs="Times New Roman"/>
                <w:b w:val="0"/>
                <w:bCs w:val="0"/>
                <w:color w:val="auto"/>
                <w:sz w:val="28"/>
                <w:szCs w:val="28"/>
                <w:highlight w:val="none"/>
                <w:u w:val="none"/>
                <w:shd w:val="clear" w:color="auto" w:fill="auto"/>
                <w:lang w:bidi="ar-SA"/>
              </w:rPr>
              <w:t>支持在</w:t>
            </w:r>
            <w:r>
              <w:rPr>
                <w:rFonts w:hint="default" w:ascii="Times New Roman" w:hAnsi="Times New Roman" w:eastAsia="仿宋_GB2312" w:cs="Times New Roman"/>
                <w:b w:val="0"/>
                <w:bCs w:val="0"/>
                <w:color w:val="auto"/>
                <w:sz w:val="28"/>
                <w:szCs w:val="28"/>
                <w:highlight w:val="none"/>
                <w:u w:val="none"/>
                <w:shd w:val="clear" w:color="auto" w:fill="auto"/>
                <w:lang w:val="en-US" w:eastAsia="zh-CN" w:bidi="ar-SA"/>
              </w:rPr>
              <w:t>省内、</w:t>
            </w:r>
            <w:r>
              <w:rPr>
                <w:rFonts w:hint="default" w:ascii="Times New Roman" w:hAnsi="Times New Roman" w:eastAsia="仿宋_GB2312" w:cs="Times New Roman"/>
                <w:b w:val="0"/>
                <w:bCs w:val="0"/>
                <w:color w:val="auto"/>
                <w:sz w:val="28"/>
                <w:szCs w:val="28"/>
                <w:highlight w:val="none"/>
                <w:u w:val="none"/>
                <w:shd w:val="clear" w:color="auto" w:fill="auto"/>
                <w:lang w:bidi="ar-SA"/>
              </w:rPr>
              <w:t>国外建立农产品原材料基地</w:t>
            </w: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。实施农产品加工经营主体培育行动。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88" w:type="dxa"/>
            <w:shd w:val="clear" w:color="auto" w:fill="F1F1F1" w:themeFill="background1" w:themeFillShade="F2"/>
            <w:vAlign w:val="top"/>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40" w:lineRule="exact"/>
              <w:ind w:firstLine="0" w:firstLineChars="0"/>
              <w:textAlignment w:val="auto"/>
              <w:outlineLvl w:val="9"/>
              <w:rPr>
                <w:rFonts w:hint="default" w:ascii="Times New Roman" w:hAnsi="Times New Roman" w:cs="Times New Roman"/>
                <w:b/>
                <w:bCs/>
                <w:color w:val="000000" w:themeColor="text1"/>
                <w:sz w:val="24"/>
                <w:highlight w:val="none"/>
                <w14:textFill>
                  <w14:solidFill>
                    <w14:schemeClr w14:val="tx1"/>
                  </w14:solidFill>
                </w14:textFill>
              </w:rPr>
            </w:pPr>
            <w:r>
              <w:rPr>
                <w:rFonts w:hint="eastAsia" w:ascii="楷体" w:hAnsi="楷体" w:eastAsia="楷体" w:cs="楷体"/>
                <w:b w:val="0"/>
                <w:bCs w:val="0"/>
                <w:color w:val="auto"/>
                <w:sz w:val="28"/>
                <w:szCs w:val="28"/>
                <w:highlight w:val="none"/>
                <w:u w:val="none"/>
                <w:shd w:val="clear" w:color="auto" w:fill="auto"/>
                <w:lang w:val="en-US" w:eastAsia="zh-CN"/>
              </w:rPr>
              <w:t xml:space="preserve">09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 xml:space="preserve"> </w:t>
            </w:r>
            <w:r>
              <w:rPr>
                <w:rFonts w:hint="eastAsia" w:ascii="楷体_GB2312" w:hAnsi="楷体_GB2312" w:eastAsia="楷体_GB2312" w:cs="楷体_GB2312"/>
                <w:b w:val="0"/>
                <w:bCs w:val="0"/>
                <w:color w:val="auto"/>
                <w:sz w:val="28"/>
                <w:szCs w:val="28"/>
                <w:highlight w:val="none"/>
                <w:u w:val="none"/>
                <w:shd w:val="clear" w:color="auto" w:fill="auto"/>
              </w:rPr>
              <w:t>打造一流乡村旅游目的地</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eastAsia" w:ascii="Times New Roman" w:hAnsi="Times New Roman" w:cs="Times New Roman"/>
                <w:b/>
                <w:bCs/>
                <w:color w:val="000000" w:themeColor="text1"/>
                <w:sz w:val="24"/>
                <w:highlight w:val="none"/>
                <w:lang w:val="en-US" w:eastAsia="zh-CN"/>
                <w14:textFill>
                  <w14:solidFill>
                    <w14:schemeClr w14:val="tx1"/>
                  </w14:solidFill>
                </w14:textFill>
              </w:rPr>
            </w:pP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建设环岛旅游公路、环热带雨林国家公园旅游公路沿线和美乡村风景线。</w:t>
            </w:r>
            <w:r>
              <w:rPr>
                <w:rFonts w:hint="default" w:ascii="Times New Roman" w:hAnsi="Times New Roman" w:eastAsia="仿宋_GB2312" w:cs="Times New Roman"/>
                <w:b w:val="0"/>
                <w:bCs w:val="0"/>
                <w:color w:val="auto"/>
                <w:sz w:val="28"/>
                <w:szCs w:val="28"/>
                <w:highlight w:val="none"/>
                <w:u w:val="none"/>
                <w:shd w:val="clear" w:color="auto" w:fill="auto"/>
                <w:lang w:eastAsia="zh-CN" w:bidi="ar-SA"/>
              </w:rPr>
              <w:t>创建具有品牌效益和地方特色的乡村旅游度假区</w:t>
            </w: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w:t>
            </w:r>
            <w:r>
              <w:rPr>
                <w:rFonts w:hint="default" w:ascii="Times New Roman" w:hAnsi="Times New Roman" w:eastAsia="仿宋_GB2312" w:cs="Times New Roman"/>
                <w:b w:val="0"/>
                <w:bCs w:val="0"/>
                <w:color w:val="auto"/>
                <w:sz w:val="28"/>
                <w:szCs w:val="28"/>
                <w:highlight w:val="none"/>
                <w:u w:val="none"/>
                <w:shd w:val="clear" w:color="auto" w:fill="auto"/>
                <w:lang w:eastAsia="zh-CN" w:bidi="ar-SA"/>
              </w:rPr>
              <w:t>打造金椰级共享农庄，</w:t>
            </w: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举办共享农庄大会。实施乡村旅游宣传推广行动，打造乡村旅游节庆品牌，</w:t>
            </w:r>
            <w:r>
              <w:rPr>
                <w:rFonts w:hint="default" w:ascii="Times New Roman" w:hAnsi="Times New Roman" w:eastAsia="仿宋_GB2312" w:cs="Times New Roman"/>
                <w:color w:val="auto"/>
                <w:sz w:val="28"/>
                <w:szCs w:val="28"/>
                <w:highlight w:val="none"/>
                <w:u w:val="none"/>
                <w:shd w:val="clear" w:color="auto" w:fill="auto"/>
                <w:lang w:eastAsia="zh-CN" w:bidi="ar-SA"/>
              </w:rPr>
              <w:t>持续</w:t>
            </w:r>
            <w:r>
              <w:rPr>
                <w:rFonts w:hint="eastAsia" w:ascii="仿宋_GB2312" w:hAnsi="仿宋_GB2312" w:eastAsia="仿宋_GB2312" w:cs="仿宋_GB2312"/>
                <w:color w:val="auto"/>
                <w:sz w:val="28"/>
                <w:szCs w:val="28"/>
                <w:highlight w:val="none"/>
                <w:u w:val="none"/>
                <w:shd w:val="clear" w:color="auto" w:fill="auto"/>
                <w:lang w:eastAsia="zh-CN" w:bidi="ar-SA"/>
              </w:rPr>
              <w:t>培育“村”系</w:t>
            </w:r>
            <w:r>
              <w:rPr>
                <w:rFonts w:hint="default" w:ascii="Times New Roman" w:hAnsi="Times New Roman" w:eastAsia="仿宋_GB2312" w:cs="Times New Roman"/>
                <w:color w:val="auto"/>
                <w:sz w:val="28"/>
                <w:szCs w:val="28"/>
                <w:highlight w:val="none"/>
                <w:u w:val="none"/>
                <w:shd w:val="clear" w:color="auto" w:fill="auto"/>
                <w:lang w:eastAsia="zh-CN" w:bidi="ar-SA"/>
              </w:rPr>
              <w:t>列品牌赛事活动</w:t>
            </w:r>
            <w:r>
              <w:rPr>
                <w:rFonts w:hint="default" w:ascii="Times New Roman" w:hAnsi="Times New Roman" w:eastAsia="仿宋_GB2312" w:cs="Times New Roman"/>
                <w:b w:val="0"/>
                <w:bCs w:val="0"/>
                <w:color w:val="auto"/>
                <w:kern w:val="2"/>
                <w:sz w:val="28"/>
                <w:szCs w:val="28"/>
                <w:highlight w:val="none"/>
                <w:u w:val="none"/>
                <w:shd w:val="clear" w:color="auto" w:fill="auto"/>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8" w:type="dxa"/>
            <w:bottom w:w="80" w:type="dxa"/>
            <w:right w:w="128" w:type="dxa"/>
          </w:tblCellMar>
        </w:tblPrEx>
        <w:trPr>
          <w:trHeight w:val="0" w:hRule="atLeast"/>
          <w:jc w:val="center"/>
        </w:trPr>
        <w:tc>
          <w:tcPr>
            <w:tcW w:w="8788" w:type="dxa"/>
            <w:shd w:val="clear" w:color="auto" w:fill="F1F1F1" w:themeFill="background1" w:themeFillShade="F2"/>
            <w:vAlign w:val="top"/>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40" w:lineRule="exact"/>
              <w:ind w:firstLine="0" w:firstLineChars="0"/>
              <w:textAlignment w:val="auto"/>
              <w:outlineLvl w:val="9"/>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sz w:val="28"/>
                <w:szCs w:val="28"/>
                <w:highlight w:val="none"/>
                <w:u w:val="none"/>
                <w:shd w:val="clear" w:color="auto" w:fill="auto"/>
                <w:lang w:val="en-US" w:eastAsia="zh-CN"/>
              </w:rPr>
              <w:t xml:space="preserve">10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推进农业产业融合发展</w:t>
            </w:r>
          </w:p>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default" w:ascii="Times New Roman" w:hAnsi="Times New Roman" w:eastAsia="仿宋_GB2312" w:cs="Times New Roman"/>
                <w:color w:val="auto"/>
                <w:sz w:val="28"/>
                <w:szCs w:val="28"/>
                <w:highlight w:val="none"/>
                <w:u w:val="none"/>
                <w:shd w:val="clear" w:color="auto" w:fill="auto"/>
                <w:lang w:val="en-US" w:eastAsia="zh-CN"/>
              </w:rPr>
              <w:t>梯次创建现代农业产业园、优势特色产业集群、农业产业强镇。开展国家乡村振兴示范县、国家农业现代化示范区创建工作。打造海洋渔业和农产品加工千亿级产业集群，南繁种业、文昌鸡、冬季瓜菜、芒果、凤梨、林下经济、天然橡胶等百亿级产业集群。</w:t>
            </w:r>
          </w:p>
        </w:tc>
      </w:tr>
    </w:tbl>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586" w:name="_Toc6796"/>
      <w:bookmarkStart w:id="587" w:name="_Toc1005"/>
      <w:bookmarkStart w:id="588" w:name="_Toc1742"/>
      <w:bookmarkStart w:id="589" w:name="_Toc14154"/>
      <w:bookmarkStart w:id="590" w:name="_Toc26383"/>
      <w:bookmarkStart w:id="591" w:name="_Toc28293"/>
      <w:bookmarkStart w:id="592" w:name="_Toc11702"/>
      <w:bookmarkStart w:id="593" w:name="_Toc23552"/>
      <w:bookmarkStart w:id="594" w:name="_Toc22549"/>
      <w:bookmarkStart w:id="595" w:name="_Toc18479"/>
      <w:bookmarkStart w:id="596" w:name="_Toc19962"/>
      <w:bookmarkStart w:id="597" w:name="_Toc12914"/>
      <w:bookmarkStart w:id="598" w:name="_Toc29843"/>
      <w:bookmarkStart w:id="599" w:name="_Toc30909"/>
      <w:bookmarkStart w:id="600" w:name="_Toc1633"/>
      <w:r>
        <w:rPr>
          <w:rFonts w:hint="default" w:ascii="Times New Roman" w:hAnsi="Times New Roman" w:eastAsia="黑体" w:cs="Times New Roman"/>
          <w:color w:val="000000" w:themeColor="text1"/>
          <w:sz w:val="32"/>
          <w:szCs w:val="32"/>
          <w:highlight w:val="none"/>
          <w14:textFill>
            <w14:solidFill>
              <w14:schemeClr w14:val="tx1"/>
            </w14:solidFill>
          </w14:textFill>
        </w:rPr>
        <w:t>第二节 打造绿色高效现代农业生产体系</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601" w:name="_Toc19907"/>
      <w:bookmarkStart w:id="602" w:name="_Toc23018"/>
      <w:bookmarkStart w:id="603" w:name="_Toc25555"/>
      <w:bookmarkStart w:id="604" w:name="_Toc17186"/>
      <w:bookmarkStart w:id="605" w:name="_Toc12651"/>
      <w:bookmarkStart w:id="606" w:name="_Toc24988"/>
      <w:bookmarkStart w:id="607" w:name="_Toc29943"/>
      <w:bookmarkStart w:id="608" w:name="_Toc27147"/>
      <w:bookmarkStart w:id="609" w:name="_Toc12121"/>
      <w:bookmarkStart w:id="610" w:name="_Toc31424"/>
      <w:bookmarkStart w:id="611" w:name="_Toc23651"/>
      <w:bookmarkStart w:id="612" w:name="_Toc2776"/>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一、加快发展现代设施农业</w:t>
      </w:r>
      <w:bookmarkEnd w:id="601"/>
      <w:bookmarkEnd w:id="602"/>
      <w:bookmarkEnd w:id="603"/>
      <w:bookmarkEnd w:id="604"/>
      <w:bookmarkEnd w:id="605"/>
      <w:bookmarkEnd w:id="606"/>
      <w:bookmarkEnd w:id="607"/>
      <w:bookmarkEnd w:id="608"/>
      <w:bookmarkEnd w:id="609"/>
      <w:bookmarkEnd w:id="610"/>
      <w:bookmarkEnd w:id="611"/>
      <w:bookmarkEnd w:id="612"/>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以节能宜机为重点</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推进现代设施种植业</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高质量发展</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创建8个千亩标准化蔬菜生产基地</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改造提升10万亩种植业老旧设施。</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以高效集约为重点</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推进现代设施畜牧业</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提质增效</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创建一批现代化高标准畜牧设施养殖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示范</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基地，</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新增建设或改造升级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3个</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年出栏5</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万头以上的生猪高效设施养殖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示范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场</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2个家禽</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立体化设施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养殖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示范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场</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肉牛</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肉羊</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集约化设施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养殖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示范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场各1</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个</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以生态健康为重点</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推进现代设施渔业</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绿色转型</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发展一批深远海大型智能化养殖渔场，</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建设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一批</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设施渔业养殖场</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和</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工厂化养殖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项目。</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以减损增效为重点</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推进烘干设施建设</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新扩改建一批粮食烘干中心（点），加快老旧烘干设备升级改造</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613" w:name="_Toc10198"/>
      <w:bookmarkStart w:id="614" w:name="_Toc16477"/>
      <w:bookmarkStart w:id="615" w:name="_Toc24647"/>
      <w:bookmarkStart w:id="616" w:name="_Toc3287"/>
      <w:bookmarkStart w:id="617" w:name="_Toc31786"/>
      <w:bookmarkStart w:id="618" w:name="_Toc14858"/>
      <w:bookmarkStart w:id="619" w:name="_Toc3054"/>
      <w:bookmarkStart w:id="620" w:name="_Toc14089"/>
      <w:bookmarkStart w:id="621" w:name="_Toc25374"/>
      <w:bookmarkStart w:id="622" w:name="_Toc7113"/>
      <w:bookmarkStart w:id="623" w:name="_Toc10591"/>
      <w:bookmarkStart w:id="624" w:name="_Toc5169"/>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二、大力发展智慧农业</w:t>
      </w:r>
      <w:bookmarkEnd w:id="613"/>
      <w:bookmarkEnd w:id="614"/>
      <w:bookmarkEnd w:id="615"/>
      <w:bookmarkEnd w:id="616"/>
      <w:bookmarkEnd w:id="617"/>
      <w:bookmarkEnd w:id="618"/>
      <w:bookmarkEnd w:id="619"/>
      <w:bookmarkEnd w:id="620"/>
      <w:bookmarkEnd w:id="621"/>
      <w:bookmarkEnd w:id="622"/>
      <w:bookmarkEnd w:id="623"/>
      <w:bookmarkEnd w:id="624"/>
    </w:p>
    <w:p>
      <w:pPr>
        <w:keepNext w:val="0"/>
        <w:keepLines w:val="0"/>
        <w:pageBreakBefore w:val="0"/>
        <w:widowControl w:val="0"/>
        <w:kinsoku/>
        <w:wordWrap/>
        <w:overflowPunct/>
        <w:topLinePunct w:val="0"/>
        <w:autoSpaceDE/>
        <w:autoSpaceDN/>
        <w:bidi w:val="0"/>
        <w:adjustRightIn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推动海南数</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字</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“三农”</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服务平台迭代升级</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加强与AI技术深度融合。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分类推进海南农业农村</w:t>
      </w:r>
      <w:r>
        <w:rPr>
          <w:rFonts w:hint="eastAsia" w:ascii="仿宋_GB2312" w:hAnsi="仿宋_GB2312" w:eastAsia="仿宋_GB2312" w:cs="仿宋_GB2312"/>
          <w:color w:val="000000" w:themeColor="text1"/>
          <w:sz w:val="32"/>
          <w:szCs w:val="32"/>
          <w:highlight w:val="none"/>
          <w14:textFill>
            <w14:solidFill>
              <w14:schemeClr w14:val="tx1"/>
            </w14:solidFill>
          </w14:textFill>
        </w:rPr>
        <w:t>“一张图”</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建设，完善资源类、产业类、渔业类、农业企业类等</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关键</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图层内容。</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健全农业农村数据共享制度，创新数据要素开发利用机制。推动热带特色高效农业全产业链数字化转型</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支持</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“链主”</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企业、龙头企业开展农产品智能加工车间建设。</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推动三亚、陵水等重点市县</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高标准</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建设热带特色智慧农业引领区，</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打造一批智慧育种、智慧种养</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基地</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农产品智能加工、</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农业智慧</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供应链</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等应用场景，</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累计建成</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30个</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省级</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智慧农（牧、渔）场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625" w:name="_Toc2446"/>
      <w:bookmarkStart w:id="626" w:name="_Toc20765"/>
      <w:bookmarkStart w:id="627" w:name="_Toc12559"/>
      <w:bookmarkStart w:id="628" w:name="_Toc28609"/>
      <w:bookmarkStart w:id="629" w:name="_Toc30337"/>
      <w:bookmarkStart w:id="630" w:name="_Toc14811"/>
      <w:bookmarkStart w:id="631" w:name="_Toc21356"/>
      <w:bookmarkStart w:id="632" w:name="_Toc25491"/>
      <w:bookmarkStart w:id="633" w:name="_Toc3250"/>
      <w:bookmarkStart w:id="634" w:name="_Toc22970"/>
      <w:bookmarkStart w:id="635" w:name="_Toc25657"/>
      <w:bookmarkStart w:id="636" w:name="_Toc20802"/>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三、积极发展绿色农业</w:t>
      </w:r>
      <w:bookmarkEnd w:id="625"/>
      <w:bookmarkEnd w:id="626"/>
      <w:bookmarkEnd w:id="627"/>
      <w:bookmarkEnd w:id="628"/>
      <w:bookmarkEnd w:id="629"/>
      <w:bookmarkEnd w:id="630"/>
      <w:bookmarkEnd w:id="631"/>
      <w:bookmarkEnd w:id="632"/>
      <w:bookmarkEnd w:id="633"/>
      <w:bookmarkEnd w:id="634"/>
      <w:bookmarkEnd w:id="635"/>
      <w:bookmarkEnd w:id="636"/>
    </w:p>
    <w:p>
      <w:pPr>
        <w:pStyle w:val="11"/>
        <w:keepNext w:val="0"/>
        <w:keepLines w:val="0"/>
        <w:pageBreakBefore w:val="0"/>
        <w:widowControl w:val="0"/>
        <w:kinsoku/>
        <w:wordWrap/>
        <w:overflowPunct/>
        <w:topLinePunct w:val="0"/>
        <w:autoSpaceDE/>
        <w:autoSpaceDN/>
        <w:bidi w:val="0"/>
        <w:adjustRightInd/>
        <w:spacing w:line="590" w:lineRule="exact"/>
        <w:ind w:firstLine="640" w:firstLineChars="200"/>
        <w:jc w:val="both"/>
        <w:textAlignment w:val="auto"/>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推动海水养殖绿色转型，优化全省养殖水域滩涂规划和水产养殖空间布局，清理整治违法违规水产养殖设施，引导养殖项目集聚集约发展，集中规划建设取排水管道，研发推广养殖尾水治理模式，推动养殖尾水达标排放。实施</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“田园清洁”</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工程，加快建立农用废塑料回收体系，做好农业塑料废弃物减量使用和回收利用。实施化学农药减量控害、化肥减量增效行动，推进测土配方施肥，强化绿色防控技术应用，集成推广一批环境友好型技术措施。推进饲料兽药使用减量增效，实施兽用抗菌药使用减量化行动。开展无规定水生动物疫病苗种场创建，推进水产养殖用药减量。实施畜禽粪污资源化利用项目，</w:t>
      </w:r>
      <w:r>
        <w:rPr>
          <w:rFonts w:hint="eastAsia" w:ascii="仿宋_GB2312" w:hAnsi="仿宋_GB2312" w:eastAsia="仿宋_GB2312" w:cs="仿宋_GB2312"/>
          <w:color w:val="000000" w:themeColor="text1"/>
          <w:sz w:val="32"/>
          <w:szCs w:val="32"/>
          <w:u w:val="none"/>
          <w14:textFill>
            <w14:solidFill>
              <w14:schemeClr w14:val="tx1"/>
            </w14:solidFill>
          </w14:textFill>
        </w:rPr>
        <w:t>集成推广畜禽粪肥还田利用等技术模式，促进种养结合、生态循环</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14:textFill>
            <w14:solidFill>
              <w14:schemeClr w14:val="tx1"/>
            </w14:solidFill>
          </w14:textFill>
        </w:rPr>
        <w:t>推动秸秆离田利用，强化秸秆收集、储运、加工、利用等全产业链开发，培育一批秸秆收储和利用主体，大力发展食用菌基质、成型燃料等产业，加快推进秸秆饲料化利用。</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637" w:name="_Toc12552"/>
      <w:bookmarkStart w:id="638" w:name="_Toc13108"/>
      <w:bookmarkStart w:id="639" w:name="_Toc16298"/>
      <w:bookmarkStart w:id="640" w:name="_Toc16188"/>
      <w:bookmarkStart w:id="641" w:name="_Toc13695"/>
      <w:bookmarkStart w:id="642" w:name="_Toc23732"/>
      <w:bookmarkStart w:id="643" w:name="_Toc30613"/>
      <w:bookmarkStart w:id="644" w:name="_Toc718"/>
      <w:bookmarkStart w:id="645" w:name="_Toc6735"/>
      <w:bookmarkStart w:id="646" w:name="_Toc5896"/>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四、统筹发展品牌农业</w:t>
      </w:r>
      <w:bookmarkEnd w:id="637"/>
      <w:bookmarkEnd w:id="638"/>
      <w:bookmarkEnd w:id="639"/>
      <w:bookmarkEnd w:id="640"/>
      <w:bookmarkEnd w:id="641"/>
      <w:bookmarkEnd w:id="642"/>
      <w:bookmarkEnd w:id="643"/>
      <w:bookmarkEnd w:id="644"/>
    </w:p>
    <w:bookmarkEnd w:id="645"/>
    <w:bookmarkEnd w:id="646"/>
    <w:p>
      <w:pPr>
        <w:keepNext w:val="0"/>
        <w:keepLines w:val="0"/>
        <w:pageBreakBefore w:val="0"/>
        <w:widowControl w:val="0"/>
        <w:kinsoku/>
        <w:wordWrap/>
        <w:overflowPunct/>
        <w:topLinePunct w:val="0"/>
        <w:autoSpaceDE/>
        <w:autoSpaceDN/>
        <w:bidi w:val="0"/>
        <w:adjustRightInd/>
        <w:spacing w:line="590" w:lineRule="exact"/>
        <w:ind w:firstLine="640" w:firstLineChars="200"/>
        <w:textAlignment w:val="auto"/>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实施</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“海南鲜品”</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农业品牌提升行动，推进品牌管理机制优化、市场主体培育、</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“标准+认证”</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升级、深化品牌营销、品牌保护宣传等五大工程，推动品牌实现</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lang w:eastAsia="zh-CN" w:bidi="ar-SA"/>
          <w14:textFill>
            <w14:solidFill>
              <w14:schemeClr w14:val="tx1"/>
            </w14:solidFill>
          </w14:textFill>
        </w:rPr>
        <w:t>往</w:t>
      </w:r>
      <w:r>
        <w:rPr>
          <w:rFonts w:hint="default" w:ascii="Times New Roman" w:hAnsi="Times New Roman" w:eastAsia="仿宋_GB2312" w:cs="Times New Roman"/>
          <w:color w:val="000000" w:themeColor="text1"/>
          <w:kern w:val="2"/>
          <w:sz w:val="32"/>
          <w:szCs w:val="32"/>
          <w:highlight w:val="none"/>
          <w:lang w:eastAsia="zh-CN" w:bidi="ar-SA"/>
          <w14:textFill>
            <w14:solidFill>
              <w14:schemeClr w14:val="tx1"/>
            </w14:solidFill>
          </w14:textFill>
        </w:rPr>
        <w:t>高端走、往线上走、往海外走</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。整合茶叶、文昌鸡、</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“三鱼一虾一螺”</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等特色农业资源，大力发展糟粕醋等</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“土特产”</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健全</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以“海南鲜品”</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为统领</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，以</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区域公用品牌</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企业品牌为</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重点</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的</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农业</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品牌矩阵</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，提升品牌溢价能力</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。加快培育一批本土农产品贸易龙头企业，推</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动“产加销”</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贯通。完善农产品品牌目录制度，规范农产品区域公用品牌管理。多渠道开展品牌宣传营销，推动</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“海南鲜品”国</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际化发展。到2030年，认定</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“海南鲜品”</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子品牌100个以上，遴选10个单</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产业</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区域公用品牌、20个企业品牌和30个产品品牌纳入培育目录，</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推动</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2个区域公用品牌国际化。</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647" w:name="_Toc24149"/>
      <w:bookmarkStart w:id="648" w:name="_Toc25247"/>
      <w:bookmarkStart w:id="649" w:name="_Toc29049"/>
      <w:bookmarkStart w:id="650" w:name="_Toc20583"/>
      <w:bookmarkStart w:id="651" w:name="_Toc25749"/>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五、稳步发展质量农业</w:t>
      </w:r>
      <w:bookmarkEnd w:id="647"/>
      <w:bookmarkEnd w:id="648"/>
      <w:bookmarkEnd w:id="649"/>
      <w:bookmarkEnd w:id="650"/>
      <w:bookmarkEnd w:id="651"/>
    </w:p>
    <w:p>
      <w:pPr>
        <w:spacing w:line="59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完善农业全产业链标准体系建设，研究制定一批农产品全产业链标准综合体。深入实施农业生产</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“三品一标”</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提升行动，推行食用农产品达标合格证制度，完善相关认证审核流程和技术规范。加强农产品质量安全智慧监管平台建设，探索信用监管应用场景，构建从田间到餐桌的溯源体系。健全农产品质量安全检测体系，加强基层农产品质量安全监管能力建设，优化区域性农产品检测中心布局</w:t>
      </w:r>
      <w:r>
        <w:rPr>
          <w:rFonts w:hint="eastAsia"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加大豇豆、荔枝、芒果、香蕉、东风螺等重点管控品种田头检测力量。持续实施药残治理攻坚行动，严格落实</w:t>
      </w:r>
      <w:r>
        <w:rPr>
          <w:rFonts w:hint="eastAsia" w:ascii="仿宋_GB2312" w:hAnsi="仿宋_GB2312" w:eastAsia="仿宋_GB2312" w:cs="仿宋_GB2312"/>
          <w:color w:val="000000" w:themeColor="text1"/>
          <w:kern w:val="2"/>
          <w:sz w:val="32"/>
          <w:szCs w:val="32"/>
          <w:highlight w:val="none"/>
          <w:lang w:val="en-US" w:eastAsia="zh-CN" w:bidi="ar-SA"/>
          <w14:textFill>
            <w14:solidFill>
              <w14:schemeClr w14:val="tx1"/>
            </w14:solidFill>
          </w14:textFill>
        </w:rPr>
        <w:t>“一品一策”治</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理，推广安全优质生产模式。到2030年，全省</w:t>
      </w:r>
      <w:r>
        <w:rPr>
          <w:rFonts w:hint="default" w:ascii="Times New Roman" w:hAnsi="Times New Roman" w:eastAsia="仿宋_GB2312" w:cs="Times New Roman"/>
          <w:color w:val="000000" w:themeColor="text1"/>
          <w:sz w:val="32"/>
          <w:szCs w:val="32"/>
          <w:highlight w:val="none"/>
          <w:vertAlign w:val="baseline"/>
          <w:lang w:val="en-US" w:eastAsia="zh-CN"/>
          <w14:textFill>
            <w14:solidFill>
              <w14:schemeClr w14:val="tx1"/>
            </w14:solidFill>
          </w14:textFill>
        </w:rPr>
        <w:t>农产品例行监测合格率</w:t>
      </w:r>
      <w:r>
        <w:rPr>
          <w:rFonts w:hint="default" w:ascii="Times New Roman" w:hAnsi="Times New Roman" w:eastAsia="仿宋_GB2312" w:cs="Times New Roman"/>
          <w:color w:val="000000" w:themeColor="text1"/>
          <w:kern w:val="2"/>
          <w:sz w:val="32"/>
          <w:szCs w:val="32"/>
          <w:highlight w:val="none"/>
          <w:lang w:val="en-US" w:eastAsia="zh-CN" w:bidi="ar-SA"/>
          <w14:textFill>
            <w14:solidFill>
              <w14:schemeClr w14:val="tx1"/>
            </w14:solidFill>
          </w14:textFill>
        </w:rPr>
        <w:t>稳定在98%以上。</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652" w:name="_Toc6574"/>
      <w:bookmarkStart w:id="653" w:name="_Toc7208"/>
      <w:bookmarkStart w:id="654" w:name="_Toc1264"/>
      <w:bookmarkStart w:id="655" w:name="_Toc25795"/>
      <w:bookmarkStart w:id="656" w:name="_Toc16929"/>
      <w:bookmarkStart w:id="657" w:name="_Toc8913"/>
      <w:bookmarkStart w:id="658" w:name="_Toc30851"/>
      <w:bookmarkStart w:id="659" w:name="_Toc8543"/>
      <w:bookmarkStart w:id="660" w:name="_Toc21623"/>
      <w:bookmarkStart w:id="661" w:name="_Toc16993"/>
      <w:bookmarkStart w:id="662" w:name="_Toc31014"/>
      <w:bookmarkStart w:id="663" w:name="_Toc208"/>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六、补齐农业机械化短板</w:t>
      </w:r>
      <w:bookmarkEnd w:id="652"/>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实施农业机械化发展行动，聚焦粮油作物、热带经济作物、畜禽水产、冬季瓜菜等重点产业，开展高端智能、丘陵山区适用农机装备研发与熟化应用。推进种植区域宜机化改造，推广高速插秧机、精量播种机等先进适用农机装备。拓展农用无人驾驶航空器、搭载北斗定位导航和辅助驾驶系统等智能农机装备应用场景。依托海南智慧农机综合管理服务平台，优化实施</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“农机券”</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政策，探索构建供需高效对接的农机作业服务共享模式。创新实施农机购置与应用补贴、农机报废更新补贴等政策，引导农户报废老旧农机，购置使用先进适用农机装备。发挥农机技术支撑和服务保障作用，加强农机鉴定能力和质量认证体系建设。</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664" w:name="_Toc19625"/>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七、提升农业防灾减灾救灾能力</w:t>
      </w:r>
      <w:bookmarkEnd w:id="653"/>
      <w:bookmarkEnd w:id="654"/>
      <w:bookmarkEnd w:id="655"/>
      <w:bookmarkEnd w:id="656"/>
      <w:bookmarkEnd w:id="657"/>
      <w:bookmarkEnd w:id="658"/>
      <w:bookmarkEnd w:id="659"/>
      <w:bookmarkEnd w:id="660"/>
      <w:bookmarkEnd w:id="661"/>
      <w:bookmarkEnd w:id="662"/>
      <w:bookmarkEnd w:id="663"/>
      <w:bookmarkEnd w:id="664"/>
    </w:p>
    <w:p>
      <w:pPr>
        <w:keepNext w:val="0"/>
        <w:keepLines w:val="0"/>
        <w:pageBreakBefore w:val="0"/>
        <w:widowControl/>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加强农业防灾减灾</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救灾</w:t>
      </w:r>
      <w:r>
        <w:rPr>
          <w:rFonts w:hint="default" w:ascii="Times New Roman" w:hAnsi="Times New Roman" w:eastAsia="仿宋_GB2312" w:cs="Times New Roman"/>
          <w:b w:val="0"/>
          <w:bCs w:val="0"/>
          <w:color w:val="000000" w:themeColor="text1"/>
          <w:sz w:val="32"/>
          <w:szCs w:val="32"/>
          <w:highlight w:val="none"/>
          <w14:textFill>
            <w14:solidFill>
              <w14:schemeClr w14:val="tx1"/>
            </w14:solidFill>
          </w14:textFill>
        </w:rPr>
        <w:t>基础设施建设</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推进渔船避风锚地建设，</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推广具备抗灾性能的标准化畜禽</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栏</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舍</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eastAsia="zh-CN"/>
          <w14:textFill>
            <w14:solidFill>
              <w14:schemeClr w14:val="tx1"/>
            </w14:solidFill>
          </w14:textFill>
        </w:rPr>
        <w:t>建立健全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农田水利设施管护</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机制。</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探索</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高分辨率卫星遥感数据和各类智能视频监控系统应用，建立健全天空地一体化农业观测网络。</w:t>
      </w:r>
      <w:r>
        <w:rPr>
          <w:rFonts w:hint="default" w:ascii="Times New Roman" w:hAnsi="Times New Roman" w:eastAsia="仿宋_GB2312"/>
          <w:color w:val="000000" w:themeColor="text1"/>
          <w:sz w:val="32"/>
          <w:szCs w:val="32"/>
          <w:highlight w:val="none"/>
          <w14:textFill>
            <w14:solidFill>
              <w14:schemeClr w14:val="tx1"/>
            </w14:solidFill>
          </w14:textFill>
        </w:rPr>
        <w:t>强化预报预警，依托市县渔船停泊点驻点值班室、省市县各级渔业安全应急中心等基础</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设施</w:t>
      </w:r>
      <w:r>
        <w:rPr>
          <w:rFonts w:hint="default" w:ascii="Times New Roman" w:hAnsi="Times New Roman" w:eastAsia="仿宋_GB2312"/>
          <w:color w:val="000000" w:themeColor="text1"/>
          <w:sz w:val="32"/>
          <w:szCs w:val="32"/>
          <w:highlight w:val="none"/>
          <w14:textFill>
            <w14:solidFill>
              <w14:schemeClr w14:val="tx1"/>
            </w14:solidFill>
          </w14:textFill>
        </w:rPr>
        <w:t>建设，完善渔船安全应急体系建设。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健全农业救灾物资储备机制，加强种子、化肥、农药、农机具、油料、畜禽兽药、应急救灾机械等应急物资储备，保障农业生产各环节及不同灾害应急救灾需要。</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完善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适应气候变化工作体系</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提升应对气候变化特别是极端天气能力。</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838" w:type="dxa"/>
            <w:shd w:val="clear" w:color="auto" w:fill="BEBEBE" w:themeFill="background1" w:themeFillShade="BF"/>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Lines="-2147483648" w:afterLines="-2147483648" w:line="360" w:lineRule="auto"/>
              <w:ind w:firstLine="0" w:firstLineChars="0"/>
              <w:jc w:val="center"/>
              <w:textAlignment w:val="auto"/>
              <w:outlineLvl w:val="0"/>
              <w:rPr>
                <w:rFonts w:hint="default" w:ascii="Times New Roman" w:hAnsi="Times New Roman" w:cs="Times New Roman"/>
                <w:b/>
                <w:bCs/>
                <w:color w:val="000000" w:themeColor="text1"/>
                <w:sz w:val="24"/>
                <w:highlight w:val="none"/>
                <w:lang w:val="en-US" w:eastAsia="zh-CN"/>
                <w14:textFill>
                  <w14:solidFill>
                    <w14:schemeClr w14:val="tx1"/>
                  </w14:solidFill>
                </w14:textFill>
              </w:rPr>
            </w:pPr>
            <w:bookmarkStart w:id="665" w:name="_Toc19958"/>
            <w:bookmarkStart w:id="666" w:name="_Toc18437"/>
            <w:bookmarkStart w:id="667" w:name="_Toc13554"/>
            <w:bookmarkStart w:id="668" w:name="_Toc9885"/>
            <w:bookmarkStart w:id="669" w:name="_Toc8262"/>
            <w:bookmarkStart w:id="670" w:name="_Toc22580"/>
            <w:bookmarkStart w:id="671" w:name="_Toc5523"/>
            <w:bookmarkStart w:id="672" w:name="_Toc5709"/>
            <w:bookmarkStart w:id="673" w:name="_Toc3230"/>
            <w:bookmarkStart w:id="674" w:name="_Toc5501"/>
            <w:bookmarkStart w:id="675" w:name="_Toc9507"/>
            <w:bookmarkStart w:id="676" w:name="_Toc12234"/>
            <w:bookmarkStart w:id="677" w:name="_Toc3246"/>
            <w:r>
              <w:rPr>
                <w:rFonts w:hint="eastAsia" w:ascii="楷体" w:hAnsi="楷体" w:eastAsia="楷体" w:cs="楷体"/>
                <w:b w:val="0"/>
                <w:bCs/>
                <w:color w:val="000000"/>
                <w:sz w:val="28"/>
                <w:szCs w:val="28"/>
                <w:highlight w:val="none"/>
                <w:shd w:val="clear" w:color="auto" w:fill="FFFFFF"/>
              </w:rPr>
              <w:t>专栏</w:t>
            </w:r>
            <w:r>
              <w:rPr>
                <w:rFonts w:hint="eastAsia" w:ascii="楷体" w:hAnsi="楷体" w:eastAsia="楷体" w:cs="楷体"/>
                <w:b w:val="0"/>
                <w:bCs/>
                <w:color w:val="000000"/>
                <w:sz w:val="28"/>
                <w:szCs w:val="28"/>
                <w:highlight w:val="none"/>
                <w:shd w:val="clear" w:color="auto" w:fill="FFFFFF"/>
                <w:lang w:val="en-US" w:eastAsia="zh-CN"/>
              </w:rPr>
              <w:t>4</w:t>
            </w:r>
            <w:r>
              <w:rPr>
                <w:rFonts w:hint="eastAsia" w:ascii="楷体" w:hAnsi="楷体" w:eastAsia="楷体" w:cs="楷体"/>
                <w:b w:val="0"/>
                <w:bCs/>
                <w:color w:val="000000"/>
                <w:sz w:val="28"/>
                <w:szCs w:val="28"/>
                <w:highlight w:val="none"/>
                <w:shd w:val="clear" w:color="auto" w:fill="FFFFFF"/>
              </w:rPr>
              <w:t xml:space="preserve"> </w:t>
            </w:r>
            <w:r>
              <w:rPr>
                <w:rFonts w:hint="eastAsia" w:ascii="楷体" w:hAnsi="楷体" w:eastAsia="楷体" w:cs="楷体"/>
                <w:b w:val="0"/>
                <w:bCs/>
                <w:color w:val="000000"/>
                <w:sz w:val="28"/>
                <w:szCs w:val="28"/>
                <w:highlight w:val="none"/>
                <w:shd w:val="clear" w:color="auto" w:fill="FFFFFF"/>
                <w:lang w:val="en-US" w:eastAsia="zh-CN"/>
              </w:rPr>
              <w:t xml:space="preserve"> </w:t>
            </w:r>
            <w:r>
              <w:rPr>
                <w:rFonts w:hint="eastAsia" w:ascii="楷体" w:hAnsi="楷体" w:eastAsia="楷体" w:cs="楷体"/>
                <w:b w:val="0"/>
                <w:bCs/>
                <w:color w:val="000000"/>
                <w:sz w:val="28"/>
                <w:szCs w:val="28"/>
                <w:highlight w:val="none"/>
                <w:shd w:val="clear" w:color="auto" w:fill="FFFFFF"/>
              </w:rPr>
              <w:t>绿色高效现代农业生产体系工程</w:t>
            </w:r>
            <w:bookmarkEnd w:id="665"/>
            <w:bookmarkEnd w:id="666"/>
            <w:bookmarkEnd w:id="667"/>
            <w:bookmarkEnd w:id="668"/>
            <w:bookmarkEnd w:id="669"/>
            <w:bookmarkEnd w:id="670"/>
            <w:bookmarkEnd w:id="671"/>
            <w:bookmarkEnd w:id="672"/>
            <w:bookmarkEnd w:id="673"/>
            <w:bookmarkEnd w:id="67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8" w:type="dxa"/>
            <w:shd w:val="clear" w:color="auto" w:fill="F1F1F1" w:themeFill="background1" w:themeFillShade="F2"/>
          </w:tcPr>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Lines="-2147483648" w:afterLines="-2147483648" w:line="440" w:lineRule="exact"/>
              <w:ind w:firstLine="0" w:firstLineChars="0"/>
              <w:textAlignment w:val="auto"/>
              <w:outlineLvl w:val="9"/>
              <w:rPr>
                <w:rFonts w:hint="default" w:ascii="Times New Roman" w:hAnsi="Times New Roman" w:cs="Times New Roman"/>
                <w:b/>
                <w:bCs/>
                <w:color w:val="000000" w:themeColor="text1"/>
                <w:sz w:val="24"/>
                <w:highlight w:val="none"/>
                <w:lang w:eastAsia="zh-CN"/>
                <w14:textFill>
                  <w14:solidFill>
                    <w14:schemeClr w14:val="tx1"/>
                  </w14:solidFill>
                </w14:textFill>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01</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加快</w:t>
            </w:r>
            <w:r>
              <w:rPr>
                <w:rFonts w:hint="eastAsia" w:ascii="楷体_GB2312" w:hAnsi="楷体_GB2312" w:eastAsia="楷体_GB2312" w:cs="楷体_GB2312"/>
                <w:b w:val="0"/>
                <w:bCs w:val="0"/>
                <w:color w:val="auto"/>
                <w:sz w:val="28"/>
                <w:szCs w:val="28"/>
                <w:highlight w:val="none"/>
                <w:u w:val="none"/>
                <w:shd w:val="clear" w:color="auto" w:fill="auto"/>
                <w:lang w:eastAsia="zh-CN"/>
              </w:rPr>
              <w:t>发展现代设施农业</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auto"/>
                <w:sz w:val="28"/>
                <w:szCs w:val="28"/>
                <w:highlight w:val="none"/>
                <w:u w:val="none"/>
                <w:shd w:val="clear" w:color="auto" w:fill="auto"/>
                <w:lang w:val="en-US" w:eastAsia="zh-CN"/>
              </w:rPr>
              <w:t>支持琼海、文昌、三亚、儋州等市县新建或改造提升水稻集中育秧设施项目10个以上。实施现代设施畜牧业提质增效工程。新增建设深远海大型桁架类养殖装备40个。加快万宁、文昌、东方、临高、昌江、乐东等市县水产养殖尾水治理项目落地。</w:t>
            </w:r>
            <w:r>
              <w:rPr>
                <w:rFonts w:hint="eastAsia" w:ascii="Times New Roman" w:hAnsi="Times New Roman" w:eastAsia="仿宋_GB2312" w:cs="Times New Roman"/>
                <w:b w:val="0"/>
                <w:bCs w:val="0"/>
                <w:color w:val="auto"/>
                <w:kern w:val="2"/>
                <w:sz w:val="28"/>
                <w:szCs w:val="28"/>
                <w:highlight w:val="none"/>
                <w:u w:val="none"/>
                <w:shd w:val="clear" w:color="auto" w:fill="auto"/>
              </w:rPr>
              <w:t>支持企业在三亚、乐东、陵水、东方、儋州、昌江、临高</w:t>
            </w:r>
            <w:r>
              <w:rPr>
                <w:rFonts w:hint="eastAsia" w:ascii="Times New Roman" w:hAnsi="Times New Roman" w:eastAsia="仿宋_GB2312" w:cs="Times New Roman"/>
                <w:b w:val="0"/>
                <w:bCs w:val="0"/>
                <w:color w:val="auto"/>
                <w:kern w:val="2"/>
                <w:sz w:val="28"/>
                <w:szCs w:val="28"/>
                <w:highlight w:val="none"/>
                <w:u w:val="none"/>
                <w:shd w:val="clear" w:color="auto" w:fill="auto"/>
                <w:lang w:eastAsia="zh-CN"/>
              </w:rPr>
              <w:t>等</w:t>
            </w:r>
            <w:r>
              <w:rPr>
                <w:rFonts w:hint="eastAsia" w:ascii="Times New Roman" w:hAnsi="Times New Roman" w:eastAsia="仿宋_GB2312" w:cs="Times New Roman"/>
                <w:b w:val="0"/>
                <w:bCs w:val="0"/>
                <w:color w:val="auto"/>
                <w:kern w:val="2"/>
                <w:sz w:val="28"/>
                <w:szCs w:val="28"/>
                <w:highlight w:val="none"/>
                <w:u w:val="none"/>
                <w:shd w:val="clear" w:color="auto" w:fill="auto"/>
              </w:rPr>
              <w:t>制种市县新建或升级改造南繁种子烘干仓储及农产品包装设施农业项目</w:t>
            </w:r>
            <w:r>
              <w:rPr>
                <w:rFonts w:hint="eastAsia" w:ascii="Times New Roman" w:hAnsi="Times New Roman" w:eastAsia="仿宋_GB2312" w:cs="Times New Roman"/>
                <w:b w:val="0"/>
                <w:bCs w:val="0"/>
                <w:color w:val="auto"/>
                <w:kern w:val="2"/>
                <w:sz w:val="28"/>
                <w:szCs w:val="28"/>
                <w:highlight w:val="none"/>
                <w:u w:val="none"/>
                <w:shd w:val="clear" w:color="auto" w:fil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jc w:val="center"/>
        </w:trPr>
        <w:tc>
          <w:tcPr>
            <w:tcW w:w="8838" w:type="dxa"/>
            <w:shd w:val="clear" w:color="auto" w:fill="F1F1F1" w:themeFill="background1" w:themeFillShade="F2"/>
          </w:tcPr>
          <w:p>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Lines="-2147483648" w:afterLines="-2147483648" w:line="440" w:lineRule="exact"/>
              <w:ind w:firstLine="0" w:firstLineChars="0"/>
              <w:jc w:val="left"/>
              <w:textAlignment w:val="auto"/>
              <w:outlineLvl w:val="9"/>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02</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大力发展智慧农业</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auto"/>
                <w:sz w:val="28"/>
                <w:szCs w:val="28"/>
                <w:highlight w:val="none"/>
                <w:u w:val="none"/>
                <w:shd w:val="clear" w:color="auto" w:fill="auto"/>
                <w:lang w:val="en-US" w:eastAsia="zh-CN"/>
              </w:rPr>
              <w:t>完善海南农业农村“一张图”。推广应用海南数字“三农”服务平台，推动涉农数据共建共享共用。建设智慧农（牧、渔）场。围绕农业植保等应用领域，布局“低空+”新兴业态。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8" w:type="dxa"/>
            <w:shd w:val="clear" w:color="auto" w:fill="F1F1F1" w:themeFill="background1" w:themeFillShade="F2"/>
          </w:tcPr>
          <w:p>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beforeLines="-2147483648" w:afterLines="-2147483648" w:line="440" w:lineRule="exact"/>
              <w:ind w:left="0" w:leftChars="0" w:firstLine="0" w:firstLineChars="0"/>
              <w:jc w:val="left"/>
              <w:textAlignment w:val="auto"/>
              <w:outlineLvl w:val="9"/>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sz w:val="28"/>
                <w:szCs w:val="28"/>
                <w:highlight w:val="none"/>
                <w:u w:val="none"/>
                <w:shd w:val="clear" w:color="auto" w:fill="auto"/>
                <w:lang w:val="en-US" w:eastAsia="zh-CN"/>
              </w:rPr>
              <w:t xml:space="preserve">03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积极发展绿色农业</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auto"/>
                <w:kern w:val="2"/>
                <w:sz w:val="28"/>
                <w:szCs w:val="28"/>
                <w:highlight w:val="none"/>
                <w:u w:val="none"/>
                <w:shd w:val="clear" w:color="auto" w:fill="auto"/>
                <w:lang w:val="en-US" w:eastAsia="zh-CN" w:bidi="ar"/>
              </w:rPr>
              <w:t>推进国家农业绿色发展先行区建设</w:t>
            </w:r>
            <w:r>
              <w:rPr>
                <w:rFonts w:hint="eastAsia" w:ascii="Times New Roman" w:hAnsi="Times New Roman" w:eastAsia="仿宋_GB2312" w:cs="Times New Roman"/>
                <w:b w:val="0"/>
                <w:bCs w:val="0"/>
                <w:i w:val="0"/>
                <w:iCs w:val="0"/>
                <w:caps w:val="0"/>
                <w:color w:val="auto"/>
                <w:spacing w:val="0"/>
                <w:sz w:val="28"/>
                <w:szCs w:val="28"/>
                <w:highlight w:val="none"/>
                <w:u w:val="none"/>
                <w:shd w:val="clear" w:color="auto" w:fill="auto"/>
                <w:lang w:eastAsia="zh-CN" w:bidi="ar"/>
              </w:rPr>
              <w:t>。</w:t>
            </w:r>
            <w:r>
              <w:rPr>
                <w:rFonts w:hint="eastAsia" w:ascii="Times New Roman" w:hAnsi="Times New Roman" w:eastAsia="仿宋_GB2312" w:cs="Times New Roman"/>
                <w:color w:val="auto"/>
                <w:kern w:val="2"/>
                <w:sz w:val="28"/>
                <w:szCs w:val="28"/>
                <w:highlight w:val="none"/>
                <w:u w:val="none"/>
                <w:shd w:val="clear" w:color="auto" w:fill="auto"/>
                <w:lang w:val="en-US" w:eastAsia="zh-CN" w:bidi="ar"/>
              </w:rPr>
              <w:t>实施化学农药减量控害、化肥减量增效行动，</w:t>
            </w:r>
            <w:r>
              <w:rPr>
                <w:rFonts w:hint="eastAsia" w:ascii="Times New Roman" w:hAnsi="Times New Roman" w:eastAsia="仿宋_GB2312" w:cs="Times New Roman"/>
                <w:color w:val="auto"/>
                <w:sz w:val="28"/>
                <w:szCs w:val="28"/>
                <w:highlight w:val="none"/>
                <w:u w:val="none"/>
                <w:shd w:val="clear" w:color="auto" w:fill="auto"/>
              </w:rPr>
              <w:t>推进地膜科学使用</w:t>
            </w:r>
            <w:r>
              <w:rPr>
                <w:rFonts w:hint="eastAsia" w:ascii="Times New Roman" w:hAnsi="Times New Roman" w:eastAsia="仿宋_GB2312" w:cs="Times New Roman"/>
                <w:b w:val="0"/>
                <w:bCs w:val="0"/>
                <w:color w:val="auto"/>
                <w:kern w:val="2"/>
                <w:sz w:val="28"/>
                <w:szCs w:val="28"/>
                <w:highlight w:val="none"/>
                <w:u w:val="none"/>
                <w:shd w:val="clear" w:color="auto" w:fill="auto"/>
                <w:lang w:val="en-US" w:eastAsia="zh-CN" w:bidi="ar"/>
              </w:rPr>
              <w:t>。</w:t>
            </w:r>
            <w:r>
              <w:rPr>
                <w:rFonts w:hint="eastAsia" w:ascii="Times New Roman" w:hAnsi="Times New Roman" w:eastAsia="仿宋_GB2312" w:cs="Times New Roman"/>
                <w:color w:val="auto"/>
                <w:sz w:val="28"/>
                <w:szCs w:val="28"/>
                <w:highlight w:val="none"/>
                <w:u w:val="none"/>
                <w:shd w:val="clear" w:color="auto" w:fill="auto"/>
                <w:lang w:bidi="ar"/>
              </w:rPr>
              <w:t>推进农田退水资源化利用</w:t>
            </w:r>
            <w:r>
              <w:rPr>
                <w:rFonts w:hint="eastAsia" w:ascii="Times New Roman" w:hAnsi="Times New Roman" w:eastAsia="仿宋_GB2312" w:cs="Times New Roman"/>
                <w:color w:val="auto"/>
                <w:sz w:val="28"/>
                <w:szCs w:val="28"/>
                <w:highlight w:val="none"/>
                <w:u w:val="none"/>
                <w:shd w:val="clear" w:color="auto" w:fill="auto"/>
                <w:lang w:eastAsia="zh-CN" w:bidi="ar"/>
              </w:rPr>
              <w:t>。</w:t>
            </w:r>
            <w:r>
              <w:rPr>
                <w:rFonts w:hint="eastAsia" w:ascii="Times New Roman" w:hAnsi="Times New Roman" w:eastAsia="仿宋_GB2312" w:cs="Times New Roman"/>
                <w:color w:val="auto"/>
                <w:sz w:val="28"/>
                <w:szCs w:val="28"/>
                <w:highlight w:val="none"/>
                <w:u w:val="none"/>
                <w:shd w:val="clear" w:color="auto" w:fill="auto"/>
                <w:lang w:bidi="ar"/>
              </w:rPr>
              <w:t>加强土壤污染源头管控，强化农业面源污染突出区域系统治理</w:t>
            </w:r>
            <w:r>
              <w:rPr>
                <w:rFonts w:hint="eastAsia" w:ascii="Times New Roman" w:hAnsi="Times New Roman" w:eastAsia="仿宋_GB2312" w:cs="Times New Roman"/>
                <w:color w:val="auto"/>
                <w:sz w:val="28"/>
                <w:szCs w:val="28"/>
                <w:highlight w:val="none"/>
                <w:u w:val="none"/>
                <w:shd w:val="clear" w:color="auto" w:fill="auto"/>
                <w:lang w:eastAsia="zh-CN" w:bidi="ar"/>
              </w:rPr>
              <w:t>。</w:t>
            </w:r>
            <w:r>
              <w:rPr>
                <w:rFonts w:hint="eastAsia" w:ascii="Times New Roman" w:hAnsi="Times New Roman" w:eastAsia="仿宋_GB2312" w:cs="Times New Roman"/>
                <w:b w:val="0"/>
                <w:bCs w:val="0"/>
                <w:color w:val="auto"/>
                <w:kern w:val="2"/>
                <w:sz w:val="28"/>
                <w:szCs w:val="28"/>
                <w:highlight w:val="none"/>
                <w:u w:val="none"/>
                <w:shd w:val="clear" w:color="auto" w:fill="auto"/>
                <w:lang w:val="en-US" w:eastAsia="zh-CN" w:bidi="ar"/>
              </w:rPr>
              <w:t>建设农业面源污染监测站，建设农业面源污染溯源监测与绿色发展水平评估信息化系统1套。实施生态系统保护和修复工程，针对重点流域水生态进行监测评估，推进典型海洋生态系统保护修复工程。强化“一湾一策”海洋生态环境综合治理，提升海水养殖监管能力，推进入海河流总氮管控与治理。深入开展“六水共治”。建设海南省外来入侵物种监测防控技术研究中心。推进生态环境导向的开发模式（EOD）项目。</w:t>
            </w:r>
            <w:r>
              <w:rPr>
                <w:rFonts w:hint="eastAsia" w:ascii="Times New Roman" w:hAnsi="Times New Roman" w:eastAsia="仿宋_GB2312" w:cs="Times New Roman"/>
                <w:color w:val="auto"/>
                <w:sz w:val="28"/>
                <w:szCs w:val="28"/>
                <w:highlight w:val="none"/>
                <w:u w:val="none"/>
                <w:shd w:val="clear" w:color="auto" w:fill="auto"/>
                <w:lang w:bidi="ar"/>
              </w:rPr>
              <w:t>深化拓展省级生态产品价值实现机制试点。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5" w:hRule="atLeast"/>
          <w:jc w:val="center"/>
        </w:trPr>
        <w:tc>
          <w:tcPr>
            <w:tcW w:w="8838" w:type="dxa"/>
            <w:shd w:val="clear" w:color="auto" w:fill="F1F1F1" w:themeFill="background1" w:themeFillShade="F2"/>
          </w:tcPr>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Lines="-2147483648" w:afterLines="-2147483648" w:line="440" w:lineRule="exact"/>
              <w:ind w:firstLine="0" w:firstLineChars="0"/>
              <w:jc w:val="left"/>
              <w:textAlignment w:val="auto"/>
              <w:outlineLvl w:val="9"/>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color w:val="auto"/>
                <w:sz w:val="28"/>
                <w:szCs w:val="28"/>
                <w:highlight w:val="none"/>
                <w:u w:val="none"/>
                <w:shd w:val="clear" w:color="auto" w:fill="auto"/>
                <w:lang w:val="en-US" w:eastAsia="zh-CN"/>
              </w:rPr>
              <w:t>0</w:t>
            </w:r>
            <w:r>
              <w:rPr>
                <w:rFonts w:hint="eastAsia" w:ascii="楷体" w:hAnsi="楷体" w:eastAsia="楷体" w:cs="楷体"/>
                <w:b w:val="0"/>
                <w:bCs w:val="0"/>
                <w:color w:val="auto"/>
                <w:sz w:val="28"/>
                <w:szCs w:val="28"/>
                <w:highlight w:val="none"/>
                <w:u w:val="none"/>
                <w:shd w:val="clear" w:color="auto" w:fill="auto"/>
                <w:lang w:val="en-US" w:eastAsia="zh-CN"/>
              </w:rPr>
              <w:t>4</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 xml:space="preserve">  统筹发展品牌农业</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jc w:val="both"/>
              <w:textAlignment w:val="auto"/>
              <w:outlineLvl w:val="9"/>
              <w:rPr>
                <w:rFonts w:hint="default"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bidi="ar"/>
              </w:rPr>
              <w:t>实施“海南鲜品”创建工程和知名品牌培育工程，完善农业品牌培育、发展和保护机制。建立健全“标准+认证”质量品牌管理体系，在长三角、大湾区开展品牌体验推广。</w:t>
            </w:r>
            <w:r>
              <w:rPr>
                <w:rFonts w:hint="eastAsia" w:ascii="Times New Roman" w:hAnsi="Times New Roman" w:eastAsia="仿宋_GB2312" w:cs="Times New Roman"/>
                <w:color w:val="auto"/>
                <w:sz w:val="28"/>
                <w:szCs w:val="28"/>
                <w:highlight w:val="none"/>
                <w:u w:val="none"/>
                <w:shd w:val="clear" w:color="auto" w:fill="auto"/>
                <w:lang w:bidi="ar"/>
              </w:rPr>
              <w:t>在洋浦、三亚等地试点“品牌+加工增值+跨境贸易”一体化模式，探索“零关税”清单产品品牌化出海路径。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5" w:hRule="atLeast"/>
          <w:jc w:val="center"/>
        </w:trPr>
        <w:tc>
          <w:tcPr>
            <w:tcW w:w="8838" w:type="dxa"/>
            <w:shd w:val="clear" w:color="auto" w:fill="F1F1F1" w:themeFill="background1" w:themeFillShade="F2"/>
          </w:tcPr>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Lines="-2147483648" w:afterLines="-2147483648" w:line="440" w:lineRule="exact"/>
              <w:ind w:firstLine="0" w:firstLineChars="0"/>
              <w:jc w:val="left"/>
              <w:textAlignment w:val="auto"/>
              <w:outlineLvl w:val="9"/>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color w:val="auto"/>
                <w:sz w:val="28"/>
                <w:szCs w:val="28"/>
                <w:highlight w:val="none"/>
                <w:u w:val="none"/>
                <w:shd w:val="clear" w:color="auto" w:fill="auto"/>
                <w:lang w:val="en-US" w:eastAsia="zh-CN"/>
              </w:rPr>
              <w:t>0</w:t>
            </w:r>
            <w:r>
              <w:rPr>
                <w:rFonts w:hint="eastAsia" w:ascii="楷体" w:hAnsi="楷体" w:eastAsia="楷体" w:cs="楷体"/>
                <w:b w:val="0"/>
                <w:bCs w:val="0"/>
                <w:color w:val="auto"/>
                <w:sz w:val="28"/>
                <w:szCs w:val="28"/>
                <w:highlight w:val="none"/>
                <w:u w:val="none"/>
                <w:shd w:val="clear" w:color="auto" w:fill="auto"/>
                <w:lang w:val="en-US" w:eastAsia="zh-CN"/>
              </w:rPr>
              <w:t xml:space="preserve">5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稳步发展质量农业</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jc w:val="both"/>
              <w:textAlignment w:val="auto"/>
              <w:outlineLvl w:val="9"/>
              <w:rPr>
                <w:rFonts w:hint="eastAsia" w:ascii="Times New Roman" w:hAnsi="Times New Roman" w:eastAsia="仿宋_GB2312" w:cs="Times New Roman"/>
                <w:b w:val="0"/>
                <w:bCs w:val="0"/>
                <w:color w:val="auto"/>
                <w:sz w:val="28"/>
                <w:szCs w:val="28"/>
                <w:highlight w:val="none"/>
                <w:u w:val="none"/>
                <w:shd w:val="clear" w:color="auto" w:fill="auto"/>
                <w:lang w:val="en-US" w:eastAsia="zh-CN" w:bidi="ar"/>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bidi="ar"/>
              </w:rPr>
              <w:t>推动</w:t>
            </w:r>
            <w:r>
              <w:rPr>
                <w:rFonts w:hint="eastAsia" w:ascii="Times New Roman" w:hAnsi="Times New Roman" w:eastAsia="仿宋_GB2312" w:cs="Times New Roman"/>
                <w:color w:val="auto"/>
                <w:sz w:val="28"/>
                <w:szCs w:val="28"/>
                <w:highlight w:val="none"/>
                <w:u w:val="none"/>
                <w:shd w:val="clear" w:color="auto" w:fill="auto"/>
                <w:lang w:val="en-US" w:eastAsia="zh-CN" w:bidi="ar"/>
              </w:rPr>
              <w:t>绿色、有机、</w:t>
            </w:r>
            <w:r>
              <w:rPr>
                <w:rFonts w:hint="eastAsia" w:ascii="Times New Roman" w:hAnsi="Times New Roman" w:eastAsia="仿宋_GB2312" w:cs="Times New Roman"/>
                <w:color w:val="auto"/>
                <w:sz w:val="28"/>
                <w:szCs w:val="28"/>
                <w:highlight w:val="none"/>
                <w:u w:val="none"/>
                <w:shd w:val="clear" w:color="auto" w:fill="auto"/>
                <w:lang w:eastAsia="zh-CN" w:bidi="ar"/>
              </w:rPr>
              <w:t>良好农业规范</w:t>
            </w:r>
            <w:r>
              <w:rPr>
                <w:rFonts w:hint="eastAsia" w:ascii="Times New Roman" w:hAnsi="Times New Roman" w:eastAsia="仿宋_GB2312" w:cs="Times New Roman"/>
                <w:color w:val="auto"/>
                <w:sz w:val="28"/>
                <w:szCs w:val="28"/>
                <w:highlight w:val="none"/>
                <w:u w:val="none"/>
                <w:shd w:val="clear" w:color="auto" w:fill="auto"/>
                <w:lang w:val="en-US" w:eastAsia="zh-CN" w:bidi="ar"/>
              </w:rPr>
              <w:t>、名特优新</w:t>
            </w:r>
            <w:r>
              <w:rPr>
                <w:rFonts w:hint="eastAsia" w:ascii="Times New Roman" w:hAnsi="Times New Roman" w:eastAsia="仿宋_GB2312" w:cs="Times New Roman"/>
                <w:color w:val="auto"/>
                <w:sz w:val="28"/>
                <w:szCs w:val="28"/>
                <w:highlight w:val="none"/>
                <w:u w:val="none"/>
                <w:shd w:val="clear" w:color="auto" w:fill="auto"/>
                <w:lang w:eastAsia="zh-CN" w:bidi="ar"/>
              </w:rPr>
              <w:t>农产品和</w:t>
            </w:r>
            <w:r>
              <w:rPr>
                <w:rFonts w:hint="eastAsia" w:ascii="Times New Roman" w:hAnsi="Times New Roman" w:eastAsia="仿宋_GB2312" w:cs="Times New Roman"/>
                <w:color w:val="auto"/>
                <w:sz w:val="28"/>
                <w:szCs w:val="28"/>
                <w:highlight w:val="none"/>
                <w:u w:val="none"/>
                <w:shd w:val="clear" w:color="auto" w:fill="auto"/>
                <w:lang w:val="en-US" w:eastAsia="zh-CN" w:bidi="ar"/>
              </w:rPr>
              <w:t>特质农产品数量</w:t>
            </w:r>
            <w:r>
              <w:rPr>
                <w:rFonts w:hint="eastAsia" w:ascii="Times New Roman" w:hAnsi="Times New Roman" w:eastAsia="仿宋_GB2312" w:cs="Times New Roman"/>
                <w:color w:val="auto"/>
                <w:sz w:val="28"/>
                <w:szCs w:val="28"/>
                <w:highlight w:val="none"/>
                <w:u w:val="none"/>
                <w:shd w:val="clear" w:color="auto" w:fill="auto"/>
                <w:lang w:eastAsia="zh-CN" w:bidi="ar"/>
              </w:rPr>
              <w:t>累计</w:t>
            </w:r>
            <w:r>
              <w:rPr>
                <w:rFonts w:hint="eastAsia" w:ascii="Times New Roman" w:hAnsi="Times New Roman" w:eastAsia="仿宋_GB2312" w:cs="Times New Roman"/>
                <w:color w:val="auto"/>
                <w:sz w:val="28"/>
                <w:szCs w:val="28"/>
                <w:highlight w:val="none"/>
                <w:u w:val="none"/>
                <w:shd w:val="clear" w:color="auto" w:fill="auto"/>
                <w:lang w:val="en-US" w:eastAsia="zh-CN" w:bidi="ar"/>
              </w:rPr>
              <w:t>达到</w:t>
            </w:r>
            <w:r>
              <w:rPr>
                <w:rFonts w:hint="eastAsia" w:ascii="Times New Roman" w:hAnsi="Times New Roman" w:eastAsia="仿宋_GB2312" w:cs="Times New Roman"/>
                <w:color w:val="auto"/>
                <w:sz w:val="28"/>
                <w:szCs w:val="28"/>
                <w:highlight w:val="none"/>
                <w:u w:val="none"/>
                <w:shd w:val="clear" w:color="auto" w:fill="auto"/>
                <w:lang w:eastAsia="zh-CN" w:bidi="ar"/>
              </w:rPr>
              <w:t>400</w:t>
            </w:r>
            <w:r>
              <w:rPr>
                <w:rFonts w:hint="eastAsia" w:ascii="Times New Roman" w:hAnsi="Times New Roman" w:eastAsia="仿宋_GB2312" w:cs="Times New Roman"/>
                <w:color w:val="auto"/>
                <w:sz w:val="28"/>
                <w:szCs w:val="28"/>
                <w:highlight w:val="none"/>
                <w:u w:val="none"/>
                <w:shd w:val="clear" w:color="auto" w:fill="auto"/>
                <w:lang w:val="en-US" w:eastAsia="zh-CN" w:bidi="ar"/>
              </w:rPr>
              <w:t>个以上。进一步完善食用农产品质量安全智慧监管系统，提升基层农产品质量安全监管能力，优化农产品质量安全检测体系建设布局，</w:t>
            </w:r>
            <w:r>
              <w:rPr>
                <w:rFonts w:hint="eastAsia" w:ascii="Times New Roman" w:hAnsi="Times New Roman" w:eastAsia="仿宋_GB2312" w:cs="Times New Roman"/>
                <w:color w:val="auto"/>
                <w:sz w:val="28"/>
                <w:szCs w:val="28"/>
                <w:highlight w:val="none"/>
                <w:u w:val="none"/>
                <w:shd w:val="clear" w:color="auto" w:fill="auto"/>
                <w:lang w:bidi="ar"/>
              </w:rPr>
              <w:t>补充更新市县定量检测</w:t>
            </w:r>
            <w:r>
              <w:rPr>
                <w:rFonts w:hint="eastAsia" w:ascii="Times New Roman" w:hAnsi="Times New Roman" w:eastAsia="仿宋_GB2312" w:cs="Times New Roman"/>
                <w:color w:val="auto"/>
                <w:sz w:val="28"/>
                <w:szCs w:val="28"/>
                <w:highlight w:val="none"/>
                <w:u w:val="none"/>
                <w:shd w:val="clear" w:color="auto" w:fill="auto"/>
                <w:lang w:val="en-US" w:eastAsia="zh-CN" w:bidi="ar"/>
              </w:rPr>
              <w:t>与</w:t>
            </w:r>
            <w:r>
              <w:rPr>
                <w:rFonts w:hint="eastAsia" w:ascii="Times New Roman" w:hAnsi="Times New Roman" w:eastAsia="仿宋_GB2312" w:cs="Times New Roman"/>
                <w:color w:val="auto"/>
                <w:sz w:val="28"/>
                <w:szCs w:val="28"/>
                <w:highlight w:val="none"/>
                <w:u w:val="none"/>
                <w:shd w:val="clear" w:color="auto" w:fill="auto"/>
                <w:lang w:bidi="ar"/>
              </w:rPr>
              <w:t>乡镇快检设备</w:t>
            </w:r>
            <w:r>
              <w:rPr>
                <w:rFonts w:hint="eastAsia" w:ascii="Times New Roman" w:hAnsi="Times New Roman" w:eastAsia="仿宋_GB2312" w:cs="Times New Roman"/>
                <w:color w:val="auto"/>
                <w:sz w:val="28"/>
                <w:szCs w:val="28"/>
                <w:highlight w:val="none"/>
                <w:u w:val="none"/>
                <w:shd w:val="clear" w:color="auto" w:fill="auto"/>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38" w:type="dxa"/>
            <w:shd w:val="clear" w:color="auto" w:fill="F1F1F1" w:themeFill="background1" w:themeFillShade="F2"/>
          </w:tcPr>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Lines="-2147483648" w:afterLines="-2147483648" w:line="440" w:lineRule="exact"/>
              <w:ind w:firstLine="0" w:firstLineChars="0"/>
              <w:jc w:val="left"/>
              <w:textAlignment w:val="auto"/>
              <w:outlineLvl w:val="9"/>
              <w:rPr>
                <w:rFonts w:hint="eastAsia" w:ascii="楷体_GB2312" w:hAnsi="楷体_GB2312" w:eastAsia="楷体_GB2312" w:cs="楷体_GB2312"/>
                <w:b w:val="0"/>
                <w:bCs w:val="0"/>
                <w:color w:val="auto"/>
                <w:sz w:val="28"/>
                <w:szCs w:val="28"/>
                <w:highlight w:val="none"/>
                <w:u w:val="none"/>
                <w:shd w:val="clear" w:color="auto" w:fill="auto"/>
                <w:lang w:eastAsia="zh-CN"/>
              </w:rPr>
            </w:pPr>
            <w:r>
              <w:rPr>
                <w:rFonts w:hint="eastAsia" w:ascii="楷体" w:hAnsi="楷体" w:eastAsia="楷体" w:cs="楷体"/>
                <w:color w:val="auto"/>
                <w:sz w:val="28"/>
                <w:szCs w:val="28"/>
                <w:highlight w:val="none"/>
                <w:u w:val="none"/>
                <w:shd w:val="clear" w:color="auto" w:fill="auto"/>
                <w:lang w:val="en-US" w:eastAsia="zh-CN"/>
              </w:rPr>
              <w:t>0</w:t>
            </w:r>
            <w:r>
              <w:rPr>
                <w:rFonts w:hint="eastAsia" w:ascii="楷体" w:hAnsi="楷体" w:eastAsia="楷体" w:cs="楷体"/>
                <w:b w:val="0"/>
                <w:bCs w:val="0"/>
                <w:color w:val="auto"/>
                <w:sz w:val="28"/>
                <w:szCs w:val="28"/>
                <w:highlight w:val="none"/>
                <w:u w:val="none"/>
                <w:shd w:val="clear" w:color="auto" w:fill="auto"/>
                <w:lang w:val="en-US" w:eastAsia="zh-CN"/>
              </w:rPr>
              <w:t xml:space="preserve">6  </w:t>
            </w:r>
            <w:r>
              <w:rPr>
                <w:rFonts w:hint="eastAsia" w:ascii="楷体_GB2312" w:hAnsi="楷体_GB2312" w:eastAsia="楷体_GB2312" w:cs="楷体_GB2312"/>
                <w:b w:val="0"/>
                <w:bCs w:val="0"/>
                <w:color w:val="auto"/>
                <w:sz w:val="28"/>
                <w:szCs w:val="28"/>
                <w:highlight w:val="none"/>
                <w:u w:val="none"/>
                <w:shd w:val="clear" w:color="auto" w:fill="auto"/>
              </w:rPr>
              <w:t>补齐农业机械化短板</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jc w:val="left"/>
              <w:textAlignment w:val="auto"/>
              <w:outlineLvl w:val="9"/>
              <w:rPr>
                <w:rFonts w:hint="eastAsia" w:ascii="Times New Roman" w:hAnsi="Times New Roman" w:eastAsia="仿宋_GB2312" w:cs="Times New Roman"/>
                <w:b w:val="0"/>
                <w:bCs w:val="0"/>
                <w:color w:val="auto"/>
                <w:sz w:val="28"/>
                <w:szCs w:val="28"/>
                <w:highlight w:val="none"/>
                <w:u w:val="none"/>
                <w:shd w:val="clear" w:color="auto" w:fill="auto"/>
                <w:lang w:val="en-US" w:eastAsia="zh-CN" w:bidi="ar"/>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bidi="ar"/>
              </w:rPr>
              <w:t>在乐东</w:t>
            </w:r>
            <w:r>
              <w:rPr>
                <w:rFonts w:hint="eastAsia" w:ascii="Times New Roman" w:hAnsi="Times New Roman" w:eastAsia="仿宋_GB2312" w:cs="Times New Roman"/>
                <w:color w:val="auto"/>
                <w:sz w:val="28"/>
                <w:szCs w:val="28"/>
                <w:highlight w:val="none"/>
                <w:u w:val="none"/>
                <w:shd w:val="clear" w:color="auto" w:fill="auto"/>
                <w:lang w:val="en-US" w:eastAsia="zh-CN" w:bidi="ar"/>
              </w:rPr>
              <w:t>等市县开展制种水稻机械种植技术攻关和试验；在陵水等市县打造农用无人驾驶航空器作业应用场景。推进丘陵农机熟化应用规模化试点。支持市县培育壮大农机社会化服务主体，鼓励创建区域农机社会化服务中心，实现全省农机服务全覆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838" w:type="dxa"/>
            <w:shd w:val="clear" w:color="auto" w:fill="F1F1F1" w:themeFill="background1" w:themeFillShade="F2"/>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0" w:leftChars="0" w:firstLine="0" w:firstLineChars="0"/>
              <w:jc w:val="both"/>
              <w:textAlignment w:val="auto"/>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楷体" w:hAnsi="楷体" w:eastAsia="楷体" w:cs="楷体"/>
                <w:color w:val="auto"/>
                <w:sz w:val="28"/>
                <w:szCs w:val="28"/>
                <w:highlight w:val="none"/>
                <w:u w:val="none"/>
                <w:shd w:val="clear" w:color="auto" w:fill="auto"/>
                <w:lang w:val="en-US" w:eastAsia="zh-CN"/>
              </w:rPr>
              <w:t>0</w:t>
            </w:r>
            <w:r>
              <w:rPr>
                <w:rFonts w:hint="eastAsia" w:ascii="楷体" w:hAnsi="楷体" w:eastAsia="楷体" w:cs="楷体"/>
                <w:b w:val="0"/>
                <w:bCs w:val="0"/>
                <w:color w:val="auto"/>
                <w:sz w:val="28"/>
                <w:szCs w:val="28"/>
                <w:highlight w:val="none"/>
                <w:u w:val="none"/>
                <w:shd w:val="clear" w:color="auto" w:fill="auto"/>
                <w:lang w:val="en-US" w:eastAsia="zh-CN"/>
              </w:rPr>
              <w:t xml:space="preserve">7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提升农业防灾减灾救灾能力</w:t>
            </w:r>
          </w:p>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jc w:val="left"/>
              <w:textAlignment w:val="auto"/>
              <w:outlineLvl w:val="9"/>
              <w:rPr>
                <w:rFonts w:hint="eastAsia" w:ascii="Times New Roman" w:hAnsi="Times New Roman" w:eastAsia="仿宋_GB2312" w:cs="Times New Roman"/>
                <w:b w:val="0"/>
                <w:bCs w:val="0"/>
                <w:color w:val="auto"/>
                <w:sz w:val="28"/>
                <w:szCs w:val="28"/>
                <w:highlight w:val="none"/>
                <w:u w:val="none"/>
                <w:shd w:val="clear" w:color="auto" w:fill="auto"/>
                <w:lang w:val="en-US" w:eastAsia="zh-CN" w:bidi="ar"/>
              </w:rPr>
            </w:pPr>
            <w:r>
              <w:rPr>
                <w:rFonts w:hint="eastAsia" w:ascii="Times New Roman" w:hAnsi="Times New Roman" w:eastAsia="仿宋_GB2312" w:cs="Times New Roman"/>
                <w:color w:val="auto"/>
                <w:sz w:val="28"/>
                <w:szCs w:val="28"/>
                <w:highlight w:val="none"/>
                <w:u w:val="none"/>
                <w:shd w:val="clear" w:color="auto" w:fill="auto"/>
                <w:lang w:bidi="ar"/>
              </w:rPr>
              <w:t>完善台风</w:t>
            </w:r>
            <w:r>
              <w:rPr>
                <w:rFonts w:hint="eastAsia" w:ascii="Times New Roman" w:hAnsi="Times New Roman" w:eastAsia="仿宋_GB2312" w:cs="Times New Roman"/>
                <w:color w:val="auto"/>
                <w:sz w:val="28"/>
                <w:szCs w:val="28"/>
                <w:highlight w:val="none"/>
                <w:u w:val="none"/>
                <w:shd w:val="clear" w:color="auto" w:fill="auto"/>
                <w:lang w:eastAsia="zh-CN" w:bidi="ar"/>
              </w:rPr>
              <w:t>、</w:t>
            </w:r>
            <w:r>
              <w:rPr>
                <w:rFonts w:hint="eastAsia" w:ascii="Times New Roman" w:hAnsi="Times New Roman" w:eastAsia="仿宋_GB2312" w:cs="Times New Roman"/>
                <w:color w:val="auto"/>
                <w:sz w:val="28"/>
                <w:szCs w:val="28"/>
                <w:highlight w:val="none"/>
                <w:u w:val="none"/>
                <w:shd w:val="clear" w:color="auto" w:fill="auto"/>
                <w:lang w:bidi="ar"/>
              </w:rPr>
              <w:t>极端强降雨等灾害防御</w:t>
            </w:r>
            <w:r>
              <w:rPr>
                <w:rFonts w:hint="eastAsia" w:ascii="Times New Roman" w:hAnsi="Times New Roman" w:eastAsia="仿宋_GB2312"/>
                <w:color w:val="auto"/>
                <w:sz w:val="28"/>
                <w:szCs w:val="28"/>
                <w:highlight w:val="none"/>
                <w:u w:val="none"/>
                <w:shd w:val="clear" w:color="auto" w:fill="auto"/>
                <w:lang w:eastAsia="zh-CN" w:bidi="ar"/>
              </w:rPr>
              <w:t>体系。</w:t>
            </w:r>
            <w:r>
              <w:rPr>
                <w:rFonts w:hint="eastAsia" w:ascii="Times New Roman" w:hAnsi="Times New Roman" w:eastAsia="仿宋_GB2312" w:cs="Times New Roman"/>
                <w:color w:val="auto"/>
                <w:sz w:val="28"/>
                <w:szCs w:val="28"/>
                <w:highlight w:val="none"/>
                <w:u w:val="none"/>
                <w:shd w:val="clear" w:color="auto" w:fill="auto"/>
                <w:lang w:val="en-US" w:eastAsia="zh-CN" w:bidi="ar"/>
              </w:rPr>
              <w:t>强化农田排涝配套设施建设。依托区域农机社会化服务中心，建设农业应急救灾中心。</w:t>
            </w:r>
            <w:r>
              <w:rPr>
                <w:rFonts w:hint="eastAsia" w:ascii="Times New Roman" w:hAnsi="Times New Roman" w:eastAsia="仿宋_GB2312" w:cs="Times New Roman"/>
                <w:color w:val="auto"/>
                <w:sz w:val="28"/>
                <w:szCs w:val="28"/>
                <w:highlight w:val="none"/>
                <w:u w:val="none"/>
                <w:shd w:val="clear" w:color="auto" w:fill="auto"/>
                <w:lang w:bidi="ar"/>
              </w:rPr>
              <w:t>建立健全海上安全和应急保障体系，破解商渔船碰撞难题。</w:t>
            </w:r>
            <w:r>
              <w:rPr>
                <w:rFonts w:hint="eastAsia" w:ascii="Times New Roman" w:hAnsi="Times New Roman" w:eastAsia="仿宋_GB2312" w:cs="Times New Roman"/>
                <w:color w:val="auto"/>
                <w:sz w:val="28"/>
                <w:szCs w:val="28"/>
                <w:highlight w:val="none"/>
                <w:u w:val="none"/>
                <w:shd w:val="clear" w:color="auto" w:fill="auto"/>
                <w:lang w:val="en-US" w:eastAsia="zh-CN" w:bidi="ar"/>
              </w:rPr>
              <w:t>加强应急救灾物资储备。</w:t>
            </w:r>
            <w:r>
              <w:rPr>
                <w:rFonts w:hint="eastAsia" w:ascii="Times New Roman" w:hAnsi="Times New Roman" w:eastAsia="仿宋_GB2312" w:cs="Times New Roman"/>
                <w:color w:val="auto"/>
                <w:sz w:val="28"/>
                <w:szCs w:val="28"/>
                <w:highlight w:val="none"/>
                <w:u w:val="none"/>
                <w:shd w:val="clear" w:color="auto" w:fill="auto"/>
                <w:lang w:eastAsia="zh-CN" w:bidi="ar"/>
              </w:rPr>
              <w:t>探索发展多层次巨灾保险。</w:t>
            </w:r>
          </w:p>
        </w:tc>
      </w:tr>
    </w:tbl>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14:textFill>
            <w14:solidFill>
              <w14:schemeClr w14:val="tx1"/>
            </w14:solidFill>
          </w14:textFill>
        </w:rPr>
      </w:pPr>
      <w:bookmarkStart w:id="678" w:name="_Toc24041"/>
      <w:bookmarkStart w:id="679" w:name="_Toc17688"/>
      <w:bookmarkStart w:id="680" w:name="_Toc27663"/>
      <w:bookmarkStart w:id="681" w:name="_Toc22678"/>
      <w:bookmarkStart w:id="682" w:name="_Toc5000"/>
      <w:bookmarkStart w:id="683" w:name="_Toc332"/>
      <w:bookmarkStart w:id="684" w:name="_Toc1110"/>
      <w:bookmarkStart w:id="685" w:name="_Toc6275"/>
      <w:bookmarkStart w:id="686" w:name="_Toc24764"/>
      <w:bookmarkStart w:id="687" w:name="_Toc24464"/>
      <w:bookmarkStart w:id="688" w:name="_Toc6443"/>
      <w:bookmarkStart w:id="689" w:name="_Toc9483"/>
      <w:r>
        <w:rPr>
          <w:rFonts w:hint="default" w:ascii="Times New Roman" w:hAnsi="Times New Roman" w:eastAsia="黑体" w:cs="Times New Roman"/>
          <w:color w:val="000000" w:themeColor="text1"/>
          <w:sz w:val="32"/>
          <w:szCs w:val="32"/>
          <w:highlight w:val="none"/>
          <w14:textFill>
            <w14:solidFill>
              <w14:schemeClr w14:val="tx1"/>
            </w14:solidFill>
          </w14:textFill>
        </w:rPr>
        <w:t>第三节 健全立体式复合型现代农业经营体系</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690" w:name="_Toc14150"/>
      <w:bookmarkStart w:id="691" w:name="_Toc1500"/>
      <w:bookmarkStart w:id="692" w:name="_Toc1761"/>
      <w:bookmarkStart w:id="693" w:name="_Toc29006"/>
      <w:bookmarkStart w:id="694" w:name="_Toc23376"/>
      <w:bookmarkStart w:id="695" w:name="_Toc21780"/>
      <w:bookmarkStart w:id="696" w:name="_Toc25982"/>
      <w:bookmarkStart w:id="697" w:name="_Toc15168"/>
      <w:bookmarkStart w:id="698" w:name="_Toc32593"/>
      <w:bookmarkStart w:id="699" w:name="_Toc28607"/>
      <w:bookmarkStart w:id="700" w:name="_Toc14865"/>
      <w:bookmarkStart w:id="701" w:name="_Toc9477"/>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一、充分发挥农垦与供销系统引领作用</w:t>
      </w:r>
      <w:bookmarkEnd w:id="690"/>
      <w:bookmarkEnd w:id="691"/>
      <w:bookmarkEnd w:id="692"/>
      <w:bookmarkEnd w:id="693"/>
      <w:bookmarkEnd w:id="694"/>
      <w:bookmarkEnd w:id="695"/>
      <w:bookmarkEnd w:id="696"/>
      <w:bookmarkEnd w:id="697"/>
      <w:bookmarkEnd w:id="698"/>
      <w:bookmarkEnd w:id="699"/>
      <w:bookmarkEnd w:id="700"/>
      <w:bookmarkEnd w:id="701"/>
    </w:p>
    <w:p>
      <w:pPr>
        <w:spacing w:line="590" w:lineRule="exact"/>
        <w:ind w:firstLine="640" w:firstLineChars="200"/>
        <w:rPr>
          <w:rFonts w:hint="default" w:ascii="Times New Roman" w:hAnsi="Times New Roman"/>
          <w:color w:val="000000" w:themeColor="text1"/>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发挥海南农垦体量大、体系完整等优势，聚焦热带特色高效农业发展，持续推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进“一场一品”战</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略，</w:t>
      </w:r>
      <w:r>
        <w:rPr>
          <w:rFonts w:hint="default" w:ascii="Times New Roman" w:hAnsi="Times New Roman" w:eastAsia="仿宋_GB2312" w:cs="Times New Roman"/>
          <w:color w:val="000000" w:themeColor="text1"/>
          <w:sz w:val="32"/>
          <w:szCs w:val="32"/>
          <w:u w:val="none"/>
          <w14:textFill>
            <w14:solidFill>
              <w14:schemeClr w14:val="tx1"/>
            </w14:solidFill>
          </w14:textFill>
        </w:rPr>
        <w:t>在推动农业现代化进程中当好引领者，</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整体提升农业生产组织化水平。实施</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“农垦社会化服务+地方</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”行动，支持农垦组建专业化农业服务公司，搭建农垦社会化服务网络，</w:t>
      </w:r>
      <w:r>
        <w:rPr>
          <w:rFonts w:hint="default" w:ascii="Times New Roman" w:hAnsi="Times New Roman" w:eastAsia="仿宋_GB2312" w:cs="Times New Roman"/>
          <w:color w:val="000000" w:themeColor="text1"/>
          <w:sz w:val="32"/>
          <w:szCs w:val="32"/>
          <w:u w:val="none"/>
          <w14:textFill>
            <w14:solidFill>
              <w14:schemeClr w14:val="tx1"/>
            </w14:solidFill>
          </w14:textFill>
        </w:rPr>
        <w:t>健全垦地</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融合发展</w:t>
      </w:r>
      <w:r>
        <w:rPr>
          <w:rFonts w:hint="default" w:ascii="Times New Roman" w:hAnsi="Times New Roman" w:eastAsia="仿宋_GB2312" w:cs="Times New Roman"/>
          <w:color w:val="000000" w:themeColor="text1"/>
          <w:sz w:val="32"/>
          <w:szCs w:val="32"/>
          <w:u w:val="none"/>
          <w14:textFill>
            <w14:solidFill>
              <w14:schemeClr w14:val="tx1"/>
            </w14:solidFill>
          </w14:textFill>
        </w:rPr>
        <w:t>共赢机制，</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促进小农户和现代农业发展有机衔接。深化供销合作社综合改革，加快完善农产品流通网络，推动农产品便捷高效出岛，积极拓宽农产品跨境贸易，扩大国际经贸合作，高质量打造服务农民生产生活和促进现代农业发展的综合平台。</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702" w:name="_Toc14078"/>
      <w:bookmarkStart w:id="703" w:name="_Toc13923"/>
      <w:bookmarkStart w:id="704" w:name="_Toc19208"/>
      <w:bookmarkStart w:id="705" w:name="_Toc32558"/>
      <w:bookmarkStart w:id="706" w:name="_Toc6912"/>
      <w:bookmarkStart w:id="707" w:name="_Toc20708"/>
      <w:bookmarkStart w:id="708" w:name="_Toc24970"/>
      <w:bookmarkStart w:id="709" w:name="_Toc8282"/>
      <w:bookmarkStart w:id="710" w:name="_Toc11869"/>
      <w:bookmarkStart w:id="711" w:name="_Toc10934"/>
      <w:bookmarkStart w:id="712" w:name="_Toc1408"/>
      <w:bookmarkStart w:id="713" w:name="_Toc1093"/>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二、着力培育新型农业经营主体</w:t>
      </w:r>
      <w:bookmarkEnd w:id="702"/>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和社会化服务组织</w:t>
      </w:r>
      <w:bookmarkEnd w:id="703"/>
      <w:bookmarkEnd w:id="704"/>
      <w:bookmarkEnd w:id="705"/>
      <w:bookmarkEnd w:id="706"/>
      <w:bookmarkEnd w:id="707"/>
      <w:bookmarkEnd w:id="708"/>
      <w:bookmarkEnd w:id="709"/>
      <w:bookmarkEnd w:id="710"/>
      <w:bookmarkEnd w:id="711"/>
      <w:bookmarkEnd w:id="712"/>
      <w:bookmarkEnd w:id="713"/>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实施家庭农场培育计划，</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引导农户发展家庭农场，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创新金融</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支持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家庭农场建设，鼓励家庭农场使</w:t>
      </w:r>
      <w:r>
        <w:rPr>
          <w:rFonts w:hint="eastAsia" w:ascii="仿宋_GB2312" w:hAnsi="仿宋_GB2312" w:eastAsia="仿宋_GB2312" w:cs="仿宋_GB2312"/>
          <w:color w:val="000000" w:themeColor="text1"/>
          <w:sz w:val="32"/>
          <w:szCs w:val="32"/>
          <w:highlight w:val="none"/>
          <w14:textFill>
            <w14:solidFill>
              <w14:schemeClr w14:val="tx1"/>
            </w14:solidFill>
          </w14:textFill>
        </w:rPr>
        <w:t>用“一码通”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赋码增信，提升生产经营</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信息化水平</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推动农民合作社规范管理，培育农民合作社先进典型。</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支持农民合作社依法自愿组建联合社，鼓励农民合作社开展农产品加工、仓储物流、市场营销等，</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推动新型农业经营主体扶持政策同带动农户增收挂钩</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。引导各类涉农主体向社会化服务领域拓展，</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发展一批专业化水平高、具备全链条托管</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力的农业社会化服务组织</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。健全</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便捷高效的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农业社会化服务体系，分区域分专业建设现代农事综合服务中心。创新推广服务模式，</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推动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建设一批</w:t>
      </w:r>
      <w:r>
        <w:rPr>
          <w:rFonts w:hint="eastAsia" w:ascii="仿宋_GB2312" w:hAnsi="仿宋_GB2312" w:eastAsia="仿宋_GB2312" w:cs="仿宋_GB2312"/>
          <w:color w:val="000000" w:themeColor="text1"/>
          <w:sz w:val="32"/>
          <w:szCs w:val="32"/>
          <w:highlight w:val="none"/>
          <w14:textFill>
            <w14:solidFill>
              <w14:schemeClr w14:val="tx1"/>
            </w14:solidFill>
          </w14:textFill>
        </w:rPr>
        <w:t>“农服超市”</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提升规范化服务水平。</w:t>
      </w:r>
    </w:p>
    <w:p>
      <w:pPr>
        <w:keepNext w:val="0"/>
        <w:keepLines w:val="0"/>
        <w:pageBreakBefore w:val="0"/>
        <w:widowControl w:val="0"/>
        <w:kinsoku/>
        <w:wordWrap/>
        <w:overflowPunct/>
        <w:topLinePunct w:val="0"/>
        <w:autoSpaceDE/>
        <w:autoSpaceDN/>
        <w:bidi w:val="0"/>
        <w:adjustRightInd w:val="0"/>
        <w:snapToGrid w:val="0"/>
        <w:spacing w:line="590" w:lineRule="exact"/>
        <w:ind w:firstLine="642" w:firstLineChars="200"/>
        <w:textAlignment w:val="auto"/>
        <w:outlineLvl w:val="2"/>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pPr>
      <w:bookmarkStart w:id="714" w:name="_Toc22558"/>
      <w:bookmarkStart w:id="715" w:name="_Toc13267"/>
      <w:bookmarkStart w:id="716" w:name="_Toc2160"/>
      <w:bookmarkStart w:id="717" w:name="_Toc9970"/>
      <w:bookmarkStart w:id="718" w:name="_Toc31417"/>
      <w:bookmarkStart w:id="719" w:name="_Toc11008"/>
      <w:bookmarkStart w:id="720" w:name="_Toc6553"/>
      <w:bookmarkStart w:id="721" w:name="_Toc22505"/>
      <w:bookmarkStart w:id="722" w:name="_Toc19829"/>
      <w:bookmarkStart w:id="723" w:name="_Toc4291"/>
      <w:bookmarkStart w:id="724" w:name="_Toc29453"/>
      <w:bookmarkStart w:id="725" w:name="_Toc28756"/>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三、</w:t>
      </w:r>
      <w:bookmarkEnd w:id="714"/>
      <w:r>
        <w:rPr>
          <w:rFonts w:hint="eastAsia" w:ascii="楷体_GB2312" w:hAnsi="楷体_GB2312" w:eastAsia="楷体_GB2312" w:cs="楷体_GB2312"/>
          <w:b/>
          <w:bCs/>
          <w:color w:val="000000" w:themeColor="text1"/>
          <w:sz w:val="32"/>
          <w:szCs w:val="32"/>
          <w:highlight w:val="none"/>
          <w:lang w:val="en-US" w:eastAsia="zh-CN"/>
          <w14:textFill>
            <w14:solidFill>
              <w14:schemeClr w14:val="tx1"/>
            </w14:solidFill>
          </w14:textFill>
        </w:rPr>
        <w:t>健全农业企业联农带农机制</w:t>
      </w:r>
      <w:bookmarkEnd w:id="715"/>
      <w:bookmarkEnd w:id="716"/>
      <w:bookmarkEnd w:id="717"/>
      <w:bookmarkEnd w:id="718"/>
      <w:bookmarkEnd w:id="719"/>
      <w:bookmarkEnd w:id="720"/>
      <w:bookmarkEnd w:id="721"/>
      <w:bookmarkEnd w:id="722"/>
      <w:bookmarkEnd w:id="723"/>
      <w:bookmarkEnd w:id="724"/>
      <w:bookmarkEnd w:id="725"/>
    </w:p>
    <w:p>
      <w:pPr>
        <w:keepNext w:val="0"/>
        <w:keepLines w:val="0"/>
        <w:pageBreakBefore w:val="0"/>
        <w:widowControl/>
        <w:kinsoku/>
        <w:wordWrap/>
        <w:overflowPunct/>
        <w:topLinePunct w:val="0"/>
        <w:autoSpaceDE/>
        <w:autoSpaceDN/>
        <w:bidi w:val="0"/>
        <w:adjustRightInd/>
        <w:snapToGrid/>
        <w:spacing w:line="590" w:lineRule="exact"/>
        <w:ind w:firstLine="640" w:firstLineChars="200"/>
        <w:jc w:val="left"/>
        <w:textAlignment w:val="auto"/>
        <w:outlineLvl w:val="9"/>
        <w:rPr>
          <w:rFonts w:hint="eastAsia" w:ascii="Times New Roman" w:hAnsi="Times New Roman" w:cs="Times New Roman"/>
          <w:b/>
          <w:bCs/>
          <w:color w:val="000000" w:themeColor="text1"/>
          <w:sz w:val="28"/>
          <w:szCs w:val="28"/>
          <w:highlight w:val="none"/>
          <w:lang w:eastAsia="zh-CN"/>
          <w14:textFill>
            <w14:solidFill>
              <w14:schemeClr w14:val="tx1"/>
            </w14:solidFill>
          </w14:textFill>
        </w:rPr>
      </w:pPr>
      <w:r>
        <w:rPr>
          <w:rFonts w:hint="default" w:ascii="Times New Roman" w:hAnsi="Times New Roman" w:eastAsia="仿宋_GB2312" w:cs="Times New Roman"/>
          <w:i w:val="0"/>
          <w:iCs w:val="0"/>
          <w:caps w:val="0"/>
          <w:color w:val="000000" w:themeColor="text1"/>
          <w:spacing w:val="0"/>
          <w:sz w:val="32"/>
          <w:szCs w:val="32"/>
          <w:highlight w:val="none"/>
          <w:shd w:val="clear" w:fill="auto"/>
          <w14:textFill>
            <w14:solidFill>
              <w14:schemeClr w14:val="tx1"/>
            </w14:solidFill>
          </w14:textFill>
        </w:rPr>
        <w:t>坚持培育本土企业和引进</w:t>
      </w:r>
      <w:r>
        <w:rPr>
          <w:rFonts w:hint="default" w:ascii="Times New Roman" w:hAnsi="Times New Roman" w:eastAsia="仿宋_GB2312" w:cs="Times New Roman"/>
          <w:i w:val="0"/>
          <w:iCs w:val="0"/>
          <w:caps w:val="0"/>
          <w:color w:val="000000" w:themeColor="text1"/>
          <w:spacing w:val="0"/>
          <w:sz w:val="32"/>
          <w:szCs w:val="32"/>
          <w:highlight w:val="none"/>
          <w:shd w:val="clear" w:fill="auto"/>
          <w:lang w:eastAsia="zh-CN"/>
          <w14:textFill>
            <w14:solidFill>
              <w14:schemeClr w14:val="tx1"/>
            </w14:solidFill>
          </w14:textFill>
        </w:rPr>
        <w:t>龙头</w:t>
      </w:r>
      <w:r>
        <w:rPr>
          <w:rFonts w:hint="default" w:ascii="Times New Roman" w:hAnsi="Times New Roman" w:eastAsia="仿宋_GB2312" w:cs="Times New Roman"/>
          <w:i w:val="0"/>
          <w:iCs w:val="0"/>
          <w:caps w:val="0"/>
          <w:color w:val="000000" w:themeColor="text1"/>
          <w:spacing w:val="0"/>
          <w:sz w:val="32"/>
          <w:szCs w:val="32"/>
          <w:highlight w:val="none"/>
          <w:shd w:val="clear" w:fill="auto"/>
          <w14:textFill>
            <w14:solidFill>
              <w14:schemeClr w14:val="tx1"/>
            </w14:solidFill>
          </w14:textFill>
        </w:rPr>
        <w:t>企业相结合，</w:t>
      </w:r>
      <w:r>
        <w:rPr>
          <w:rFonts w:hint="default" w:ascii="Times New Roman" w:hAnsi="Times New Roman" w:eastAsia="仿宋_GB2312" w:cs="Times New Roman"/>
          <w:i w:val="0"/>
          <w:iCs w:val="0"/>
          <w:caps w:val="0"/>
          <w:color w:val="000000" w:themeColor="text1"/>
          <w:spacing w:val="0"/>
          <w:sz w:val="32"/>
          <w:szCs w:val="32"/>
          <w:highlight w:val="none"/>
          <w:shd w:val="clear" w:fill="auto"/>
          <w:lang w:val="en-US" w:eastAsia="zh-CN"/>
          <w14:textFill>
            <w14:solidFill>
              <w14:schemeClr w14:val="tx1"/>
            </w14:solidFill>
          </w14:textFill>
        </w:rPr>
        <w:t>持续加强农业</w:t>
      </w:r>
      <w:r>
        <w:rPr>
          <w:rFonts w:hint="default" w:ascii="Times New Roman" w:hAnsi="Times New Roman" w:eastAsia="仿宋_GB2312" w:cs="Times New Roman"/>
          <w:i w:val="0"/>
          <w:iCs w:val="0"/>
          <w:caps w:val="0"/>
          <w:color w:val="000000" w:themeColor="text1"/>
          <w:spacing w:val="0"/>
          <w:sz w:val="32"/>
          <w:szCs w:val="32"/>
          <w:highlight w:val="none"/>
          <w:shd w:val="clear" w:fill="auto"/>
          <w14:textFill>
            <w14:solidFill>
              <w14:schemeClr w14:val="tx1"/>
            </w14:solidFill>
          </w14:textFill>
        </w:rPr>
        <w:t>企业</w:t>
      </w:r>
      <w:r>
        <w:rPr>
          <w:rFonts w:hint="default" w:ascii="Times New Roman" w:hAnsi="Times New Roman" w:eastAsia="仿宋_GB2312" w:cs="Times New Roman"/>
          <w:i w:val="0"/>
          <w:iCs w:val="0"/>
          <w:caps w:val="0"/>
          <w:color w:val="000000" w:themeColor="text1"/>
          <w:spacing w:val="0"/>
          <w:sz w:val="32"/>
          <w:szCs w:val="32"/>
          <w:highlight w:val="none"/>
          <w:shd w:val="clear" w:fill="auto"/>
          <w:lang w:eastAsia="zh-CN"/>
          <w14:textFill>
            <w14:solidFill>
              <w14:schemeClr w14:val="tx1"/>
            </w14:solidFill>
          </w14:textFill>
        </w:rPr>
        <w:t>引</w:t>
      </w:r>
      <w:r>
        <w:rPr>
          <w:rFonts w:hint="default" w:ascii="Times New Roman" w:hAnsi="Times New Roman" w:eastAsia="仿宋_GB2312" w:cs="Times New Roman"/>
          <w:i w:val="0"/>
          <w:iCs w:val="0"/>
          <w:caps w:val="0"/>
          <w:color w:val="000000" w:themeColor="text1"/>
          <w:spacing w:val="0"/>
          <w:sz w:val="32"/>
          <w:szCs w:val="32"/>
          <w:highlight w:val="none"/>
          <w:shd w:val="clear" w:fill="auto"/>
          <w14:textFill>
            <w14:solidFill>
              <w14:schemeClr w14:val="tx1"/>
            </w14:solidFill>
          </w14:textFill>
        </w:rPr>
        <w:t>育</w:t>
      </w:r>
      <w:r>
        <w:rPr>
          <w:rFonts w:hint="default" w:ascii="Times New Roman" w:hAnsi="Times New Roman" w:eastAsia="仿宋_GB2312" w:cs="Times New Roman"/>
          <w:i w:val="0"/>
          <w:iCs w:val="0"/>
          <w:caps w:val="0"/>
          <w:color w:val="000000" w:themeColor="text1"/>
          <w:spacing w:val="0"/>
          <w:sz w:val="32"/>
          <w:szCs w:val="32"/>
          <w:highlight w:val="none"/>
          <w:shd w:val="clear" w:fill="auto"/>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用好</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海南自贸港</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贸易和投资自由便利等</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优惠</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政策，吸引</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国内外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农业企业</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落户，围绕农业补链延链强链开展业务。梯次创建现代农业产业园，引导农业企业向园区聚集。</w:t>
      </w:r>
      <w:r>
        <w:rPr>
          <w:rFonts w:hint="eastAsia" w:ascii="仿宋_GB2312" w:hAnsi="仿宋_GB2312" w:eastAsia="仿宋_GB2312" w:cs="仿宋_GB2312"/>
          <w:i w:val="0"/>
          <w:iCs w:val="0"/>
          <w:caps w:val="0"/>
          <w:color w:val="000000" w:themeColor="text1"/>
          <w:spacing w:val="0"/>
          <w:sz w:val="32"/>
          <w:szCs w:val="32"/>
          <w:highlight w:val="none"/>
          <w:shd w:val="clear" w:fill="auto"/>
          <w:lang w:val="en-US" w:eastAsia="zh-CN"/>
          <w14:textFill>
            <w14:solidFill>
              <w14:schemeClr w14:val="tx1"/>
            </w14:solidFill>
          </w14:textFill>
        </w:rPr>
        <w:t>完善“</w:t>
      </w:r>
      <w:r>
        <w:rPr>
          <w:rFonts w:hint="default" w:ascii="Times New Roman" w:hAnsi="Times New Roman" w:eastAsia="仿宋_GB2312" w:cs="Times New Roman"/>
          <w:i w:val="0"/>
          <w:iCs w:val="0"/>
          <w:caps w:val="0"/>
          <w:color w:val="000000" w:themeColor="text1"/>
          <w:spacing w:val="0"/>
          <w:sz w:val="32"/>
          <w:szCs w:val="32"/>
          <w:highlight w:val="none"/>
          <w:shd w:val="clear" w:fill="auto"/>
          <w:lang w:val="en-US" w:eastAsia="zh-CN"/>
          <w14:textFill>
            <w14:solidFill>
              <w14:schemeClr w14:val="tx1"/>
            </w14:solidFill>
          </w14:textFill>
        </w:rPr>
        <w:t>龙头企业+</w:t>
      </w:r>
      <w:r>
        <w:rPr>
          <w:rFonts w:hint="eastAsia" w:ascii="仿宋_GB2312" w:hAnsi="仿宋_GB2312" w:eastAsia="仿宋_GB2312" w:cs="仿宋_GB2312"/>
          <w:i w:val="0"/>
          <w:iCs w:val="0"/>
          <w:caps w:val="0"/>
          <w:color w:val="000000" w:themeColor="text1"/>
          <w:spacing w:val="0"/>
          <w:sz w:val="32"/>
          <w:szCs w:val="32"/>
          <w:highlight w:val="none"/>
          <w:shd w:val="clear" w:fill="auto"/>
          <w:lang w:val="en-US" w:eastAsia="zh-CN"/>
          <w14:textFill>
            <w14:solidFill>
              <w14:schemeClr w14:val="tx1"/>
            </w14:solidFill>
          </w14:textFill>
        </w:rPr>
        <w:t>农户”</w:t>
      </w:r>
      <w:r>
        <w:rPr>
          <w:rFonts w:hint="default" w:ascii="Times New Roman" w:hAnsi="Times New Roman" w:eastAsia="仿宋_GB2312" w:cs="Times New Roman"/>
          <w:i w:val="0"/>
          <w:iCs w:val="0"/>
          <w:caps w:val="0"/>
          <w:color w:val="000000" w:themeColor="text1"/>
          <w:spacing w:val="0"/>
          <w:sz w:val="32"/>
          <w:szCs w:val="32"/>
          <w:highlight w:val="none"/>
          <w:shd w:val="clear" w:fill="auto"/>
          <w:lang w:val="en-US" w:eastAsia="zh-CN"/>
          <w14:textFill>
            <w14:solidFill>
              <w14:schemeClr w14:val="tx1"/>
            </w14:solidFill>
          </w14:textFill>
        </w:rPr>
        <w:t>等利益联结机制，通过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订单收购、保底分红、二次返利、股份合作、吸纳就业、村企</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合作</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多种</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方式</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提高联农带农水平</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引导农户深度融入产业链，</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推动从</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“要我干”到“一起赚”</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转变。</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到2030年，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力争</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培育</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省级及以上农业龙头企业280家</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bookmarkStart w:id="726" w:name="_Toc1736"/>
      <w:bookmarkStart w:id="727" w:name="_Toc22723"/>
    </w:p>
    <w:p>
      <w:pPr>
        <w:keepNext w:val="0"/>
        <w:keepLines w:val="0"/>
        <w:widowControl w:val="0"/>
        <w:suppressLineNumbers w:val="0"/>
        <w:adjustRightInd w:val="0"/>
        <w:snapToGrid w:val="0"/>
        <w:spacing w:line="590" w:lineRule="exact"/>
        <w:ind w:firstLine="642" w:firstLineChars="200"/>
        <w:jc w:val="left"/>
        <w:outlineLvl w:val="2"/>
        <w:rPr>
          <w:rFonts w:hint="eastAsia" w:ascii="楷体_GB2312" w:hAnsi="楷体_GB2312" w:eastAsia="楷体_GB2312" w:cs="楷体_GB2312"/>
          <w:b/>
          <w:bCs/>
          <w:i w:val="0"/>
          <w:iCs w:val="0"/>
          <w:caps w:val="0"/>
          <w:color w:val="000000" w:themeColor="text1"/>
          <w:spacing w:val="0"/>
          <w:kern w:val="2"/>
          <w:sz w:val="32"/>
          <w:szCs w:val="32"/>
          <w:highlight w:val="none"/>
          <w:shd w:val="clear"/>
          <w:lang w:val="en-US" w:eastAsia="zh-CN" w:bidi="ar"/>
          <w14:textFill>
            <w14:solidFill>
              <w14:schemeClr w14:val="tx1"/>
            </w14:solidFill>
          </w14:textFill>
        </w:rPr>
      </w:pPr>
      <w:bookmarkStart w:id="728" w:name="_Toc10170"/>
      <w:bookmarkStart w:id="729" w:name="_Toc30207"/>
      <w:bookmarkStart w:id="730" w:name="_Toc16392"/>
      <w:bookmarkStart w:id="731" w:name="_Toc25072"/>
      <w:bookmarkStart w:id="732" w:name="_Toc13111"/>
      <w:bookmarkStart w:id="733" w:name="_Toc20241"/>
      <w:bookmarkStart w:id="734" w:name="_Toc21159"/>
      <w:bookmarkStart w:id="735" w:name="_Toc8273"/>
      <w:bookmarkStart w:id="736" w:name="_Toc733"/>
      <w:bookmarkStart w:id="737" w:name="_Toc8652"/>
      <w:r>
        <w:rPr>
          <w:rFonts w:hint="eastAsia" w:ascii="楷体_GB2312" w:hAnsi="楷体_GB2312" w:eastAsia="楷体_GB2312" w:cs="楷体_GB2312"/>
          <w:b/>
          <w:bCs/>
          <w:color w:val="000000" w:themeColor="text1"/>
          <w:sz w:val="32"/>
          <w:szCs w:val="32"/>
          <w:highlight w:val="none"/>
          <w:lang w:eastAsia="zh-CN"/>
          <w14:textFill>
            <w14:solidFill>
              <w14:schemeClr w14:val="tx1"/>
            </w14:solidFill>
          </w14:textFill>
        </w:rPr>
        <w:t>四、</w:t>
      </w:r>
      <w:r>
        <w:rPr>
          <w:rFonts w:hint="eastAsia" w:ascii="楷体_GB2312" w:hAnsi="楷体_GB2312" w:eastAsia="楷体_GB2312" w:cs="楷体_GB2312"/>
          <w:b/>
          <w:bCs/>
          <w:i w:val="0"/>
          <w:iCs w:val="0"/>
          <w:caps w:val="0"/>
          <w:color w:val="000000" w:themeColor="text1"/>
          <w:spacing w:val="0"/>
          <w:kern w:val="2"/>
          <w:sz w:val="32"/>
          <w:szCs w:val="32"/>
          <w:highlight w:val="none"/>
          <w:shd w:val="clear"/>
          <w:lang w:val="en-US" w:eastAsia="zh-CN" w:bidi="ar"/>
          <w14:textFill>
            <w14:solidFill>
              <w14:schemeClr w14:val="tx1"/>
            </w14:solidFill>
          </w14:textFill>
        </w:rPr>
        <w:t>持续完善农产品产运销体系</w:t>
      </w:r>
      <w:bookmarkEnd w:id="728"/>
      <w:bookmarkEnd w:id="729"/>
      <w:bookmarkEnd w:id="730"/>
      <w:bookmarkEnd w:id="731"/>
      <w:bookmarkEnd w:id="732"/>
      <w:bookmarkEnd w:id="733"/>
      <w:bookmarkEnd w:id="734"/>
      <w:bookmarkEnd w:id="735"/>
      <w:bookmarkEnd w:id="736"/>
      <w:bookmarkEnd w:id="737"/>
    </w:p>
    <w:p>
      <w:pPr>
        <w:keepNext w:val="0"/>
        <w:keepLines w:val="0"/>
        <w:widowControl/>
        <w:suppressLineNumbers w:val="0"/>
        <w:spacing w:line="590" w:lineRule="exact"/>
        <w:ind w:firstLine="640" w:firstLineChars="200"/>
        <w:jc w:val="both"/>
        <w:rPr>
          <w:rFonts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仿宋_GB2312"/>
          <w:b w:val="0"/>
          <w:bCs w:val="0"/>
          <w:color w:val="000000" w:themeColor="text1"/>
          <w:sz w:val="32"/>
          <w:szCs w:val="32"/>
          <w:highlight w:val="none"/>
          <w:lang w:eastAsia="zh-CN"/>
          <w14:textFill>
            <w14:solidFill>
              <w14:schemeClr w14:val="tx1"/>
            </w14:solidFill>
          </w14:textFill>
        </w:rPr>
        <w:t>加强公益运销体系建设，建强供销三级运销队伍，打造以供销、农垦为龙头的运销骨干力量，在农产品产销对接、应急保供、应急促销中发挥公益性主渠道作用。按农产品产业链分类，组建涵盖生产、加工、运销全链条，集聚行业协会、农业龙头企业、农批市场、电商平台、品牌连锁及供应链企业的农产品产销联盟，发挥稳价促销桥梁纽带作用。</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大</w:t>
      </w:r>
      <w:r>
        <w:rPr>
          <w:rFonts w:hint="default" w:ascii="Times New Roman" w:hAnsi="Times New Roman" w:eastAsia="仿宋_GB2312"/>
          <w:b w:val="0"/>
          <w:bCs w:val="0"/>
          <w:color w:val="000000" w:themeColor="text1"/>
          <w:sz w:val="32"/>
          <w:szCs w:val="32"/>
          <w:highlight w:val="none"/>
          <w:lang w:eastAsia="zh-CN"/>
          <w14:textFill>
            <w14:solidFill>
              <w14:schemeClr w14:val="tx1"/>
            </w14:solidFill>
          </w14:textFill>
        </w:rPr>
        <w:t>力发展推广订单农业，坚持优质优产、适度规模，提升农业标准化水平与品牌影响力，强化宣传引导、产销对接与生产主体联结，规范订单运行模式，切实解决农</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民“会种不会卖、卖不好”问</w:t>
      </w:r>
      <w:r>
        <w:rPr>
          <w:rFonts w:hint="default" w:ascii="Times New Roman" w:hAnsi="Times New Roman" w:eastAsia="仿宋_GB2312"/>
          <w:b w:val="0"/>
          <w:bCs w:val="0"/>
          <w:color w:val="000000" w:themeColor="text1"/>
          <w:sz w:val="32"/>
          <w:szCs w:val="32"/>
          <w:highlight w:val="none"/>
          <w:lang w:eastAsia="zh-CN"/>
          <w14:textFill>
            <w14:solidFill>
              <w14:schemeClr w14:val="tx1"/>
            </w14:solidFill>
          </w14:textFill>
        </w:rPr>
        <w:t>题。</w:t>
      </w:r>
    </w:p>
    <w:bookmarkEnd w:id="726"/>
    <w:bookmarkEnd w:id="727"/>
    <w:tbl>
      <w:tblPr>
        <w:tblStyle w:val="20"/>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rHeight w:val="476" w:hRule="atLeast"/>
          <w:jc w:val="center"/>
        </w:trPr>
        <w:tc>
          <w:tcPr>
            <w:tcW w:w="884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top"/>
          </w:tcPr>
          <w:p>
            <w:pPr>
              <w:widowControl/>
              <w:pBdr>
                <w:top w:val="none" w:color="auto" w:sz="0" w:space="0"/>
                <w:left w:val="none" w:color="auto" w:sz="0" w:space="0"/>
                <w:bottom w:val="none" w:color="auto" w:sz="0" w:space="0"/>
                <w:right w:val="none" w:color="auto" w:sz="0" w:space="0"/>
                <w:between w:val="none" w:color="auto" w:sz="0" w:space="0"/>
              </w:pBdr>
              <w:snapToGrid/>
              <w:spacing w:beforeLines="-2147483648" w:afterLines="-2147483648" w:line="360" w:lineRule="auto"/>
              <w:ind w:firstLine="0" w:firstLineChars="0"/>
              <w:jc w:val="center"/>
              <w:outlineLvl w:val="0"/>
              <w:rPr>
                <w:rFonts w:hint="default" w:ascii="Times New Roman" w:hAnsi="Times New Roman" w:cs="Times New Roman" w:eastAsiaTheme="minorEastAsia"/>
                <w:b/>
                <w:bCs/>
                <w:color w:val="000000" w:themeColor="text1"/>
                <w:sz w:val="24"/>
                <w:szCs w:val="24"/>
                <w:highlight w:val="none"/>
                <w:lang w:val="en-US" w:eastAsia="zh-CN"/>
                <w14:textFill>
                  <w14:solidFill>
                    <w14:schemeClr w14:val="tx1"/>
                  </w14:solidFill>
                </w14:textFill>
              </w:rPr>
            </w:pPr>
            <w:bookmarkStart w:id="738" w:name="_Toc32347"/>
            <w:bookmarkStart w:id="739" w:name="_Toc26444"/>
            <w:bookmarkStart w:id="740" w:name="_Toc29339"/>
            <w:bookmarkStart w:id="741" w:name="_Toc13183"/>
            <w:bookmarkStart w:id="742" w:name="_Toc17010"/>
            <w:bookmarkStart w:id="743" w:name="_Toc3256"/>
            <w:bookmarkStart w:id="744" w:name="_Toc17059"/>
            <w:bookmarkStart w:id="745" w:name="_Toc28132"/>
            <w:bookmarkStart w:id="746" w:name="_Toc6447"/>
            <w:bookmarkStart w:id="747" w:name="_Toc12831"/>
            <w:r>
              <w:rPr>
                <w:rFonts w:hint="eastAsia" w:ascii="楷体" w:hAnsi="楷体" w:eastAsia="楷体" w:cs="楷体"/>
                <w:b w:val="0"/>
                <w:bCs/>
                <w:color w:val="000000"/>
                <w:sz w:val="28"/>
                <w:szCs w:val="28"/>
                <w:highlight w:val="none"/>
                <w:shd w:val="clear" w:color="auto" w:fill="FFFFFF"/>
                <w:lang w:val="en-US" w:eastAsia="zh-CN"/>
              </w:rPr>
              <w:t>专栏5  立体式复合型现代农业经营体系工程</w:t>
            </w:r>
            <w:bookmarkEnd w:id="738"/>
            <w:bookmarkEnd w:id="739"/>
            <w:bookmarkEnd w:id="740"/>
            <w:bookmarkEnd w:id="741"/>
            <w:bookmarkEnd w:id="742"/>
            <w:bookmarkEnd w:id="743"/>
            <w:bookmarkEnd w:id="744"/>
            <w:bookmarkEnd w:id="745"/>
            <w:bookmarkEnd w:id="746"/>
            <w:bookmarkEnd w:id="747"/>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widowControl/>
              <w:pBdr>
                <w:top w:val="none" w:color="auto" w:sz="0" w:space="0"/>
                <w:left w:val="none" w:color="auto" w:sz="0" w:space="0"/>
                <w:bottom w:val="none" w:color="auto" w:sz="0" w:space="0"/>
                <w:right w:val="none" w:color="auto" w:sz="0" w:space="0"/>
                <w:between w:val="none" w:color="auto" w:sz="0" w:space="0"/>
              </w:pBdr>
              <w:snapToGrid/>
              <w:spacing w:line="440" w:lineRule="exact"/>
              <w:ind w:firstLine="0" w:firstLineChars="0"/>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01</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充分发挥农垦与供销系统引领作用</w:t>
            </w:r>
          </w:p>
          <w:p>
            <w:pPr>
              <w:widowControl/>
              <w:pBdr>
                <w:top w:val="none" w:color="auto" w:sz="0" w:space="0"/>
                <w:left w:val="none" w:color="auto" w:sz="0" w:space="0"/>
                <w:bottom w:val="none" w:color="auto" w:sz="0" w:space="0"/>
                <w:right w:val="none" w:color="auto" w:sz="0" w:space="0"/>
                <w:between w:val="none" w:color="auto" w:sz="0" w:space="0"/>
              </w:pBdr>
              <w:tabs>
                <w:tab w:val="left" w:pos="960"/>
              </w:tabs>
              <w:snapToGrid/>
              <w:spacing w:line="440" w:lineRule="exact"/>
              <w:ind w:left="630" w:leftChars="300" w:firstLine="0" w:firstLineChars="0"/>
              <w:outlineLvl w:val="9"/>
              <w:rPr>
                <w:rFonts w:hint="default" w:ascii="Times New Roman" w:hAnsi="Times New Roman" w:cs="Times New Roman" w:eastAsiaTheme="minorEastAsia"/>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_GB2312" w:cs="Times New Roman"/>
                <w:color w:val="auto"/>
                <w:sz w:val="28"/>
                <w:szCs w:val="28"/>
                <w:highlight w:val="none"/>
                <w:u w:val="none"/>
                <w:shd w:val="clear" w:color="auto" w:fill="auto"/>
                <w:lang w:eastAsia="zh-CN"/>
              </w:rPr>
              <w:t>发挥海南农垦、供销合作社</w:t>
            </w:r>
            <w:r>
              <w:rPr>
                <w:rFonts w:hint="eastAsia" w:ascii="Times New Roman" w:hAnsi="Times New Roman" w:eastAsia="仿宋_GB2312" w:cs="Times New Roman"/>
                <w:color w:val="auto"/>
                <w:sz w:val="28"/>
                <w:szCs w:val="28"/>
                <w:highlight w:val="none"/>
                <w:u w:val="none"/>
                <w:shd w:val="clear" w:color="auto" w:fill="auto"/>
                <w:lang w:val="en-US" w:eastAsia="zh-CN"/>
              </w:rPr>
              <w:t>带动作用，提升</w:t>
            </w:r>
            <w:r>
              <w:rPr>
                <w:rFonts w:hint="eastAsia" w:ascii="Times New Roman" w:hAnsi="Times New Roman" w:eastAsia="仿宋_GB2312" w:cs="Times New Roman"/>
                <w:color w:val="auto"/>
                <w:sz w:val="28"/>
                <w:szCs w:val="28"/>
                <w:highlight w:val="none"/>
                <w:u w:val="none"/>
                <w:shd w:val="clear" w:color="auto" w:fill="auto"/>
                <w:lang w:eastAsia="zh-CN"/>
              </w:rPr>
              <w:t>农业生产组织化水平。</w:t>
            </w:r>
            <w:r>
              <w:rPr>
                <w:rFonts w:hint="eastAsia" w:ascii="Times New Roman" w:hAnsi="Times New Roman" w:eastAsia="仿宋_GB2312" w:cs="Times New Roman"/>
                <w:color w:val="auto"/>
                <w:sz w:val="28"/>
                <w:szCs w:val="28"/>
                <w:highlight w:val="none"/>
                <w:u w:val="none"/>
                <w:shd w:val="clear" w:color="auto" w:fill="auto"/>
              </w:rPr>
              <w:t>实施“农垦社会化服务+地方”行动</w:t>
            </w:r>
            <w:r>
              <w:rPr>
                <w:rFonts w:hint="eastAsia" w:ascii="Times New Roman" w:hAnsi="Times New Roman" w:eastAsia="仿宋_GB2312" w:cs="Times New Roman"/>
                <w:color w:val="auto"/>
                <w:sz w:val="28"/>
                <w:szCs w:val="28"/>
                <w:highlight w:val="none"/>
                <w:u w:val="none"/>
                <w:shd w:val="clear" w:color="auto" w:fill="auto"/>
                <w:lang w:eastAsia="zh-CN"/>
              </w:rPr>
              <w:t>，</w:t>
            </w:r>
            <w:r>
              <w:rPr>
                <w:rFonts w:hint="eastAsia" w:ascii="Times New Roman" w:hAnsi="Times New Roman" w:eastAsia="仿宋_GB2312" w:cs="Times New Roman"/>
                <w:color w:val="auto"/>
                <w:sz w:val="28"/>
                <w:szCs w:val="28"/>
                <w:highlight w:val="none"/>
                <w:u w:val="none"/>
                <w:shd w:val="clear" w:color="auto" w:fill="auto"/>
                <w:lang w:val="en-US" w:eastAsia="zh-CN"/>
              </w:rPr>
              <w:t>推动垦地深度融合发展</w:t>
            </w:r>
            <w:r>
              <w:rPr>
                <w:rFonts w:hint="eastAsia" w:ascii="Times New Roman" w:hAnsi="Times New Roman" w:eastAsia="仿宋_GB2312" w:cs="Times New Roman"/>
                <w:color w:val="auto"/>
                <w:sz w:val="28"/>
                <w:szCs w:val="28"/>
                <w:highlight w:val="none"/>
                <w:u w:val="none"/>
                <w:shd w:val="clear" w:color="auto" w:fill="auto"/>
                <w:lang w:eastAsia="zh-CN"/>
              </w:rPr>
              <w:t>。打造农业综合服务平台，力争建设“农服超市”20个以上。</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widowControl/>
              <w:pBdr>
                <w:top w:val="none" w:color="auto" w:sz="0" w:space="0"/>
                <w:left w:val="none" w:color="auto" w:sz="0" w:space="0"/>
                <w:bottom w:val="none" w:color="auto" w:sz="0" w:space="0"/>
                <w:right w:val="none" w:color="auto" w:sz="0" w:space="0"/>
                <w:between w:val="none" w:color="auto" w:sz="0" w:space="0"/>
              </w:pBdr>
              <w:snapToGrid/>
              <w:spacing w:line="440" w:lineRule="exact"/>
              <w:ind w:firstLine="0" w:firstLineChars="0"/>
              <w:rPr>
                <w:rFonts w:hint="eastAsia" w:ascii="楷体_GB2312" w:hAnsi="楷体_GB2312" w:eastAsia="楷体_GB2312" w:cs="楷体_GB2312"/>
                <w:b w:val="0"/>
                <w:bCs w:val="0"/>
                <w:color w:val="auto"/>
                <w:sz w:val="28"/>
                <w:szCs w:val="28"/>
                <w:highlight w:val="none"/>
                <w:u w:val="none"/>
                <w:shd w:val="clear" w:color="auto" w:fill="auto"/>
                <w:lang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02</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eastAsia="zh-CN"/>
              </w:rPr>
              <w:t>着力培育新型农业经营主体和社会化服务组织</w:t>
            </w:r>
          </w:p>
          <w:p>
            <w:pPr>
              <w:widowControl/>
              <w:pBdr>
                <w:top w:val="none" w:color="auto" w:sz="0" w:space="0"/>
                <w:left w:val="none" w:color="auto" w:sz="0" w:space="0"/>
                <w:bottom w:val="none" w:color="auto" w:sz="0" w:space="0"/>
                <w:right w:val="none" w:color="auto" w:sz="0" w:space="0"/>
                <w:between w:val="none" w:color="auto" w:sz="0" w:space="0"/>
              </w:pBdr>
              <w:tabs>
                <w:tab w:val="left" w:pos="960"/>
              </w:tabs>
              <w:snapToGrid/>
              <w:spacing w:line="440" w:lineRule="exact"/>
              <w:ind w:left="630" w:leftChars="300" w:firstLine="0" w:firstLineChars="0"/>
              <w:outlineLvl w:val="9"/>
              <w:rPr>
                <w:rFonts w:hint="default" w:ascii="Times New Roman" w:hAnsi="Times New Roman" w:cs="Times New Roman" w:eastAsiaTheme="minorEastAsia"/>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_GB2312" w:cs="Times New Roman"/>
                <w:color w:val="auto"/>
                <w:sz w:val="28"/>
                <w:szCs w:val="28"/>
                <w:highlight w:val="none"/>
                <w:u w:val="none"/>
                <w:shd w:val="clear" w:color="auto" w:fill="auto"/>
                <w:lang w:val="en-US" w:eastAsia="zh-CN"/>
              </w:rPr>
              <w:t>实施新型农业经营主体提升和“千员带万社”行动。培育一批</w:t>
            </w:r>
            <w:r>
              <w:rPr>
                <w:rFonts w:hint="eastAsia" w:ascii="Times New Roman" w:hAnsi="Times New Roman" w:eastAsia="仿宋_GB2312" w:cs="Times New Roman"/>
                <w:color w:val="auto"/>
                <w:sz w:val="28"/>
                <w:szCs w:val="28"/>
                <w:highlight w:val="none"/>
                <w:u w:val="none"/>
                <w:shd w:val="clear" w:color="auto" w:fill="auto"/>
              </w:rPr>
              <w:t>经营规模适度、财务管理规范、制度健全有效、生产服务优质、联农带农紧密</w:t>
            </w:r>
            <w:r>
              <w:rPr>
                <w:rFonts w:hint="eastAsia" w:ascii="Times New Roman" w:hAnsi="Times New Roman" w:eastAsia="仿宋_GB2312" w:cs="Times New Roman"/>
                <w:color w:val="auto"/>
                <w:sz w:val="28"/>
                <w:szCs w:val="28"/>
                <w:highlight w:val="none"/>
                <w:u w:val="none"/>
                <w:shd w:val="clear" w:color="auto" w:fill="auto"/>
                <w:lang w:val="en-US" w:eastAsia="zh-CN"/>
              </w:rPr>
              <w:t>的</w:t>
            </w:r>
            <w:r>
              <w:rPr>
                <w:rFonts w:hint="eastAsia" w:ascii="Times New Roman" w:hAnsi="Times New Roman" w:eastAsia="仿宋_GB2312" w:cs="Times New Roman"/>
                <w:color w:val="auto"/>
                <w:sz w:val="28"/>
                <w:szCs w:val="28"/>
                <w:highlight w:val="none"/>
                <w:u w:val="none"/>
                <w:shd w:val="clear" w:color="auto" w:fill="auto"/>
              </w:rPr>
              <w:t>农民合作社先进典型</w:t>
            </w:r>
            <w:r>
              <w:rPr>
                <w:rFonts w:hint="eastAsia" w:ascii="Times New Roman" w:hAnsi="Times New Roman" w:eastAsia="仿宋_GB2312" w:cs="Times New Roman"/>
                <w:color w:val="auto"/>
                <w:sz w:val="28"/>
                <w:szCs w:val="28"/>
                <w:highlight w:val="none"/>
                <w:u w:val="none"/>
                <w:shd w:val="clear" w:color="auto" w:fill="auto"/>
                <w:lang w:eastAsia="zh-CN"/>
              </w:rPr>
              <w:t>。</w:t>
            </w:r>
            <w:r>
              <w:rPr>
                <w:rFonts w:hint="eastAsia" w:ascii="Times New Roman" w:hAnsi="Times New Roman" w:eastAsia="仿宋_GB2312" w:cs="Times New Roman"/>
                <w:color w:val="auto"/>
                <w:sz w:val="28"/>
                <w:szCs w:val="28"/>
                <w:highlight w:val="none"/>
                <w:u w:val="none"/>
                <w:shd w:val="clear" w:color="auto" w:fill="auto"/>
              </w:rPr>
              <w:t>引导农户发展规模适度、生产集约、绿色高效的家庭农场</w:t>
            </w:r>
            <w:r>
              <w:rPr>
                <w:rFonts w:hint="eastAsia" w:ascii="Times New Roman" w:hAnsi="Times New Roman" w:eastAsia="仿宋_GB2312" w:cs="Times New Roman"/>
                <w:color w:val="auto"/>
                <w:sz w:val="28"/>
                <w:szCs w:val="28"/>
                <w:highlight w:val="none"/>
                <w:u w:val="none"/>
                <w:shd w:val="clear" w:color="auto" w:fill="auto"/>
                <w:lang w:eastAsia="zh-CN"/>
              </w:rPr>
              <w:t>。</w:t>
            </w:r>
            <w:r>
              <w:rPr>
                <w:rFonts w:hint="eastAsia" w:ascii="Times New Roman" w:hAnsi="Times New Roman" w:eastAsia="仿宋_GB2312" w:cs="Times New Roman"/>
                <w:color w:val="auto"/>
                <w:sz w:val="28"/>
                <w:szCs w:val="28"/>
                <w:highlight w:val="none"/>
                <w:u w:val="none"/>
                <w:shd w:val="clear" w:color="auto" w:fill="auto"/>
                <w:lang w:val="en-US" w:eastAsia="zh-CN"/>
              </w:rPr>
              <w:t>开展农业产业化联合体建设行动。</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widowControl/>
              <w:pBdr>
                <w:top w:val="none" w:color="auto" w:sz="0" w:space="0"/>
                <w:left w:val="none" w:color="auto" w:sz="0" w:space="0"/>
                <w:bottom w:val="none" w:color="auto" w:sz="0" w:space="0"/>
                <w:right w:val="none" w:color="auto" w:sz="0" w:space="0"/>
                <w:between w:val="none" w:color="auto" w:sz="0" w:space="0"/>
              </w:pBdr>
              <w:snapToGrid/>
              <w:spacing w:line="440" w:lineRule="exact"/>
              <w:ind w:firstLine="0" w:firstLineChars="0"/>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03</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健全农业企业联农带农机制</w:t>
            </w:r>
          </w:p>
          <w:p>
            <w:pPr>
              <w:widowControl/>
              <w:pBdr>
                <w:top w:val="none" w:color="auto" w:sz="0" w:space="0"/>
                <w:left w:val="none" w:color="auto" w:sz="0" w:space="0"/>
                <w:bottom w:val="none" w:color="auto" w:sz="0" w:space="0"/>
                <w:right w:val="none" w:color="auto" w:sz="0" w:space="0"/>
                <w:between w:val="none" w:color="auto" w:sz="0" w:space="0"/>
              </w:pBdr>
              <w:tabs>
                <w:tab w:val="left" w:pos="960"/>
              </w:tabs>
              <w:snapToGrid/>
              <w:spacing w:line="440" w:lineRule="exact"/>
              <w:ind w:left="630" w:leftChars="300" w:firstLine="0" w:firstLineChars="0"/>
              <w:outlineLvl w:val="9"/>
              <w:rPr>
                <w:rFonts w:hint="default" w:ascii="Times New Roman" w:hAnsi="Times New Roman" w:cs="Times New Roman" w:eastAsiaTheme="minorEastAsia"/>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_GB2312" w:cs="Times New Roman"/>
                <w:color w:val="auto"/>
                <w:sz w:val="28"/>
                <w:szCs w:val="28"/>
                <w:highlight w:val="none"/>
                <w:u w:val="none"/>
                <w:shd w:val="clear" w:color="auto" w:fill="auto"/>
                <w:lang w:val="en-US" w:eastAsia="zh-CN"/>
              </w:rPr>
              <w:t>实施农业龙头企业培育工程。</w:t>
            </w:r>
            <w:r>
              <w:rPr>
                <w:rFonts w:hint="eastAsia" w:ascii="Times New Roman" w:hAnsi="Times New Roman" w:eastAsia="仿宋_GB2312" w:cs="Times New Roman"/>
                <w:color w:val="auto"/>
                <w:sz w:val="28"/>
                <w:szCs w:val="28"/>
                <w:highlight w:val="none"/>
                <w:u w:val="none"/>
                <w:shd w:val="clear" w:color="auto" w:fill="auto"/>
                <w:lang w:eastAsia="zh-CN"/>
              </w:rPr>
              <w:t>完善利益联结机制</w:t>
            </w:r>
            <w:r>
              <w:rPr>
                <w:rFonts w:hint="eastAsia" w:ascii="Times New Roman" w:hAnsi="Times New Roman" w:eastAsia="仿宋_GB2312" w:cs="Times New Roman"/>
                <w:color w:val="auto"/>
                <w:sz w:val="28"/>
                <w:szCs w:val="28"/>
                <w:highlight w:val="none"/>
                <w:u w:val="none"/>
                <w:shd w:val="clear" w:color="auto" w:fill="auto"/>
                <w:lang w:val="en-US" w:eastAsia="zh-CN"/>
              </w:rPr>
              <w:t>，引导小农户以资源资产作价入股、资产托管、租赁等模式与社会资本合作。</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widowControl/>
              <w:pBdr>
                <w:top w:val="none" w:color="auto" w:sz="0" w:space="0"/>
                <w:left w:val="none" w:color="auto" w:sz="0" w:space="0"/>
                <w:bottom w:val="none" w:color="auto" w:sz="0" w:space="0"/>
                <w:right w:val="none" w:color="auto" w:sz="0" w:space="0"/>
                <w:between w:val="none" w:color="auto" w:sz="0" w:space="0"/>
              </w:pBdr>
              <w:snapToGrid/>
              <w:spacing w:line="440" w:lineRule="exact"/>
              <w:ind w:firstLine="0" w:firstLineChars="0"/>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04</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持续完善农产品产运销体系</w:t>
            </w:r>
          </w:p>
          <w:p>
            <w:pPr>
              <w:widowControl/>
              <w:pBdr>
                <w:top w:val="none" w:color="auto" w:sz="0" w:space="0"/>
                <w:left w:val="none" w:color="auto" w:sz="0" w:space="0"/>
                <w:bottom w:val="none" w:color="auto" w:sz="0" w:space="0"/>
                <w:right w:val="none" w:color="auto" w:sz="0" w:space="0"/>
                <w:between w:val="none" w:color="auto" w:sz="0" w:space="0"/>
              </w:pBdr>
              <w:tabs>
                <w:tab w:val="left" w:pos="960"/>
              </w:tabs>
              <w:snapToGrid/>
              <w:spacing w:line="440" w:lineRule="exact"/>
              <w:ind w:left="630" w:leftChars="300" w:firstLine="0" w:firstLineChars="0"/>
              <w:outlineLvl w:val="9"/>
              <w:rPr>
                <w:rFonts w:hint="default" w:ascii="Times New Roman" w:hAnsi="Times New Roman" w:cs="Times New Roman" w:eastAsiaTheme="minorEastAsia"/>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围绕主导产业组建一批农产品产销联盟。分区域建设农产品产地市场体系，在重点消费市场建立“岛外销地仓”。</w:t>
            </w:r>
            <w:r>
              <w:rPr>
                <w:rFonts w:hint="eastAsia" w:ascii="Times New Roman" w:hAnsi="Times New Roman" w:eastAsia="仿宋_GB2312" w:cs="Times New Roman"/>
                <w:i w:val="0"/>
                <w:iCs w:val="0"/>
                <w:caps w:val="0"/>
                <w:color w:val="auto"/>
                <w:spacing w:val="0"/>
                <w:kern w:val="2"/>
                <w:sz w:val="28"/>
                <w:szCs w:val="28"/>
                <w:highlight w:val="none"/>
                <w:u w:val="none"/>
                <w:shd w:val="clear" w:color="auto" w:fill="auto"/>
                <w:lang w:val="en-US" w:eastAsia="zh-CN" w:bidi="ar-SA"/>
              </w:rPr>
              <w:t>完善乡村电商体系和销售渠道，实施“数商兴农”和“互联网+”农产品出村进城工程。</w:t>
            </w:r>
          </w:p>
        </w:tc>
      </w:tr>
    </w:tbl>
    <w:p>
      <w:pPr>
        <w:jc w:val="center"/>
        <w:rPr>
          <w:rFonts w:hint="default" w:ascii="Times New Roman" w:hAnsi="Times New Roman" w:eastAsia="方正小标宋简体" w:cs="Times New Roman"/>
          <w:color w:val="000000" w:themeColor="text1"/>
          <w:sz w:val="36"/>
          <w:szCs w:val="36"/>
          <w:highlight w:val="none"/>
          <w14:textFill>
            <w14:solidFill>
              <w14:schemeClr w14:val="tx1"/>
            </w14:solidFill>
          </w14:textFill>
        </w:rPr>
        <w:sectPr>
          <w:pgSz w:w="11906" w:h="16838"/>
          <w:pgMar w:top="2024" w:right="1406" w:bottom="1559" w:left="1576" w:header="851" w:footer="992" w:gutter="0"/>
          <w:pgBorders>
            <w:top w:val="none" w:sz="0" w:space="0"/>
            <w:left w:val="none" w:sz="0" w:space="0"/>
            <w:bottom w:val="none" w:sz="0" w:space="0"/>
            <w:right w:val="none" w:sz="0" w:space="0"/>
          </w:pgBorders>
          <w:pgNumType w:fmt="decimal"/>
          <w:cols w:space="0" w:num="1"/>
          <w:rtlGutter w:val="0"/>
          <w:docGrid w:type="lines" w:linePitch="318" w:charSpace="0"/>
        </w:sectPr>
      </w:pPr>
      <w:bookmarkStart w:id="748" w:name="_Toc27028"/>
      <w:bookmarkStart w:id="749" w:name="_Toc21992"/>
      <w:bookmarkStart w:id="750" w:name="_Toc10014"/>
    </w:p>
    <w:p>
      <w:pPr>
        <w:jc w:val="center"/>
        <w:outlineLvl w:val="0"/>
        <w:rPr>
          <w:rFonts w:hint="eastAsia" w:ascii="黑体" w:hAnsi="黑体" w:eastAsia="黑体" w:cs="黑体"/>
          <w:color w:val="000000" w:themeColor="text1"/>
          <w:sz w:val="36"/>
          <w:szCs w:val="36"/>
          <w:highlight w:val="none"/>
          <w:lang w:val="en-US" w:eastAsia="zh-CN"/>
          <w14:textFill>
            <w14:solidFill>
              <w14:schemeClr w14:val="tx1"/>
            </w14:solidFill>
          </w14:textFill>
        </w:rPr>
      </w:pPr>
      <w:bookmarkStart w:id="751" w:name="_Toc6"/>
      <w:bookmarkStart w:id="752" w:name="_Toc19140"/>
      <w:bookmarkStart w:id="753" w:name="_Toc10650"/>
      <w:bookmarkStart w:id="754" w:name="_Toc10540"/>
      <w:bookmarkStart w:id="755" w:name="_Toc20607"/>
      <w:bookmarkStart w:id="756" w:name="_Toc13820"/>
      <w:bookmarkStart w:id="757" w:name="_Toc30299"/>
      <w:bookmarkStart w:id="758" w:name="_Toc13279"/>
      <w:bookmarkStart w:id="759" w:name="_Toc4439"/>
      <w:bookmarkStart w:id="760" w:name="_Toc11986"/>
      <w:bookmarkStart w:id="761" w:name="_Toc7372"/>
      <w:bookmarkStart w:id="762" w:name="_Toc2467"/>
      <w:r>
        <w:rPr>
          <w:rFonts w:hint="eastAsia" w:ascii="黑体" w:hAnsi="黑体" w:eastAsia="黑体" w:cs="黑体"/>
          <w:color w:val="000000" w:themeColor="text1"/>
          <w:sz w:val="36"/>
          <w:szCs w:val="36"/>
          <w:highlight w:val="none"/>
          <w14:textFill>
            <w14:solidFill>
              <w14:schemeClr w14:val="tx1"/>
            </w14:solidFill>
          </w14:textFill>
        </w:rPr>
        <w:t>第四章  促进县域城乡融合发展</w:t>
      </w:r>
    </w:p>
    <w:p>
      <w:pPr>
        <w:jc w:val="center"/>
        <w:outlineLvl w:val="0"/>
        <w:rPr>
          <w:rFonts w:hint="eastAsia" w:ascii="黑体" w:hAnsi="黑体" w:eastAsia="黑体" w:cs="黑体"/>
          <w:color w:val="000000" w:themeColor="text1"/>
          <w:sz w:val="36"/>
          <w:szCs w:val="36"/>
          <w:highlight w:val="none"/>
          <w14:textFill>
            <w14:solidFill>
              <w14:schemeClr w14:val="tx1"/>
            </w14:solidFill>
          </w14:textFill>
        </w:rPr>
      </w:pPr>
      <w:r>
        <w:rPr>
          <w:rFonts w:hint="eastAsia" w:ascii="黑体" w:hAnsi="黑体" w:eastAsia="黑体" w:cs="黑体"/>
          <w:color w:val="000000" w:themeColor="text1"/>
          <w:sz w:val="36"/>
          <w:szCs w:val="36"/>
          <w:highlight w:val="none"/>
          <w14:textFill>
            <w14:solidFill>
              <w14:schemeClr w14:val="tx1"/>
            </w14:solidFill>
          </w14:textFill>
        </w:rPr>
        <w:t>加快农村现代化</w:t>
      </w:r>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snapToGrid w:val="0"/>
        <w:spacing w:beforeLines="0" w:afterLines="0" w:line="59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snapToGrid w:val="0"/>
        <w:spacing w:beforeLines="0" w:afterLines="0" w:line="59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加快推进农村现代化，要把乡村建设摆在社会主义现代化建设的重要位置。要瞄准农村基本具备现代生活条件</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的目标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，片区化推进乡村振兴，逐步提高农村和垦区基础设施完备度、公共服务便利度、人居环境舒适度，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推动乡村实现由表及里、形神兼具的全面提升，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让农民就地过上现代文明生活。</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763" w:name="_Toc31785"/>
      <w:bookmarkStart w:id="764" w:name="_Toc4840"/>
      <w:bookmarkStart w:id="765" w:name="_Toc29541"/>
      <w:bookmarkStart w:id="766" w:name="_Toc2034"/>
      <w:bookmarkStart w:id="767" w:name="_Toc6340"/>
      <w:bookmarkStart w:id="768" w:name="_Toc21479"/>
      <w:bookmarkStart w:id="769" w:name="_Toc25304"/>
      <w:bookmarkStart w:id="770" w:name="_Toc4235"/>
      <w:bookmarkStart w:id="771" w:name="_Toc26834"/>
      <w:bookmarkStart w:id="772" w:name="_Toc4886"/>
      <w:bookmarkStart w:id="773" w:name="_Toc10472"/>
      <w:bookmarkStart w:id="774" w:name="_Toc8967"/>
      <w:bookmarkStart w:id="775" w:name="_Toc5901"/>
      <w:bookmarkStart w:id="776" w:name="_Toc11696"/>
      <w:bookmarkStart w:id="777" w:name="_Toc30880"/>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第一节 高质量推进宜居宜业和美乡村建设</w:t>
      </w:r>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pPr>
        <w:snapToGrid/>
        <w:spacing w:beforeLines="0" w:afterLines="0" w:line="590" w:lineRule="exact"/>
        <w:ind w:firstLine="640" w:firstLineChars="200"/>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统筹优化村镇布局，协同推进县域国土空间治理，稳步开展全域土地综合整治</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探索开展跨乡镇整治</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。因地制宜科学布局镇村体系，按需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推进乡镇级国土空间总体规划</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和村庄规划</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编制</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制定乡村地</w:t>
      </w:r>
      <w:r>
        <w:rPr>
          <w:rFonts w:hint="eastAsia" w:ascii="仿宋_GB2312" w:hAnsi="仿宋_GB2312" w:eastAsia="仿宋_GB2312" w:cs="仿宋_GB2312"/>
          <w:color w:val="000000" w:themeColor="text1"/>
          <w:sz w:val="32"/>
          <w:szCs w:val="32"/>
          <w:highlight w:val="none"/>
          <w:u w:val="none"/>
          <w:lang w:eastAsia="zh-CN"/>
          <w14:textFill>
            <w14:solidFill>
              <w14:schemeClr w14:val="tx1"/>
            </w14:solidFill>
          </w14:textFill>
        </w:rPr>
        <w:t>区“通则式”</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规划技术管理规定，实现乡村地区规划管理全覆盖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。深化镇村联动发展机制，构建</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一镇一特</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一村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一品</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差异化发展格局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分类有序、</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片区化</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推进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乡村振兴</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突出城乡一体、陆海统筹、山海联动、垦地融合</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，持续打造</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“双环”</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和美乡村风景线，推进三亚崖州、琼海博鳌潭门和美乡村片区化建设，因地制宜</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规划建设一批片区化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和美乡村示范带。</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加快</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少数民族特色村寨建设规划，协同推进民族地区乡村发展。</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778" w:name="_Toc4987"/>
      <w:bookmarkStart w:id="779" w:name="_Toc2218"/>
      <w:bookmarkStart w:id="780" w:name="_Toc13856"/>
      <w:bookmarkStart w:id="781" w:name="_Toc15496"/>
      <w:bookmarkStart w:id="782" w:name="_Toc23013"/>
      <w:bookmarkStart w:id="783" w:name="_Toc8770"/>
      <w:bookmarkStart w:id="784" w:name="_Toc25237"/>
      <w:bookmarkStart w:id="785" w:name="_Toc2674"/>
      <w:bookmarkStart w:id="786" w:name="_Toc13265"/>
      <w:bookmarkStart w:id="787" w:name="_Toc3783"/>
      <w:bookmarkStart w:id="788" w:name="_Toc12764"/>
      <w:bookmarkStart w:id="789" w:name="_Toc23068"/>
      <w:bookmarkStart w:id="790" w:name="_Toc24899"/>
      <w:bookmarkStart w:id="791" w:name="_Toc21669"/>
      <w:bookmarkStart w:id="792" w:name="_Toc29902"/>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第二节 推动城乡要素双向流动</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snapToGrid w:val="0"/>
        <w:spacing w:beforeLines="0" w:afterLines="0" w:line="59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促进以县城为重要载体的城镇化建设</w:t>
      </w:r>
      <w:r>
        <w:rPr>
          <w:rFonts w:hint="eastAsia"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加强镇村联动，以乡镇为重要平台，统筹新型工业化、新型城镇化和乡村全面振兴，增强乡镇产业服务能力和基本公共服务保障能力。</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建立城市人才服务乡村激励机制</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引导鼓励人才下乡，落实社保关系转移接续政策</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加快</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农业转移人口市民化，</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推动人才从</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“单向流出”向“双向互动”转变</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完善</w:t>
      </w:r>
      <w:r>
        <w:rPr>
          <w:rFonts w:hint="default" w:ascii="Times New Roman" w:hAnsi="Times New Roman" w:eastAsia="仿宋_GB2312" w:cs="Times New Roman"/>
          <w:i w:val="0"/>
          <w:iCs w:val="0"/>
          <w:caps w:val="0"/>
          <w:color w:val="000000" w:themeColor="text1"/>
          <w:spacing w:val="0"/>
          <w:sz w:val="32"/>
          <w:szCs w:val="32"/>
          <w:highlight w:val="none"/>
          <w:shd w:val="clear"/>
          <w14:textFill>
            <w14:solidFill>
              <w14:schemeClr w14:val="tx1"/>
            </w14:solidFill>
          </w14:textFill>
        </w:rPr>
        <w:t>城乡建设用地增减挂钩政策</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，分类保障乡村发展用地。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集约节约利用农村集体经营性建设用地，依法盘活用好闲置土地和房屋，</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健全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城乡统一的建设用地市场，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推动</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“沉睡资产”向“活资本”转</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变</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推动城乡交通道路连接、供电网络互联、客运物流一体，促进城乡基本公共服务标准统一、制度并轨。</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793" w:name="_Toc29388"/>
      <w:bookmarkStart w:id="794" w:name="_Toc4542"/>
      <w:bookmarkStart w:id="795" w:name="_Toc13647"/>
      <w:bookmarkStart w:id="796" w:name="_Toc6561"/>
      <w:bookmarkStart w:id="797" w:name="_Toc26029"/>
      <w:bookmarkStart w:id="798" w:name="_Toc551"/>
      <w:bookmarkStart w:id="799" w:name="_Toc14847"/>
      <w:bookmarkStart w:id="800" w:name="_Toc26166"/>
      <w:bookmarkStart w:id="801" w:name="_Toc4772"/>
      <w:bookmarkStart w:id="802" w:name="_Toc1849"/>
      <w:bookmarkStart w:id="803" w:name="_Toc12837"/>
      <w:bookmarkStart w:id="804" w:name="_Toc13860"/>
      <w:bookmarkStart w:id="805" w:name="_Toc7865"/>
      <w:bookmarkStart w:id="806" w:name="_Toc7398"/>
      <w:bookmarkStart w:id="807" w:name="_Toc19518"/>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第三节 提高农村基础设施完备度</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snapToGrid w:val="0"/>
        <w:spacing w:beforeLines="0" w:afterLines="0" w:line="59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实施新一轮农村公路</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提质升级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行动，推动农村公路路网提档升级，推进农村公路安全生命防护工程和危旧桥改造。</w:t>
      </w:r>
      <w:r>
        <w:rPr>
          <w:rFonts w:hint="default" w:ascii="Times New Roman" w:hAnsi="Times New Roman" w:eastAsia="仿宋_GB2312" w:cs="Times New Roman"/>
          <w:strike w:val="0"/>
          <w:dstrike w:val="0"/>
          <w:color w:val="000000" w:themeColor="text1"/>
          <w:sz w:val="32"/>
          <w:szCs w:val="32"/>
          <w:highlight w:val="none"/>
          <w:lang w:val="en-US" w:eastAsia="zh-CN"/>
          <w14:textFill>
            <w14:solidFill>
              <w14:schemeClr w14:val="tx1"/>
            </w14:solidFill>
          </w14:textFill>
        </w:rPr>
        <w:t>实施农村电网巩固提升工程，提升农村生产生活电力保障水平</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分类推进城乡供水一体化、集中供水规模化建设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健全农村现代化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水网。推动管道燃气向有条件的农村地区延伸，支持建设安全可靠的乡村供气体系。</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推动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农村基础设施数智化改造，推广5G网络在农村的应用。加强农村房屋建设管理</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提升农房居住品质和建筑风貌，探索推动现代宜居农房建设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在充分尊重农户意愿前提下，对农村危房做到应改尽改。到2030年，全省规模化供水工程覆盖农村人口比例达8</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%以上。</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808" w:name="_Toc13905"/>
      <w:bookmarkStart w:id="809" w:name="_Toc22190"/>
      <w:bookmarkStart w:id="810" w:name="_Toc28331"/>
      <w:bookmarkStart w:id="811" w:name="_Toc4823"/>
      <w:bookmarkStart w:id="812" w:name="_Toc9119"/>
      <w:bookmarkStart w:id="813" w:name="_Toc27360"/>
      <w:bookmarkStart w:id="814" w:name="_Toc3818"/>
      <w:bookmarkStart w:id="815" w:name="_Toc20088"/>
      <w:bookmarkStart w:id="816" w:name="_Toc13484"/>
      <w:bookmarkStart w:id="817" w:name="_Toc31295"/>
      <w:bookmarkStart w:id="818" w:name="_Toc25772"/>
      <w:bookmarkStart w:id="819" w:name="_Toc21391"/>
      <w:bookmarkStart w:id="820" w:name="_Toc21455"/>
      <w:bookmarkStart w:id="821" w:name="_Toc26368"/>
      <w:bookmarkStart w:id="822" w:name="_Toc18944"/>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第四节 提高农村基本公共服务便利度</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p>
    <w:p>
      <w:pPr>
        <w:keepNext w:val="0"/>
        <w:keepLines w:val="0"/>
        <w:pageBreakBefore w:val="0"/>
        <w:widowControl w:val="0"/>
        <w:kinsoku/>
        <w:wordWrap/>
        <w:overflowPunct/>
        <w:topLinePunct w:val="0"/>
        <w:autoSpaceDE/>
        <w:autoSpaceDN/>
        <w:bidi w:val="0"/>
        <w:adjustRightInd/>
        <w:snapToGrid w:val="0"/>
        <w:spacing w:before="0" w:beforeLines="0" w:after="0" w:afterLines="0" w:line="59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推进县域义务教育优质均衡发展，优化区域教育资源配置。</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实施农村义务教育阶段特岗教师计划和中西部欠发达地区</w:t>
      </w:r>
      <w:r>
        <w:rPr>
          <w:rFonts w:hint="eastAsia" w:ascii="仿宋_GB2312" w:hAnsi="仿宋_GB2312" w:eastAsia="仿宋_GB2312" w:cs="仿宋_GB2312"/>
          <w:color w:val="000000" w:themeColor="text1"/>
          <w:sz w:val="32"/>
          <w:szCs w:val="32"/>
          <w:highlight w:val="none"/>
          <w14:textFill>
            <w14:solidFill>
              <w14:schemeClr w14:val="tx1"/>
            </w14:solidFill>
          </w14:textFill>
        </w:rPr>
        <w:t>“优师计划”</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强化农村教育师资力量。</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推进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县域</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医疗卫生共同体建设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优化基层医疗卫生机构布局，力争村民15分钟可达最近医疗服务点。加强村卫生室服务能力建设，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加强乡村医疗卫生人员队伍培育</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。健全县乡村三级养老服务网络，提升养老服务智慧化水平</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扩大基层失能照护和医养结合服务供给。</w:t>
      </w:r>
      <w:bookmarkStart w:id="823" w:name="_Toc31913"/>
      <w:bookmarkStart w:id="824" w:name="_Toc32457"/>
      <w:bookmarkStart w:id="825" w:name="_Toc8784"/>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加强农村未成年人保护，保障农村妇女儿童权益，关心关爱农村残疾人。巩固基本社会保障服务发展成果，逐步提高农村最低生活保障标准和特困人员基本生活保障标准。推进就业驿站建设。健全乡村公共服务配套，加强公共设施适老化和无障碍改造，提升村级综合服务能力。</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826" w:name="_Toc28815"/>
      <w:bookmarkStart w:id="827" w:name="_Toc22515"/>
      <w:bookmarkStart w:id="828" w:name="_Toc30764"/>
      <w:bookmarkStart w:id="829" w:name="_Toc30933"/>
      <w:bookmarkStart w:id="830" w:name="_Toc11456"/>
      <w:bookmarkStart w:id="831" w:name="_Toc12973"/>
      <w:bookmarkStart w:id="832" w:name="_Toc6432"/>
      <w:bookmarkStart w:id="833" w:name="_Toc12894"/>
      <w:bookmarkStart w:id="834" w:name="_Toc874"/>
      <w:bookmarkStart w:id="835" w:name="_Toc21752"/>
      <w:bookmarkStart w:id="836" w:name="_Toc7616"/>
      <w:bookmarkStart w:id="837" w:name="_Toc21239"/>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第五节 提高农村人居环境舒适度</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snapToGrid w:val="0"/>
        <w:spacing w:beforeLines="0" w:afterLines="0" w:line="590" w:lineRule="exact"/>
        <w:ind w:firstLine="640" w:firstLineChars="200"/>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因地制宜实施村庄微改造，常态化开展村庄清洁行动，推进村容村貌提档升级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加强农村公厕建设和管护</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巩固农村改厕成果。分类推进农村改厕</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提高农村户厕防渗漏改造质量</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推动农村卫生厕所建设实现乡村范围全覆盖。健全厕所粪污清掏处理长效管护机制，完善社会化管护服务体系。</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推进农村生活污水和黑臭水体治理，推行农村生活污水处理设施设备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“建、管、用”一</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体化，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力争</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到</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2030年</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全省农村生活污水治理（管控）率达9</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。巩固农村生活垃圾清扫保洁收运体系，强化行政村生活垃圾分类屋（亭）的运营管理。着力提升城乡环卫一体化运行效率，督促指导市县做好城边村、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“双环”沿线村庄等重点区域生活垃圾日产日清。进一步完善农村生活垃圾收</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运长效机制，提升收运处置体系运维效能，建立健全与生活垃圾分类减量相衔接的稳定运行长效机制。</w:t>
      </w:r>
    </w:p>
    <w:tbl>
      <w:tblPr>
        <w:tblStyle w:val="20"/>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cantSplit/>
          <w:tblHeader/>
          <w:jc w:val="center"/>
        </w:trPr>
        <w:tc>
          <w:tcPr>
            <w:tcW w:w="884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top"/>
          </w:tcPr>
          <w:p>
            <w:pPr>
              <w:widowControl/>
              <w:pBdr>
                <w:top w:val="none" w:color="auto" w:sz="0" w:space="0"/>
                <w:left w:val="none" w:color="auto" w:sz="0" w:space="0"/>
                <w:bottom w:val="none" w:color="auto" w:sz="0" w:space="0"/>
                <w:right w:val="none" w:color="auto" w:sz="0" w:space="0"/>
                <w:between w:val="none" w:color="auto" w:sz="0" w:space="0"/>
              </w:pBdr>
              <w:snapToGrid/>
              <w:spacing w:beforeLines="-2147483648" w:afterLines="-2147483648" w:line="360" w:lineRule="auto"/>
              <w:ind w:firstLine="0" w:firstLineChars="0"/>
              <w:jc w:val="center"/>
              <w:outlineLvl w:val="0"/>
              <w:rPr>
                <w:rFonts w:hint="default" w:ascii="Times New Roman" w:hAnsi="Times New Roman" w:cs="Times New Roman" w:eastAsiaTheme="minorEastAsia"/>
                <w:b/>
                <w:bCs w:val="0"/>
                <w:color w:val="000000" w:themeColor="text1"/>
                <w:sz w:val="24"/>
                <w:highlight w:val="none"/>
                <w:lang w:val="en-US" w:eastAsia="zh-CN" w:bidi="ar"/>
                <w14:textFill>
                  <w14:solidFill>
                    <w14:schemeClr w14:val="tx1"/>
                  </w14:solidFill>
                </w14:textFill>
              </w:rPr>
            </w:pPr>
            <w:bookmarkStart w:id="838" w:name="_Toc3214"/>
            <w:bookmarkStart w:id="839" w:name="_Toc21918"/>
            <w:bookmarkStart w:id="840" w:name="_Toc25756"/>
            <w:bookmarkStart w:id="841" w:name="_Toc10320"/>
            <w:bookmarkStart w:id="842" w:name="_Toc18308"/>
            <w:bookmarkStart w:id="843" w:name="_Toc5014"/>
            <w:bookmarkStart w:id="844" w:name="_Toc3859"/>
            <w:bookmarkStart w:id="845" w:name="_Toc31565"/>
            <w:bookmarkStart w:id="846" w:name="_Toc28453"/>
            <w:bookmarkStart w:id="847" w:name="_Toc8713"/>
            <w:r>
              <w:rPr>
                <w:rFonts w:hint="eastAsia" w:ascii="楷体" w:hAnsi="楷体" w:eastAsia="楷体" w:cs="楷体"/>
                <w:b w:val="0"/>
                <w:bCs/>
                <w:color w:val="000000"/>
                <w:sz w:val="28"/>
                <w:szCs w:val="28"/>
                <w:highlight w:val="none"/>
                <w:shd w:val="clear" w:color="auto" w:fill="FFFFFF"/>
              </w:rPr>
              <w:t>专栏</w:t>
            </w:r>
            <w:r>
              <w:rPr>
                <w:rFonts w:hint="eastAsia" w:ascii="楷体" w:hAnsi="楷体" w:eastAsia="楷体" w:cs="楷体"/>
                <w:b w:val="0"/>
                <w:bCs/>
                <w:color w:val="000000"/>
                <w:sz w:val="28"/>
                <w:szCs w:val="28"/>
                <w:highlight w:val="none"/>
                <w:shd w:val="clear" w:color="auto" w:fill="FFFFFF"/>
                <w:lang w:val="en-US" w:eastAsia="zh-CN"/>
              </w:rPr>
              <w:t>6</w:t>
            </w:r>
            <w:r>
              <w:rPr>
                <w:rFonts w:hint="eastAsia" w:ascii="楷体" w:hAnsi="楷体" w:eastAsia="楷体" w:cs="楷体"/>
                <w:b w:val="0"/>
                <w:bCs/>
                <w:color w:val="000000"/>
                <w:sz w:val="28"/>
                <w:szCs w:val="28"/>
                <w:highlight w:val="none"/>
                <w:shd w:val="clear" w:color="auto" w:fill="FFFFFF"/>
              </w:rPr>
              <w:t xml:space="preserve">  农村现代化工程</w:t>
            </w:r>
            <w:bookmarkEnd w:id="838"/>
            <w:bookmarkEnd w:id="839"/>
            <w:bookmarkEnd w:id="840"/>
            <w:bookmarkEnd w:id="841"/>
            <w:bookmarkEnd w:id="842"/>
            <w:bookmarkEnd w:id="843"/>
            <w:bookmarkEnd w:id="844"/>
            <w:bookmarkEnd w:id="845"/>
            <w:bookmarkEnd w:id="846"/>
            <w:bookmarkEnd w:id="847"/>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cantSplit/>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widowControl/>
              <w:pBdr>
                <w:top w:val="none" w:color="auto" w:sz="0" w:space="0"/>
                <w:left w:val="none" w:color="auto" w:sz="0" w:space="0"/>
                <w:bottom w:val="none" w:color="auto" w:sz="0" w:space="0"/>
                <w:right w:val="none" w:color="auto" w:sz="0" w:space="0"/>
                <w:between w:val="none" w:color="auto" w:sz="0" w:space="0"/>
              </w:pBdr>
              <w:spacing w:beforeLines="-2147483648" w:afterLines="-2147483648" w:line="440" w:lineRule="exact"/>
              <w:ind w:firstLine="0" w:firstLineChars="0"/>
              <w:rPr>
                <w:rFonts w:hint="default" w:ascii="Times New Roman" w:hAnsi="Times New Roman" w:cs="Times New Roman" w:eastAsiaTheme="minorEastAsia"/>
                <w:b/>
                <w:bCs w:val="0"/>
                <w:color w:val="000000" w:themeColor="text1"/>
                <w:sz w:val="24"/>
                <w:szCs w:val="24"/>
                <w:highlight w:val="none"/>
                <w:lang w:val="en-US" w:eastAsia="zh-CN"/>
                <w14:textFill>
                  <w14:solidFill>
                    <w14:schemeClr w14:val="tx1"/>
                  </w14:solidFill>
                </w14:textFill>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01</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color w:val="auto"/>
                <w:sz w:val="28"/>
                <w:szCs w:val="28"/>
                <w:highlight w:val="none"/>
                <w:u w:val="none"/>
                <w:shd w:val="clear" w:color="auto" w:fill="auto"/>
              </w:rPr>
              <w:t>高质量推进宜居宜业和美乡村建设</w:t>
            </w:r>
          </w:p>
          <w:p>
            <w:pPr>
              <w:widowControl/>
              <w:pBdr>
                <w:top w:val="none" w:color="auto" w:sz="0" w:space="0"/>
                <w:left w:val="none" w:color="auto" w:sz="0" w:space="0"/>
                <w:bottom w:val="none" w:color="auto" w:sz="0" w:space="0"/>
                <w:right w:val="none" w:color="auto" w:sz="0" w:space="0"/>
                <w:between w:val="none" w:color="auto" w:sz="0" w:space="0"/>
              </w:pBdr>
              <w:tabs>
                <w:tab w:val="left" w:pos="960"/>
              </w:tabs>
              <w:spacing w:beforeLines="0" w:afterLines="0" w:line="440" w:lineRule="exact"/>
              <w:ind w:left="630" w:leftChars="300" w:firstLine="0" w:firstLineChars="0"/>
              <w:outlineLvl w:val="9"/>
              <w:rPr>
                <w:rFonts w:hint="default" w:ascii="Times New Roman" w:hAnsi="Times New Roman" w:cs="Times New Roman" w:eastAsiaTheme="minorEastAsia"/>
                <w:b/>
                <w:bCs w:val="0"/>
                <w:color w:val="000000" w:themeColor="text1"/>
                <w:sz w:val="24"/>
                <w:highlight w:val="none"/>
                <w:lang w:val="en-US" w:eastAsia="zh-CN" w:bidi="ar"/>
                <w14:textFill>
                  <w14:solidFill>
                    <w14:schemeClr w14:val="tx1"/>
                  </w14:solidFill>
                </w14:textFill>
              </w:rPr>
            </w:pPr>
            <w:r>
              <w:rPr>
                <w:rFonts w:hint="eastAsia" w:ascii="Times New Roman" w:hAnsi="Times New Roman" w:eastAsia="仿宋_GB2312" w:cs="Times New Roman"/>
                <w:bCs w:val="0"/>
                <w:color w:val="auto"/>
                <w:kern w:val="2"/>
                <w:sz w:val="28"/>
                <w:szCs w:val="28"/>
                <w:highlight w:val="none"/>
                <w:u w:val="none"/>
                <w:shd w:val="clear" w:color="auto" w:fill="auto"/>
                <w:lang w:val="en-US" w:eastAsia="zh-CN" w:bidi="ar-SA"/>
              </w:rPr>
              <w:t>按需有序推进乡镇级国土空间总体规划、村庄规划，加快少数民族特色村寨建设。推进三亚崖州、琼海博鳌潭门和美乡村片区化建设，规划建设一批片区化和美乡村示范带。</w:t>
            </w:r>
            <w:r>
              <w:rPr>
                <w:rFonts w:hint="eastAsia" w:ascii="Times New Roman" w:hAnsi="Times New Roman" w:eastAsia="仿宋_GB2312" w:cs="Times New Roman"/>
                <w:bCs w:val="0"/>
                <w:color w:val="auto"/>
                <w:sz w:val="28"/>
                <w:szCs w:val="28"/>
                <w:highlight w:val="none"/>
                <w:u w:val="none"/>
                <w:shd w:val="clear" w:color="auto" w:fill="auto"/>
                <w:lang w:bidi="ar-SA"/>
              </w:rPr>
              <w:t>加强乡村建设任务清单和项目库管理。</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cantSplit/>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widowControl/>
              <w:pBdr>
                <w:top w:val="none" w:color="auto" w:sz="0" w:space="0"/>
                <w:left w:val="none" w:color="auto" w:sz="0" w:space="0"/>
                <w:bottom w:val="none" w:color="auto" w:sz="0" w:space="0"/>
                <w:right w:val="none" w:color="auto" w:sz="0" w:space="0"/>
                <w:between w:val="none" w:color="auto" w:sz="0" w:space="0"/>
              </w:pBdr>
              <w:spacing w:beforeLines="-2147483648" w:afterLines="-2147483648" w:line="440" w:lineRule="exact"/>
              <w:ind w:firstLine="0" w:firstLineChars="0"/>
              <w:rPr>
                <w:rFonts w:hint="default" w:ascii="Times New Roman" w:hAnsi="Times New Roman" w:cs="Times New Roman" w:eastAsiaTheme="minorEastAsia"/>
                <w:b/>
                <w:bCs w:val="0"/>
                <w:color w:val="000000" w:themeColor="text1"/>
                <w:sz w:val="24"/>
                <w:highlight w:val="none"/>
                <w:lang w:val="en-US" w:eastAsia="zh-CN"/>
                <w14:textFill>
                  <w14:solidFill>
                    <w14:schemeClr w14:val="tx1"/>
                  </w14:solidFill>
                </w14:textFill>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02</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推动城乡要素双向流动</w:t>
            </w:r>
          </w:p>
          <w:p>
            <w:pPr>
              <w:widowControl/>
              <w:pBdr>
                <w:top w:val="none" w:color="auto" w:sz="0" w:space="0"/>
                <w:left w:val="none" w:color="auto" w:sz="0" w:space="0"/>
                <w:bottom w:val="none" w:color="auto" w:sz="0" w:space="0"/>
                <w:right w:val="none" w:color="auto" w:sz="0" w:space="0"/>
                <w:between w:val="none" w:color="auto" w:sz="0" w:space="0"/>
              </w:pBdr>
              <w:tabs>
                <w:tab w:val="left" w:pos="960"/>
              </w:tabs>
              <w:spacing w:beforeLines="0" w:afterLines="0" w:line="440" w:lineRule="exact"/>
              <w:ind w:left="630" w:leftChars="300" w:firstLine="0" w:firstLineChars="0"/>
              <w:outlineLvl w:val="9"/>
              <w:rPr>
                <w:rFonts w:hint="default" w:ascii="Times New Roman" w:hAnsi="Times New Roman" w:cs="Times New Roman" w:eastAsiaTheme="minorEastAsia"/>
                <w:b/>
                <w:bCs w:val="0"/>
                <w:color w:val="000000" w:themeColor="text1"/>
                <w:sz w:val="24"/>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实施人才下乡行动。</w:t>
            </w:r>
            <w:r>
              <w:rPr>
                <w:rFonts w:hint="eastAsia" w:ascii="Times New Roman" w:hAnsi="Times New Roman" w:eastAsia="仿宋_GB2312" w:cs="Times New Roman"/>
                <w:b w:val="0"/>
                <w:bCs w:val="0"/>
                <w:color w:val="auto"/>
                <w:sz w:val="28"/>
                <w:szCs w:val="28"/>
                <w:highlight w:val="none"/>
                <w:u w:val="none"/>
                <w:shd w:val="clear" w:color="auto" w:fill="auto"/>
              </w:rPr>
              <w:t>落实户籍制度改革任务</w:t>
            </w:r>
            <w:r>
              <w:rPr>
                <w:rFonts w:hint="eastAsia" w:ascii="Times New Roman" w:hAnsi="Times New Roman" w:eastAsia="仿宋_GB2312" w:cs="Times New Roman"/>
                <w:b w:val="0"/>
                <w:bCs w:val="0"/>
                <w:color w:val="auto"/>
                <w:sz w:val="28"/>
                <w:szCs w:val="28"/>
                <w:highlight w:val="none"/>
                <w:u w:val="none"/>
                <w:shd w:val="clear" w:color="auto" w:fill="auto"/>
                <w:lang w:eastAsia="zh-CN"/>
              </w:rPr>
              <w:t>，</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加快农业转移人口市民化。</w:t>
            </w:r>
            <w:r>
              <w:rPr>
                <w:rFonts w:hint="eastAsia" w:ascii="Times New Roman" w:hAnsi="Times New Roman" w:eastAsia="仿宋_GB2312" w:cs="Times New Roman"/>
                <w:bCs w:val="0"/>
                <w:color w:val="auto"/>
                <w:kern w:val="2"/>
                <w:sz w:val="28"/>
                <w:szCs w:val="28"/>
                <w:highlight w:val="none"/>
                <w:u w:val="none"/>
                <w:shd w:val="clear" w:color="auto" w:fill="auto"/>
                <w:lang w:val="en-US" w:eastAsia="zh-CN" w:bidi="ar-SA"/>
              </w:rPr>
              <w:t>持续推进基层教育人才激励机制改革</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。实施三亚经济圈、琼中全县域、环岛旅游公路和环热带雨林国家公园旅游公路沿线土地综合整治工程。</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cantSplit/>
          <w:trHeight w:val="90" w:hRule="atLeast"/>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widowControl/>
              <w:pBdr>
                <w:top w:val="none" w:color="auto" w:sz="0" w:space="0"/>
                <w:left w:val="none" w:color="auto" w:sz="0" w:space="0"/>
                <w:bottom w:val="none" w:color="auto" w:sz="0" w:space="0"/>
                <w:right w:val="none" w:color="auto" w:sz="0" w:space="0"/>
                <w:between w:val="none" w:color="auto" w:sz="0" w:space="0"/>
              </w:pBdr>
              <w:spacing w:beforeLines="-2147483648" w:afterLines="-2147483648" w:line="440" w:lineRule="exact"/>
              <w:ind w:firstLine="0" w:firstLineChars="0"/>
              <w:rPr>
                <w:rFonts w:hint="eastAsia" w:ascii="楷体_GB2312" w:hAnsi="楷体_GB2312" w:eastAsia="楷体_GB2312" w:cs="楷体_GB2312"/>
                <w:b w:val="0"/>
                <w:bCs w:val="0"/>
                <w:color w:val="auto"/>
                <w:sz w:val="28"/>
                <w:szCs w:val="28"/>
                <w:highlight w:val="none"/>
                <w:u w:val="none"/>
                <w:shd w:val="clear" w:color="auto" w:fill="auto"/>
                <w:lang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03</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color w:val="auto"/>
                <w:sz w:val="28"/>
                <w:szCs w:val="28"/>
                <w:highlight w:val="none"/>
                <w:u w:val="none"/>
                <w:shd w:val="clear" w:color="auto" w:fill="auto"/>
              </w:rPr>
              <w:t>提高农村基础设施完备度</w:t>
            </w:r>
          </w:p>
          <w:p>
            <w:pPr>
              <w:widowControl/>
              <w:pBdr>
                <w:top w:val="none" w:color="auto" w:sz="0" w:space="0"/>
                <w:left w:val="none" w:color="auto" w:sz="0" w:space="0"/>
                <w:bottom w:val="none" w:color="auto" w:sz="0" w:space="0"/>
                <w:right w:val="none" w:color="auto" w:sz="0" w:space="0"/>
                <w:between w:val="none" w:color="auto" w:sz="0" w:space="0"/>
              </w:pBdr>
              <w:tabs>
                <w:tab w:val="left" w:pos="960"/>
              </w:tabs>
              <w:spacing w:beforeLines="0" w:afterLines="0" w:line="440" w:lineRule="exact"/>
              <w:ind w:left="630" w:leftChars="300" w:firstLine="0" w:firstLineChars="0"/>
              <w:outlineLvl w:val="9"/>
              <w:rPr>
                <w:rFonts w:hint="default" w:ascii="Times New Roman" w:hAnsi="Times New Roman" w:cs="Times New Roman" w:eastAsiaTheme="minorEastAsia"/>
                <w:b/>
                <w:bCs w:val="0"/>
                <w:color w:val="000000" w:themeColor="text1"/>
                <w:sz w:val="24"/>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eastAsia="zh-CN"/>
              </w:rPr>
              <w:t>推动县域基础设施一体化规划建设管护，</w:t>
            </w:r>
            <w:r>
              <w:rPr>
                <w:rFonts w:hint="eastAsia" w:ascii="Times New Roman" w:hAnsi="Times New Roman" w:eastAsia="仿宋_GB2312" w:cs="Times New Roman"/>
                <w:bCs w:val="0"/>
                <w:color w:val="auto"/>
                <w:sz w:val="28"/>
                <w:szCs w:val="28"/>
                <w:highlight w:val="none"/>
                <w:u w:val="none"/>
                <w:shd w:val="clear" w:color="auto" w:fill="auto"/>
              </w:rPr>
              <w:t>实施农村基础设施补短板工程，逐步补齐村庄路、水、电、气、</w:t>
            </w:r>
            <w:r>
              <w:rPr>
                <w:rFonts w:hint="eastAsia" w:ascii="Times New Roman" w:hAnsi="Times New Roman" w:eastAsia="仿宋_GB2312" w:cs="Times New Roman"/>
                <w:bCs w:val="0"/>
                <w:color w:val="auto"/>
                <w:sz w:val="28"/>
                <w:szCs w:val="28"/>
                <w:highlight w:val="none"/>
                <w:u w:val="none"/>
                <w:shd w:val="clear" w:color="auto" w:fill="auto"/>
                <w:lang w:val="en-US" w:eastAsia="zh-CN"/>
              </w:rPr>
              <w:t>讯</w:t>
            </w:r>
            <w:r>
              <w:rPr>
                <w:rFonts w:hint="eastAsia" w:ascii="Times New Roman" w:hAnsi="Times New Roman" w:eastAsia="仿宋_GB2312" w:cs="Times New Roman"/>
                <w:bCs w:val="0"/>
                <w:color w:val="auto"/>
                <w:sz w:val="28"/>
                <w:szCs w:val="28"/>
                <w:highlight w:val="none"/>
                <w:u w:val="none"/>
                <w:shd w:val="clear" w:color="auto" w:fill="auto"/>
              </w:rPr>
              <w:t>等基础设施短板。实施农房质量安全提升工程，建设一批现代宜居型农房。</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cantSplit/>
          <w:trHeight w:val="111" w:hRule="atLeast"/>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widowControl/>
              <w:pBdr>
                <w:top w:val="none" w:color="auto" w:sz="0" w:space="0"/>
                <w:left w:val="none" w:color="auto" w:sz="0" w:space="0"/>
                <w:bottom w:val="none" w:color="auto" w:sz="0" w:space="0"/>
                <w:right w:val="none" w:color="auto" w:sz="0" w:space="0"/>
                <w:between w:val="none" w:color="auto" w:sz="0" w:space="0"/>
              </w:pBdr>
              <w:spacing w:beforeLines="-2147483648" w:afterLines="-2147483648" w:line="440" w:lineRule="exact"/>
              <w:ind w:firstLine="0" w:firstLineChars="0"/>
              <w:rPr>
                <w:rFonts w:hint="default" w:ascii="Times New Roman" w:hAnsi="Times New Roman" w:cs="Times New Roman" w:eastAsiaTheme="minorEastAsia"/>
                <w:b/>
                <w:bCs w:val="0"/>
                <w:color w:val="000000" w:themeColor="text1"/>
                <w:sz w:val="24"/>
                <w:szCs w:val="24"/>
                <w:highlight w:val="none"/>
                <w:lang w:val="en-US" w:eastAsia="zh-CN" w:bidi="ar"/>
                <w14:textFill>
                  <w14:solidFill>
                    <w14:schemeClr w14:val="tx1"/>
                  </w14:solidFill>
                </w14:textFill>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04</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bidi="ar-SA"/>
              </w:rPr>
              <w:t>提高农村基本公共服务便利度</w:t>
            </w:r>
          </w:p>
          <w:p>
            <w:pPr>
              <w:widowControl/>
              <w:pBdr>
                <w:top w:val="none" w:color="auto" w:sz="0" w:space="0"/>
                <w:left w:val="none" w:color="auto" w:sz="0" w:space="0"/>
                <w:bottom w:val="none" w:color="auto" w:sz="0" w:space="0"/>
                <w:right w:val="none" w:color="auto" w:sz="0" w:space="0"/>
                <w:between w:val="none" w:color="auto" w:sz="0" w:space="0"/>
              </w:pBdr>
              <w:tabs>
                <w:tab w:val="left" w:pos="960"/>
              </w:tabs>
              <w:spacing w:beforeLines="0" w:afterLines="0" w:line="440" w:lineRule="exact"/>
              <w:ind w:left="630" w:leftChars="300" w:firstLine="0" w:firstLineChars="0"/>
              <w:outlineLvl w:val="9"/>
              <w:rPr>
                <w:rFonts w:hint="default" w:ascii="Times New Roman" w:hAnsi="Times New Roman" w:cs="Times New Roman" w:eastAsiaTheme="minorEastAsia"/>
                <w:b/>
                <w:bCs w:val="0"/>
                <w:color w:val="000000" w:themeColor="text1"/>
                <w:sz w:val="24"/>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办好必要的乡村小规模学校，改善乡镇中心学校办学条件。</w:t>
            </w:r>
            <w:r>
              <w:rPr>
                <w:rFonts w:hint="eastAsia" w:ascii="Times New Roman" w:hAnsi="Times New Roman" w:eastAsia="仿宋_GB2312" w:cs="Times New Roman"/>
                <w:bCs w:val="0"/>
                <w:color w:val="auto"/>
                <w:sz w:val="28"/>
                <w:szCs w:val="28"/>
                <w:highlight w:val="none"/>
                <w:u w:val="none"/>
                <w:shd w:val="clear" w:color="auto" w:fill="auto"/>
                <w:lang w:eastAsia="zh-CN"/>
              </w:rPr>
              <w:t>实施重点乡镇卫生院建设项目。</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bidi="ar-SA"/>
              </w:rPr>
              <w:t>强化农村“一老一小”等重点人群公共服务供给。</w:t>
            </w:r>
            <w:r>
              <w:rPr>
                <w:rFonts w:hint="eastAsia" w:ascii="Times New Roman" w:hAnsi="Times New Roman" w:eastAsia="仿宋_GB2312" w:cs="Times New Roman"/>
                <w:bCs w:val="0"/>
                <w:color w:val="auto"/>
                <w:sz w:val="28"/>
                <w:szCs w:val="28"/>
                <w:highlight w:val="none"/>
                <w:u w:val="none"/>
                <w:shd w:val="clear" w:color="auto" w:fill="auto"/>
                <w:lang w:eastAsia="zh-CN"/>
              </w:rPr>
              <w:t>提高农村最低生活保障标准和特困人员基本生活保障标准，</w:t>
            </w:r>
            <w:r>
              <w:rPr>
                <w:rFonts w:hint="eastAsia" w:ascii="Times New Roman" w:hAnsi="Times New Roman" w:eastAsia="仿宋_GB2312" w:cs="Times New Roman"/>
                <w:bCs w:val="0"/>
                <w:color w:val="auto"/>
                <w:sz w:val="28"/>
                <w:szCs w:val="28"/>
                <w:highlight w:val="none"/>
                <w:u w:val="none"/>
                <w:shd w:val="clear" w:color="auto" w:fill="auto"/>
              </w:rPr>
              <w:t>在上学、就医、养老服务等方面有保障</w:t>
            </w:r>
            <w:r>
              <w:rPr>
                <w:rFonts w:hint="eastAsia" w:ascii="Times New Roman" w:hAnsi="Times New Roman" w:eastAsia="仿宋_GB2312" w:cs="Times New Roman"/>
                <w:bCs w:val="0"/>
                <w:color w:val="auto"/>
                <w:sz w:val="28"/>
                <w:szCs w:val="28"/>
                <w:highlight w:val="none"/>
                <w:u w:val="none"/>
                <w:shd w:val="clear" w:color="auto" w:fill="auto"/>
                <w:lang w:eastAsia="zh-CN"/>
              </w:rPr>
              <w:t>。</w:t>
            </w:r>
            <w:r>
              <w:rPr>
                <w:rFonts w:hint="eastAsia" w:ascii="Times New Roman" w:hAnsi="Times New Roman" w:eastAsia="仿宋_GB2312" w:cs="Times New Roman"/>
                <w:bCs w:val="0"/>
                <w:color w:val="auto"/>
                <w:sz w:val="28"/>
                <w:szCs w:val="28"/>
                <w:highlight w:val="none"/>
                <w:u w:val="none"/>
                <w:shd w:val="clear" w:color="auto" w:fill="auto"/>
              </w:rPr>
              <w:t>推动具备条件的行政村建设“一站式”综合服务设施</w:t>
            </w:r>
            <w:r>
              <w:rPr>
                <w:rFonts w:hint="eastAsia" w:ascii="Times New Roman" w:hAnsi="Times New Roman" w:eastAsia="仿宋_GB2312" w:cs="Times New Roman"/>
                <w:bCs w:val="0"/>
                <w:color w:val="auto"/>
                <w:sz w:val="28"/>
                <w:szCs w:val="28"/>
                <w:highlight w:val="none"/>
                <w:u w:val="none"/>
                <w:shd w:val="clear" w:color="auto" w:fill="auto"/>
                <w:lang w:eastAsia="zh-CN"/>
              </w:rPr>
              <w:t>。</w:t>
            </w:r>
            <w:r>
              <w:rPr>
                <w:rFonts w:hint="eastAsia" w:ascii="Times New Roman" w:hAnsi="Times New Roman" w:eastAsia="仿宋_GB2312" w:cs="Times New Roman"/>
                <w:bCs w:val="0"/>
                <w:color w:val="auto"/>
                <w:sz w:val="28"/>
                <w:szCs w:val="28"/>
                <w:highlight w:val="none"/>
                <w:u w:val="none"/>
                <w:shd w:val="clear" w:color="auto" w:fill="auto"/>
              </w:rPr>
              <w:t>就近就便改造建设一批农村公益性墓地</w:t>
            </w:r>
            <w:r>
              <w:rPr>
                <w:rFonts w:hint="eastAsia" w:ascii="Times New Roman" w:hAnsi="Times New Roman" w:eastAsia="仿宋_GB2312" w:cs="Times New Roman"/>
                <w:bCs w:val="0"/>
                <w:color w:val="auto"/>
                <w:sz w:val="28"/>
                <w:szCs w:val="28"/>
                <w:highlight w:val="none"/>
                <w:u w:val="none"/>
                <w:shd w:val="clear" w:color="auto" w:fill="auto"/>
                <w:lang w:eastAsia="zh-CN"/>
              </w:rPr>
              <w:t>。</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cantSplit/>
          <w:jc w:val="center"/>
        </w:trPr>
        <w:tc>
          <w:tcPr>
            <w:tcW w:w="8845" w:type="dxa"/>
            <w:tcBorders>
              <w:top w:val="single" w:color="auto" w:sz="4" w:space="0"/>
            </w:tcBorders>
            <w:shd w:val="clear" w:color="auto" w:fill="F1F1F1" w:themeFill="background1" w:themeFillShade="F2"/>
            <w:vAlign w:val="top"/>
          </w:tcPr>
          <w:p>
            <w:pPr>
              <w:widowControl/>
              <w:pBdr>
                <w:top w:val="none" w:color="auto" w:sz="0" w:space="0"/>
                <w:left w:val="none" w:color="auto" w:sz="0" w:space="0"/>
                <w:bottom w:val="none" w:color="auto" w:sz="0" w:space="0"/>
                <w:right w:val="none" w:color="auto" w:sz="0" w:space="0"/>
                <w:between w:val="none" w:color="auto" w:sz="0" w:space="0"/>
              </w:pBdr>
              <w:spacing w:beforeLines="-2147483648" w:afterLines="-2147483648" w:line="440" w:lineRule="exact"/>
              <w:ind w:firstLine="0" w:firstLineChars="0"/>
              <w:rPr>
                <w:rFonts w:hint="default" w:ascii="Times New Roman" w:hAnsi="Times New Roman" w:cs="Times New Roman" w:eastAsiaTheme="minorEastAsia"/>
                <w:b/>
                <w:bCs w:val="0"/>
                <w:color w:val="000000" w:themeColor="text1"/>
                <w:sz w:val="24"/>
                <w:highlight w:val="none"/>
                <w14:textFill>
                  <w14:solidFill>
                    <w14:schemeClr w14:val="tx1"/>
                  </w14:solidFill>
                </w14:textFill>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05</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bidi="ar-SA"/>
              </w:rPr>
              <w:t>提高农村人居环境舒适度</w:t>
            </w:r>
          </w:p>
          <w:p>
            <w:pPr>
              <w:widowControl/>
              <w:pBdr>
                <w:top w:val="none" w:color="auto" w:sz="0" w:space="0"/>
                <w:left w:val="none" w:color="auto" w:sz="0" w:space="0"/>
                <w:bottom w:val="none" w:color="auto" w:sz="0" w:space="0"/>
                <w:right w:val="none" w:color="auto" w:sz="0" w:space="0"/>
                <w:between w:val="none" w:color="auto" w:sz="0" w:space="0"/>
              </w:pBdr>
              <w:tabs>
                <w:tab w:val="left" w:pos="960"/>
              </w:tabs>
              <w:spacing w:beforeLines="0" w:afterLines="0" w:line="440" w:lineRule="exact"/>
              <w:ind w:left="630" w:leftChars="300" w:firstLine="0" w:firstLineChars="0"/>
              <w:outlineLvl w:val="9"/>
              <w:rPr>
                <w:rFonts w:hint="default" w:ascii="Times New Roman" w:hAnsi="Times New Roman" w:cs="Times New Roman" w:eastAsiaTheme="minorEastAsia"/>
                <w:b w:val="0"/>
                <w:bCs w:val="0"/>
                <w:color w:val="000000" w:themeColor="text1"/>
                <w:sz w:val="24"/>
                <w:highlight w:val="none"/>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实施农村人居环境整治提升行动，巩固农村厕所革命和农村垃圾治理成果，完善农村厕所社会化管护服务体系，因地制宜推进农村生活污水和黑臭水体治理。</w:t>
            </w:r>
            <w:r>
              <w:rPr>
                <w:rFonts w:hint="eastAsia" w:ascii="Times New Roman" w:hAnsi="Times New Roman" w:eastAsia="仿宋_GB2312" w:cs="Times New Roman"/>
                <w:bCs w:val="0"/>
                <w:color w:val="auto"/>
                <w:sz w:val="28"/>
                <w:szCs w:val="28"/>
                <w:highlight w:val="none"/>
                <w:u w:val="none"/>
                <w:shd w:val="clear" w:color="auto" w:fill="auto"/>
              </w:rPr>
              <w:t>推进森林乡村建设，提升乡村绿化美化水平，持续开展古树名木保护提升行动</w:t>
            </w:r>
            <w:r>
              <w:rPr>
                <w:rFonts w:hint="eastAsia" w:ascii="Times New Roman" w:hAnsi="Times New Roman" w:eastAsia="仿宋_GB2312" w:cs="Times New Roman"/>
                <w:bCs w:val="0"/>
                <w:color w:val="auto"/>
                <w:sz w:val="28"/>
                <w:szCs w:val="28"/>
                <w:highlight w:val="none"/>
                <w:u w:val="none"/>
                <w:shd w:val="clear" w:color="auto" w:fill="auto"/>
                <w:lang w:eastAsia="zh-CN"/>
              </w:rPr>
              <w:t>。</w:t>
            </w:r>
            <w:r>
              <w:rPr>
                <w:rFonts w:hint="eastAsia" w:ascii="Times New Roman" w:hAnsi="Times New Roman" w:eastAsia="仿宋_GB2312" w:cs="Times New Roman"/>
                <w:bCs w:val="0"/>
                <w:color w:val="auto"/>
                <w:sz w:val="28"/>
                <w:szCs w:val="28"/>
                <w:highlight w:val="none"/>
                <w:u w:val="none"/>
                <w:shd w:val="clear" w:color="auto" w:fill="auto"/>
                <w:lang w:eastAsia="zh-CN" w:bidi="ar-SA"/>
              </w:rPr>
              <w:t>推</w:t>
            </w:r>
            <w:r>
              <w:rPr>
                <w:rFonts w:hint="eastAsia" w:ascii="Times New Roman" w:hAnsi="Times New Roman" w:eastAsia="仿宋_GB2312" w:cs="Times New Roman"/>
                <w:bCs w:val="0"/>
                <w:color w:val="auto"/>
                <w:sz w:val="28"/>
                <w:szCs w:val="28"/>
                <w:highlight w:val="none"/>
                <w:u w:val="none"/>
                <w:shd w:val="clear" w:color="auto" w:fill="auto"/>
                <w:lang w:val="en-US" w:eastAsia="zh-CN" w:bidi="ar-SA"/>
              </w:rPr>
              <w:t>进</w:t>
            </w:r>
            <w:r>
              <w:rPr>
                <w:rFonts w:hint="eastAsia" w:ascii="Times New Roman" w:hAnsi="Times New Roman" w:eastAsia="仿宋_GB2312" w:cs="Times New Roman"/>
                <w:bCs w:val="0"/>
                <w:color w:val="auto"/>
                <w:spacing w:val="0"/>
                <w:kern w:val="2"/>
                <w:sz w:val="28"/>
                <w:szCs w:val="28"/>
                <w:highlight w:val="none"/>
                <w:u w:val="none"/>
                <w:shd w:val="clear" w:color="auto" w:fill="auto"/>
                <w:lang w:val="en-US" w:eastAsia="zh-CN" w:bidi="ar-SA"/>
              </w:rPr>
              <w:t>乡村生活再生资源和垃圾回收“两网融合”，建立健全农村再生资源回收体系。</w:t>
            </w:r>
          </w:p>
        </w:tc>
      </w:tr>
    </w:tbl>
    <w:p>
      <w:pPr>
        <w:pStyle w:val="7"/>
        <w:tabs>
          <w:tab w:val="left" w:pos="3430"/>
        </w:tabs>
        <w:rPr>
          <w:rFonts w:hint="default" w:ascii="Times New Roman" w:hAnsi="Times New Roman" w:cs="Times New Roman"/>
          <w:color w:val="000000" w:themeColor="text1"/>
          <w:highlight w:val="none"/>
          <w:lang w:eastAsia="zh-CN"/>
          <w14:textFill>
            <w14:solidFill>
              <w14:schemeClr w14:val="tx1"/>
            </w14:solidFill>
          </w14:textFill>
        </w:rPr>
      </w:pPr>
    </w:p>
    <w:p>
      <w:pPr>
        <w:jc w:val="left"/>
        <w:outlineLvl w:val="9"/>
        <w:rPr>
          <w:rFonts w:hint="default" w:ascii="Times New Roman" w:hAnsi="Times New Roman" w:eastAsia="方正小标宋简体" w:cs="Times New Roman"/>
          <w:color w:val="000000" w:themeColor="text1"/>
          <w:sz w:val="36"/>
          <w:szCs w:val="36"/>
          <w:highlight w:val="none"/>
          <w14:textFill>
            <w14:solidFill>
              <w14:schemeClr w14:val="tx1"/>
            </w14:solidFill>
          </w14:textFill>
        </w:rPr>
      </w:pPr>
      <w:bookmarkStart w:id="848" w:name="_Toc10921"/>
      <w:bookmarkStart w:id="849" w:name="_Toc12104"/>
      <w:bookmarkStart w:id="850" w:name="_Toc16443"/>
      <w:bookmarkStart w:id="851" w:name="_Toc48"/>
      <w:bookmarkStart w:id="852" w:name="_Toc13224"/>
      <w:r>
        <w:rPr>
          <w:rFonts w:hint="default" w:ascii="Times New Roman" w:hAnsi="Times New Roman" w:eastAsia="方正小标宋简体" w:cs="Times New Roman"/>
          <w:color w:val="000000" w:themeColor="text1"/>
          <w:sz w:val="36"/>
          <w:szCs w:val="36"/>
          <w:highlight w:val="none"/>
          <w14:textFill>
            <w14:solidFill>
              <w14:schemeClr w14:val="tx1"/>
            </w14:solidFill>
          </w14:textFill>
        </w:rPr>
        <w:br w:type="page"/>
      </w:r>
    </w:p>
    <w:p>
      <w:pPr>
        <w:jc w:val="center"/>
        <w:outlineLvl w:val="0"/>
        <w:rPr>
          <w:rFonts w:hint="eastAsia" w:ascii="黑体" w:hAnsi="黑体" w:eastAsia="黑体" w:cs="黑体"/>
          <w:color w:val="000000" w:themeColor="text1"/>
          <w:sz w:val="36"/>
          <w:szCs w:val="36"/>
          <w:highlight w:val="none"/>
          <w14:textFill>
            <w14:solidFill>
              <w14:schemeClr w14:val="tx1"/>
            </w14:solidFill>
          </w14:textFill>
        </w:rPr>
      </w:pPr>
      <w:bookmarkStart w:id="853" w:name="_Toc6325"/>
      <w:bookmarkStart w:id="854" w:name="_Toc20955"/>
      <w:bookmarkStart w:id="855" w:name="_Toc3587"/>
      <w:bookmarkStart w:id="856" w:name="_Toc5833"/>
      <w:bookmarkStart w:id="857" w:name="_Toc19555"/>
      <w:bookmarkStart w:id="858" w:name="_Toc23831"/>
      <w:bookmarkStart w:id="859" w:name="_Toc14761"/>
      <w:bookmarkStart w:id="860" w:name="_Toc14655"/>
      <w:bookmarkStart w:id="861" w:name="_Toc24828"/>
      <w:bookmarkStart w:id="862" w:name="_Toc18711"/>
      <w:r>
        <w:rPr>
          <w:rFonts w:hint="eastAsia" w:ascii="黑体" w:hAnsi="黑体" w:eastAsia="黑体" w:cs="黑体"/>
          <w:color w:val="000000" w:themeColor="text1"/>
          <w:sz w:val="36"/>
          <w:szCs w:val="36"/>
          <w:highlight w:val="none"/>
          <w14:textFill>
            <w14:solidFill>
              <w14:schemeClr w14:val="tx1"/>
            </w14:solidFill>
          </w14:textFill>
        </w:rPr>
        <w:t>第五章  坚持物质文明和精神文明协调发展</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p>
    <w:p>
      <w:pPr>
        <w:jc w:val="center"/>
        <w:outlineLvl w:val="0"/>
        <w:rPr>
          <w:rFonts w:hint="eastAsia" w:ascii="黑体" w:hAnsi="黑体" w:eastAsia="黑体" w:cs="黑体"/>
          <w:color w:val="000000" w:themeColor="text1"/>
          <w:sz w:val="36"/>
          <w:szCs w:val="36"/>
          <w:highlight w:val="none"/>
          <w14:textFill>
            <w14:solidFill>
              <w14:schemeClr w14:val="tx1"/>
            </w14:solidFill>
          </w14:textFill>
        </w:rPr>
      </w:pPr>
      <w:bookmarkStart w:id="863" w:name="_Toc11664"/>
      <w:bookmarkStart w:id="864" w:name="_Toc23025"/>
      <w:bookmarkStart w:id="865" w:name="_Toc31222"/>
      <w:bookmarkStart w:id="866" w:name="_Toc24095"/>
      <w:bookmarkStart w:id="867" w:name="_Toc30854"/>
      <w:bookmarkStart w:id="868" w:name="_Toc13437"/>
      <w:bookmarkStart w:id="869" w:name="_Toc22676"/>
      <w:bookmarkStart w:id="870" w:name="_Toc24580"/>
      <w:bookmarkStart w:id="871" w:name="_Toc14282"/>
      <w:bookmarkStart w:id="872" w:name="_Toc5789"/>
      <w:bookmarkStart w:id="873" w:name="_Toc29599"/>
      <w:bookmarkStart w:id="874" w:name="_Toc29560"/>
      <w:bookmarkStart w:id="875" w:name="_Toc28943"/>
      <w:r>
        <w:rPr>
          <w:rFonts w:hint="eastAsia" w:ascii="黑体" w:hAnsi="黑体" w:eastAsia="黑体" w:cs="黑体"/>
          <w:color w:val="000000" w:themeColor="text1"/>
          <w:sz w:val="36"/>
          <w:szCs w:val="36"/>
          <w:highlight w:val="none"/>
          <w14:textFill>
            <w14:solidFill>
              <w14:schemeClr w14:val="tx1"/>
            </w14:solidFill>
          </w14:textFill>
        </w:rPr>
        <w:t>加快农民现代化</w:t>
      </w:r>
      <w:bookmarkEnd w:id="863"/>
      <w:bookmarkEnd w:id="864"/>
      <w:bookmarkEnd w:id="865"/>
      <w:bookmarkEnd w:id="866"/>
      <w:bookmarkEnd w:id="867"/>
      <w:bookmarkEnd w:id="868"/>
      <w:bookmarkEnd w:id="869"/>
      <w:bookmarkEnd w:id="870"/>
      <w:bookmarkEnd w:id="871"/>
      <w:bookmarkEnd w:id="872"/>
      <w:bookmarkEnd w:id="873"/>
      <w:bookmarkEnd w:id="874"/>
      <w:bookmarkEnd w:id="875"/>
    </w:p>
    <w:p>
      <w:pPr>
        <w:rPr>
          <w:rFonts w:hint="default" w:ascii="Times New Roman" w:hAnsi="Times New Roman" w:cs="Times New Roman"/>
          <w:color w:val="000000" w:themeColor="text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快推进农民现代化，要坚持农村物质文明和精神文明协调发展，促进农民高质量充分就业，加大农村保障和改善民生力度，拓宽农民增收致富渠道，着力提升农民思想道德素质、科学文化素质和身心健康素质，实现农民全面发展。</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876" w:name="_Toc17466"/>
      <w:bookmarkStart w:id="877" w:name="_Toc23077"/>
      <w:bookmarkStart w:id="878" w:name="_Toc13706"/>
      <w:bookmarkStart w:id="879" w:name="_Toc18495"/>
      <w:bookmarkStart w:id="880" w:name="_Toc14227"/>
      <w:bookmarkStart w:id="881" w:name="_Toc10949"/>
      <w:bookmarkStart w:id="882" w:name="_Toc21883"/>
      <w:bookmarkStart w:id="883" w:name="_Toc16797"/>
      <w:bookmarkStart w:id="884" w:name="_Toc32714"/>
      <w:bookmarkStart w:id="885" w:name="_Toc11993"/>
      <w:bookmarkStart w:id="886" w:name="_Toc4135"/>
      <w:bookmarkStart w:id="887" w:name="_Toc12434"/>
      <w:bookmarkStart w:id="888" w:name="_Toc31761"/>
      <w:bookmarkStart w:id="889" w:name="_Toc29909"/>
      <w:bookmarkStart w:id="890" w:name="_Toc29805"/>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第一节 持续巩固拓展脱贫攻坚成果</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ab/>
      </w:r>
    </w:p>
    <w:p>
      <w:pPr>
        <w:adjustRightInd w:val="0"/>
        <w:snapToGrid w:val="0"/>
        <w:spacing w:line="590" w:lineRule="exact"/>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建立健全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常态化防止返贫致贫机制，</w:t>
      </w:r>
      <w:r>
        <w:rPr>
          <w:rFonts w:hint="default" w:ascii="Times New Roman" w:hAnsi="Times New Roman" w:eastAsia="仿宋_GB2312"/>
          <w:color w:val="000000" w:themeColor="text1"/>
          <w:sz w:val="32"/>
          <w:szCs w:val="32"/>
          <w14:textFill>
            <w14:solidFill>
              <w14:schemeClr w14:val="tx1"/>
            </w14:solidFill>
          </w14:textFill>
        </w:rPr>
        <w:t>突出</w:t>
      </w:r>
      <w:r>
        <w:rPr>
          <w:rFonts w:ascii="Times New Roman" w:hAnsi="Times New Roman" w:eastAsia="仿宋_GB2312"/>
          <w:color w:val="000000" w:themeColor="text1"/>
          <w:sz w:val="32"/>
          <w:szCs w:val="32"/>
          <w14:textFill>
            <w14:solidFill>
              <w14:schemeClr w14:val="tx1"/>
            </w14:solidFill>
          </w14:textFill>
        </w:rPr>
        <w:t>开发式帮扶</w:t>
      </w:r>
      <w:r>
        <w:rPr>
          <w:rFonts w:hint="default" w:ascii="Times New Roman" w:hAnsi="Times New Roman" w:eastAsia="仿宋_GB2312"/>
          <w:color w:val="000000" w:themeColor="text1"/>
          <w:sz w:val="32"/>
          <w:szCs w:val="32"/>
          <w14:textFill>
            <w14:solidFill>
              <w14:schemeClr w14:val="tx1"/>
            </w14:solidFill>
          </w14:textFill>
        </w:rPr>
        <w:t>导向</w:t>
      </w:r>
      <w:r>
        <w:rPr>
          <w:rFonts w:ascii="Times New Roman" w:hAnsi="Times New Roman" w:eastAsia="仿宋_GB2312"/>
          <w:color w:val="000000" w:themeColor="text1"/>
          <w:sz w:val="32"/>
          <w:szCs w:val="32"/>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对符合条件的帮扶对象应帮尽帮，重点提升其自身发展和应对风险能力</w:t>
      </w:r>
      <w:r>
        <w:rPr>
          <w:rFonts w:ascii="Times New Roman" w:hAnsi="Times New Roman" w:eastAsia="仿宋_GB2312"/>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确保不发生规模性返贫致贫。</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建立分层分类常态化帮扶制度</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
          <w14:textFill>
            <w14:solidFill>
              <w14:schemeClr w14:val="tx1"/>
            </w14:solidFill>
          </w14:textFill>
        </w:rPr>
        <w:t>统筹做好防止返贫致贫对象和农村社会救助对象的监测识别，支持</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省级</w:t>
      </w:r>
      <w:r>
        <w:rPr>
          <w:rFonts w:hint="default" w:ascii="Times New Roman" w:hAnsi="Times New Roman" w:eastAsia="仿宋_GB2312" w:cs="Times New Roman"/>
          <w:color w:val="000000" w:themeColor="text1"/>
          <w:sz w:val="32"/>
          <w:szCs w:val="32"/>
          <w:highlight w:val="none"/>
          <w:lang w:val="en-US" w:eastAsia="zh"/>
          <w14:textFill>
            <w14:solidFill>
              <w14:schemeClr w14:val="tx1"/>
            </w14:solidFill>
          </w14:textFill>
        </w:rPr>
        <w:t>乡村振兴重点市县加快发展</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持续</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开展</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消费帮扶月</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帮扶</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活动。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持续做好就业帮扶，</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建立健全防止返贫致贫对象实名制管理台账</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支持有条件的就业帮扶车间盘活利用、提档升级，规范乡村公益性岗位开发管理。</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常态化实施就业促进行动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开展</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防止返贫致贫对象家庭新成长劳动力</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就业帮扶</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。推广</w:t>
      </w:r>
      <w:r>
        <w:rPr>
          <w:rFonts w:hint="eastAsia" w:ascii="仿宋_GB2312" w:hAnsi="仿宋_GB2312" w:eastAsia="仿宋_GB2312" w:cs="仿宋_GB2312"/>
          <w:color w:val="000000" w:themeColor="text1"/>
          <w:sz w:val="32"/>
          <w:szCs w:val="32"/>
          <w:highlight w:val="none"/>
          <w14:textFill>
            <w14:solidFill>
              <w14:schemeClr w14:val="tx1"/>
            </w14:solidFill>
          </w14:textFill>
        </w:rPr>
        <w:t>“包镇帮村”</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帮扶模式。</w:t>
      </w:r>
    </w:p>
    <w:p>
      <w:pPr>
        <w:adjustRightInd/>
        <w:snapToGrid/>
        <w:spacing w:before="255" w:beforeLines="80" w:after="255" w:afterLines="80" w:line="590" w:lineRule="exact"/>
        <w:jc w:val="center"/>
        <w:outlineLvl w:val="1"/>
        <w:rPr>
          <w:rFonts w:ascii="Times New Roman" w:hAnsi="Times New Roman" w:eastAsia="黑体"/>
          <w:color w:val="000000" w:themeColor="text1"/>
          <w:sz w:val="32"/>
          <w:szCs w:val="32"/>
          <w:highlight w:val="none"/>
          <w14:textFill>
            <w14:solidFill>
              <w14:schemeClr w14:val="tx1"/>
            </w14:solidFill>
          </w14:textFill>
        </w:rPr>
      </w:pPr>
      <w:bookmarkStart w:id="891" w:name="_Toc11124"/>
      <w:bookmarkStart w:id="892" w:name="_Toc31989"/>
      <w:bookmarkStart w:id="893" w:name="_Toc9085"/>
      <w:bookmarkStart w:id="894" w:name="_Toc2060"/>
      <w:bookmarkStart w:id="895" w:name="_Toc7860"/>
      <w:bookmarkStart w:id="896" w:name="_Toc4916"/>
      <w:bookmarkStart w:id="897" w:name="_Toc9375"/>
      <w:bookmarkStart w:id="898" w:name="_Toc8281"/>
      <w:bookmarkStart w:id="899" w:name="_Toc22772"/>
      <w:bookmarkStart w:id="900" w:name="_Toc16405"/>
      <w:bookmarkStart w:id="901" w:name="_Toc13307"/>
      <w:bookmarkStart w:id="902" w:name="_Toc15935"/>
      <w:bookmarkStart w:id="903" w:name="_Toc30635"/>
      <w:bookmarkStart w:id="904" w:name="_Toc7697"/>
      <w:bookmarkStart w:id="905" w:name="_Toc22463"/>
      <w:r>
        <w:rPr>
          <w:rFonts w:ascii="Times New Roman" w:hAnsi="Times New Roman" w:eastAsia="黑体"/>
          <w:color w:val="000000" w:themeColor="text1"/>
          <w:sz w:val="32"/>
          <w:szCs w:val="32"/>
          <w:highlight w:val="none"/>
          <w14:textFill>
            <w14:solidFill>
              <w14:schemeClr w14:val="tx1"/>
            </w14:solidFill>
          </w14:textFill>
        </w:rPr>
        <w:t>第</w:t>
      </w:r>
      <w:r>
        <w:rPr>
          <w:rFonts w:hint="default" w:ascii="Times New Roman" w:hAnsi="Times New Roman" w:eastAsia="黑体"/>
          <w:color w:val="000000" w:themeColor="text1"/>
          <w:sz w:val="32"/>
          <w:szCs w:val="32"/>
          <w:highlight w:val="none"/>
          <w14:textFill>
            <w14:solidFill>
              <w14:schemeClr w14:val="tx1"/>
            </w14:solidFill>
          </w14:textFill>
        </w:rPr>
        <w:t>二</w:t>
      </w:r>
      <w:r>
        <w:rPr>
          <w:rFonts w:ascii="Times New Roman" w:hAnsi="Times New Roman" w:eastAsia="黑体"/>
          <w:color w:val="000000" w:themeColor="text1"/>
          <w:sz w:val="32"/>
          <w:szCs w:val="32"/>
          <w:highlight w:val="none"/>
          <w14:textFill>
            <w14:solidFill>
              <w14:schemeClr w14:val="tx1"/>
            </w14:solidFill>
          </w14:textFill>
        </w:rPr>
        <w:t>节</w:t>
      </w:r>
      <w:r>
        <w:rPr>
          <w:rFonts w:hint="default" w:ascii="Times New Roman" w:hAnsi="Times New Roman" w:eastAsia="黑体"/>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黑体"/>
          <w:color w:val="000000" w:themeColor="text1"/>
          <w:sz w:val="32"/>
          <w:szCs w:val="32"/>
          <w:highlight w:val="none"/>
          <w14:textFill>
            <w14:solidFill>
              <w14:schemeClr w14:val="tx1"/>
            </w14:solidFill>
          </w14:textFill>
        </w:rPr>
        <w:t>常态化开展产业帮扶</w:t>
      </w:r>
      <w:bookmarkEnd w:id="891"/>
      <w:bookmarkEnd w:id="892"/>
      <w:bookmarkEnd w:id="893"/>
      <w:bookmarkEnd w:id="894"/>
      <w:bookmarkEnd w:id="895"/>
      <w:bookmarkEnd w:id="896"/>
      <w:bookmarkEnd w:id="897"/>
      <w:bookmarkEnd w:id="898"/>
      <w:bookmarkEnd w:id="899"/>
      <w:bookmarkEnd w:id="900"/>
      <w:bookmarkEnd w:id="901"/>
    </w:p>
    <w:p>
      <w:pPr>
        <w:widowControl w:val="0"/>
        <w:adjustRightInd w:val="0"/>
        <w:snapToGrid w:val="0"/>
        <w:spacing w:before="0" w:beforeLines="-2147483648" w:after="0" w:afterLines="-2147483648" w:line="590" w:lineRule="exact"/>
        <w:ind w:firstLine="640" w:firstLineChars="200"/>
        <w:jc w:val="both"/>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ascii="Times New Roman" w:hAnsi="Times New Roman" w:eastAsia="仿宋_GB2312" w:cs="Times New Roman"/>
          <w:i w:val="0"/>
          <w:iCs w:val="0"/>
          <w:caps w:val="0"/>
          <w:color w:val="000000" w:themeColor="text1"/>
          <w:spacing w:val="0"/>
          <w:sz w:val="32"/>
          <w:szCs w:val="32"/>
          <w:shd w:val="clear" w:fill="FFFFFF"/>
          <w14:textFill>
            <w14:solidFill>
              <w14:schemeClr w14:val="tx1"/>
            </w14:solidFill>
          </w14:textFill>
        </w:rPr>
        <w:t>优化产业帮扶方式，分类推进现有产业巩固、升级、盘活、调整，</w:t>
      </w:r>
      <w:r>
        <w:rPr>
          <w:rFonts w:hint="default" w:ascii="Times New Roman" w:hAnsi="Times New Roman" w:eastAsia="仿宋_GB2312" w:cs="Times New Roman"/>
          <w:i w:val="0"/>
          <w:iCs w:val="0"/>
          <w:caps w:val="0"/>
          <w:color w:val="000000" w:themeColor="text1"/>
          <w:spacing w:val="0"/>
          <w:sz w:val="32"/>
          <w:szCs w:val="32"/>
          <w:shd w:val="clear" w:fill="FFFFFF"/>
          <w:lang w:eastAsia="zh-CN"/>
          <w14:textFill>
            <w14:solidFill>
              <w14:schemeClr w14:val="tx1"/>
            </w14:solidFill>
          </w14:textFill>
        </w:rPr>
        <w:t>培育</w:t>
      </w:r>
      <w:r>
        <w:rPr>
          <w:rFonts w:hint="default" w:ascii="Times New Roman" w:hAnsi="Times New Roman" w:eastAsia="仿宋_GB2312"/>
          <w:color w:val="000000" w:themeColor="text1"/>
          <w:sz w:val="32"/>
          <w:szCs w:val="32"/>
          <w:lang w:eastAsia="zh-CN"/>
          <w14:textFill>
            <w14:solidFill>
              <w14:schemeClr w14:val="tx1"/>
            </w14:solidFill>
          </w14:textFill>
        </w:rPr>
        <w:t>发展</w:t>
      </w:r>
      <w:r>
        <w:rPr>
          <w:rFonts w:hint="default" w:ascii="Times New Roman" w:hAnsi="Times New Roman" w:eastAsia="仿宋_GB2312"/>
          <w:color w:val="000000" w:themeColor="text1"/>
          <w:sz w:val="32"/>
          <w:szCs w:val="32"/>
          <w14:textFill>
            <w14:solidFill>
              <w14:schemeClr w14:val="tx1"/>
            </w14:solidFill>
          </w14:textFill>
        </w:rPr>
        <w:t>一批优势突出</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链条完善</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default" w:ascii="Times New Roman" w:hAnsi="Times New Roman" w:eastAsia="仿宋_GB2312"/>
          <w:color w:val="000000" w:themeColor="text1"/>
          <w:sz w:val="32"/>
          <w:szCs w:val="32"/>
          <w14:textFill>
            <w14:solidFill>
              <w14:schemeClr w14:val="tx1"/>
            </w14:solidFill>
          </w14:textFill>
        </w:rPr>
        <w:t>业态丰富的县域</w:t>
      </w:r>
      <w:r>
        <w:rPr>
          <w:rFonts w:hint="default" w:ascii="Times New Roman" w:hAnsi="Times New Roman" w:eastAsia="仿宋_GB2312"/>
          <w:color w:val="000000" w:themeColor="text1"/>
          <w:sz w:val="32"/>
          <w:szCs w:val="32"/>
          <w:lang w:eastAsia="zh-CN"/>
          <w14:textFill>
            <w14:solidFill>
              <w14:schemeClr w14:val="tx1"/>
            </w14:solidFill>
          </w14:textFill>
        </w:rPr>
        <w:t>特色</w:t>
      </w:r>
      <w:r>
        <w:rPr>
          <w:rFonts w:hint="default" w:ascii="Times New Roman" w:hAnsi="Times New Roman" w:eastAsia="仿宋_GB2312"/>
          <w:color w:val="000000" w:themeColor="text1"/>
          <w:sz w:val="32"/>
          <w:szCs w:val="32"/>
          <w14:textFill>
            <w14:solidFill>
              <w14:schemeClr w14:val="tx1"/>
            </w14:solidFill>
          </w14:textFill>
        </w:rPr>
        <w:t>主导产业</w:t>
      </w:r>
      <w:r>
        <w:rPr>
          <w:rFonts w:hint="default" w:ascii="Times New Roman" w:hAnsi="Times New Roman" w:eastAsia="仿宋_GB2312"/>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shd w:val="clear"/>
          <w14:textFill>
            <w14:solidFill>
              <w14:schemeClr w14:val="tx1"/>
            </w14:solidFill>
          </w14:textFill>
        </w:rPr>
        <w:t>完善产业帮扶到户奖补政策，支持防止返贫致贫对象经营增收</w:t>
      </w:r>
      <w:r>
        <w:rPr>
          <w:rFonts w:hint="default" w:ascii="Times New Roman" w:hAnsi="Times New Roman" w:eastAsia="仿宋_GB2312" w:cs="Times New Roman"/>
          <w:i w:val="0"/>
          <w:iCs w:val="0"/>
          <w:caps w:val="0"/>
          <w:color w:val="000000" w:themeColor="text1"/>
          <w:spacing w:val="0"/>
          <w:sz w:val="32"/>
          <w:szCs w:val="32"/>
          <w:shd w:val="clear"/>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鼓励</w:t>
      </w:r>
      <w:r>
        <w:rPr>
          <w:rFonts w:hint="default" w:ascii="Times New Roman" w:hAnsi="Times New Roman" w:eastAsia="仿宋_GB2312" w:cs="Times New Roman"/>
          <w:color w:val="000000" w:themeColor="text1"/>
          <w:sz w:val="32"/>
          <w:szCs w:val="32"/>
          <w14:textFill>
            <w14:solidFill>
              <w14:schemeClr w14:val="tx1"/>
            </w14:solidFill>
          </w14:textFill>
        </w:rPr>
        <w:t>发展庭院经济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林下经济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民宿经济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手工经济等</w:t>
      </w:r>
      <w:r>
        <w:rPr>
          <w:rFonts w:ascii="Times New Roman" w:hAnsi="Times New Roman" w:eastAsia="仿宋_GB2312" w:cs="Times New Roman"/>
          <w:color w:val="000000" w:themeColor="text1"/>
          <w:sz w:val="32"/>
          <w:szCs w:val="32"/>
          <w14:textFill>
            <w14:solidFill>
              <w14:schemeClr w14:val="tx1"/>
            </w14:solidFill>
          </w14:textFill>
        </w:rPr>
        <w:t>家庭经营型业态</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对防止返贫致贫对象和继续帮扶的脱贫人口实施产业奖补。健全防止返贫致贫利益联结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长效</w:t>
      </w:r>
      <w:r>
        <w:rPr>
          <w:rFonts w:hint="default" w:ascii="Times New Roman" w:hAnsi="Times New Roman" w:eastAsia="仿宋_GB2312" w:cs="Times New Roman"/>
          <w:color w:val="000000" w:themeColor="text1"/>
          <w:sz w:val="32"/>
          <w:szCs w:val="32"/>
          <w14:textFill>
            <w14:solidFill>
              <w14:schemeClr w14:val="tx1"/>
            </w14:solidFill>
          </w14:textFill>
        </w:rPr>
        <w:t>机制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优先保障支持防止返贫致贫对象和继续帮扶的脱贫人口，</w:t>
      </w:r>
      <w:r>
        <w:rPr>
          <w:rFonts w:ascii="Times New Roman" w:hAnsi="Times New Roman" w:eastAsia="仿宋_GB2312" w:cs="Times New Roman"/>
          <w:i w:val="0"/>
          <w:iCs w:val="0"/>
          <w:caps w:val="0"/>
          <w:color w:val="000000" w:themeColor="text1"/>
          <w:spacing w:val="0"/>
          <w:sz w:val="32"/>
          <w:szCs w:val="32"/>
          <w:shd w:val="clear" w:fill="auto"/>
          <w14:textFill>
            <w14:solidFill>
              <w14:schemeClr w14:val="tx1"/>
            </w14:solidFill>
          </w14:textFill>
        </w:rPr>
        <w:t>推动</w:t>
      </w:r>
      <w:r>
        <w:rPr>
          <w:rFonts w:hint="default" w:ascii="Times New Roman" w:hAnsi="Times New Roman" w:eastAsia="仿宋_GB2312" w:cs="Times New Roman"/>
          <w:i w:val="0"/>
          <w:iCs w:val="0"/>
          <w:caps w:val="0"/>
          <w:color w:val="000000" w:themeColor="text1"/>
          <w:spacing w:val="0"/>
          <w:sz w:val="32"/>
          <w:szCs w:val="32"/>
          <w:shd w:val="clear"/>
          <w:lang w:eastAsia="zh-CN"/>
          <w14:textFill>
            <w14:solidFill>
              <w14:schemeClr w14:val="tx1"/>
            </w14:solidFill>
          </w14:textFill>
        </w:rPr>
        <w:t>利益</w:t>
      </w:r>
      <w:r>
        <w:rPr>
          <w:rFonts w:ascii="Times New Roman" w:hAnsi="Times New Roman" w:eastAsia="仿宋_GB2312" w:cs="Times New Roman"/>
          <w:i w:val="0"/>
          <w:iCs w:val="0"/>
          <w:caps w:val="0"/>
          <w:color w:val="000000" w:themeColor="text1"/>
          <w:spacing w:val="0"/>
          <w:sz w:val="32"/>
          <w:szCs w:val="32"/>
          <w:shd w:val="clear" w:fill="auto"/>
          <w14:textFill>
            <w14:solidFill>
              <w14:schemeClr w14:val="tx1"/>
            </w14:solidFill>
          </w14:textFill>
        </w:rPr>
        <w:t>联结模式创新与拓展</w:t>
      </w:r>
      <w:r>
        <w:rPr>
          <w:rFonts w:hint="default" w:ascii="Times New Roman" w:hAnsi="Times New Roman" w:eastAsia="仿宋_GB2312" w:cs="Times New Roman"/>
          <w:i w:val="0"/>
          <w:iCs w:val="0"/>
          <w:caps w:val="0"/>
          <w:color w:val="000000" w:themeColor="text1"/>
          <w:spacing w:val="0"/>
          <w:sz w:val="32"/>
          <w:szCs w:val="32"/>
          <w:shd w:val="clear"/>
          <w:lang w:eastAsia="zh-CN"/>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强化帮扶项目全周期管理，指导市县规范项目入库程序，严格项目建设全过程</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监督管理</w:t>
      </w:r>
      <w:r>
        <w:rPr>
          <w:rFonts w:ascii="Times New Roman" w:hAnsi="Times New Roman" w:eastAsia="仿宋_GB2312" w:cs="Times New Roman"/>
          <w:color w:val="000000" w:themeColor="text1"/>
          <w:sz w:val="32"/>
          <w:szCs w:val="32"/>
          <w14:textFill>
            <w14:solidFill>
              <w14:schemeClr w14:val="tx1"/>
            </w14:solidFill>
          </w14:textFill>
        </w:rPr>
        <w:t>，压实帮扶项目资产常态化监管责任。</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健全帮扶项目资产长效管理机制</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14:textFill>
            <w14:solidFill>
              <w14:schemeClr w14:val="tx1"/>
            </w14:solidFill>
          </w14:textFill>
        </w:rPr>
        <w:t>持续落实</w:t>
      </w:r>
      <w:r>
        <w:rPr>
          <w:rFonts w:hint="eastAsia" w:ascii="仿宋_GB2312" w:hAnsi="仿宋_GB2312" w:eastAsia="仿宋_GB2312" w:cs="仿宋_GB2312"/>
          <w:color w:val="000000" w:themeColor="text1"/>
          <w:sz w:val="32"/>
          <w:szCs w:val="32"/>
          <w:highlight w:val="none"/>
          <w14:textFill>
            <w14:solidFill>
              <w14:schemeClr w14:val="tx1"/>
            </w14:solidFill>
          </w14:textFill>
        </w:rPr>
        <w:t>“四个一批”</w:t>
      </w:r>
      <w:r>
        <w:rPr>
          <w:rFonts w:ascii="Times New Roman" w:hAnsi="Times New Roman" w:eastAsia="仿宋_GB2312" w:cs="Times New Roman"/>
          <w:color w:val="000000" w:themeColor="text1"/>
          <w:sz w:val="32"/>
          <w:szCs w:val="32"/>
          <w14:textFill>
            <w14:solidFill>
              <w14:schemeClr w14:val="tx1"/>
            </w14:solidFill>
          </w14:textFill>
        </w:rPr>
        <w:t>工作要求，</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加强日常管理</w:t>
      </w:r>
      <w:r>
        <w:rPr>
          <w:rFonts w:ascii="Times New Roman" w:hAnsi="Times New Roman" w:eastAsia="仿宋_GB2312" w:cs="Times New Roman"/>
          <w:color w:val="000000" w:themeColor="text1"/>
          <w:sz w:val="32"/>
          <w:szCs w:val="32"/>
          <w14:textFill>
            <w14:solidFill>
              <w14:schemeClr w14:val="tx1"/>
            </w14:solidFill>
          </w14:textFill>
        </w:rPr>
        <w:t>，严防项目资产失管失控风险</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906" w:name="_Toc12606"/>
      <w:bookmarkStart w:id="907" w:name="_Toc14159"/>
      <w:bookmarkStart w:id="908" w:name="_Toc30537"/>
      <w:bookmarkStart w:id="909" w:name="_Toc23614"/>
      <w:bookmarkStart w:id="910" w:name="_Toc21570"/>
      <w:bookmarkStart w:id="911" w:name="_Toc1020"/>
      <w:bookmarkStart w:id="912" w:name="_Toc26763"/>
      <w:bookmarkStart w:id="913" w:name="_Toc12328"/>
      <w:bookmarkStart w:id="914" w:name="_Toc17781"/>
      <w:bookmarkStart w:id="915" w:name="_Toc2023"/>
      <w:bookmarkStart w:id="916" w:name="_Toc13195"/>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w:t>
      </w:r>
      <w:r>
        <w:rPr>
          <w:rFonts w:hint="default" w:ascii="Times New Roman" w:hAnsi="Times New Roman" w:eastAsia="黑体"/>
          <w:color w:val="000000" w:themeColor="text1"/>
          <w:sz w:val="32"/>
          <w:szCs w:val="32"/>
          <w:highlight w:val="none"/>
          <w14:textFill>
            <w14:solidFill>
              <w14:schemeClr w14:val="tx1"/>
            </w14:solidFill>
          </w14:textFill>
        </w:rPr>
        <w:t>三</w:t>
      </w:r>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节 拓宽农民增收致富渠道</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发展各具特色的县域经济，推动乡村产业全产业链发展，构建</w:t>
      </w:r>
      <w:r>
        <w:rPr>
          <w:rFonts w:hint="eastAsia" w:ascii="仿宋_GB2312" w:hAnsi="仿宋_GB2312" w:eastAsia="仿宋_GB2312" w:cs="仿宋_GB2312"/>
          <w:color w:val="000000" w:themeColor="text1"/>
          <w:sz w:val="32"/>
          <w:szCs w:val="32"/>
          <w:highlight w:val="none"/>
          <w14:textFill>
            <w14:solidFill>
              <w14:schemeClr w14:val="tx1"/>
            </w14:solidFill>
          </w14:textFill>
        </w:rPr>
        <w:t>“一县一业”“一镇一品”</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差异化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发展格局，完善联农带农机制，拓宽农民经营性收入渠道。培优做强地域性、特色化劳务品牌，稳定和扩大就业岗位，开发公益性岗位，发挥农民集体</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居间服务</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功能，组织农户参与生产性服务业，激活就业潜力，落实农民工工资支付保障制度</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提升农民工工资性收入。提高强农惠农富农政策效能，逐步提升城乡居民基本医疗和养老保险待遇水平，稳步提高农村低保标准，探索把农村外出务工人员寄回带回收入纳入乡村治理积分制范畴，补齐农民转移性收入短板。加强农村闲置资源开发，有序推进集体经营性建设用地入市交易，优化土地增值收益分配制度和农民集体收益分配制度，提高农民土地增值收益分享比例，增加财产性收入。</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917" w:name="_Toc14134"/>
      <w:bookmarkStart w:id="918" w:name="_Toc11404"/>
      <w:bookmarkStart w:id="919" w:name="_Toc31228"/>
      <w:bookmarkStart w:id="920" w:name="_Toc8813"/>
      <w:bookmarkStart w:id="921" w:name="_Toc31052"/>
      <w:bookmarkStart w:id="922" w:name="_Toc9137"/>
      <w:bookmarkStart w:id="923" w:name="_Toc26634"/>
      <w:bookmarkStart w:id="924" w:name="_Toc22754"/>
      <w:bookmarkStart w:id="925" w:name="_Toc11652"/>
      <w:bookmarkStart w:id="926" w:name="_Toc13235"/>
      <w:bookmarkStart w:id="927" w:name="_Toc31781"/>
      <w:bookmarkStart w:id="928" w:name="_Toc11477"/>
      <w:bookmarkStart w:id="929" w:name="_Toc7551"/>
      <w:bookmarkStart w:id="930" w:name="_Toc22384"/>
      <w:bookmarkStart w:id="931" w:name="_Toc9324"/>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第四节 全面促进农村消费扩容升级</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p>
    <w:p>
      <w:pPr>
        <w:adjustRightInd w:val="0"/>
        <w:snapToGrid w:val="0"/>
        <w:spacing w:line="590" w:lineRule="exact"/>
        <w:ind w:firstLine="640" w:firstLineChars="200"/>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开展消费品以旧换新活动，推进农村消费升级</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办好地方民俗文化活动，培育乡村体验式消费新业态，</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营造乡村旅游消费新场景。</w:t>
      </w:r>
      <w:r>
        <w:rPr>
          <w:rFonts w:hint="eastAsia" w:ascii="仿宋_GB2312" w:hAnsi="仿宋_GB2312" w:eastAsia="仿宋_GB2312" w:cs="仿宋_GB2312"/>
          <w:color w:val="000000"/>
          <w:sz w:val="32"/>
          <w:szCs w:val="32"/>
          <w:highlight w:val="none"/>
          <w:lang w:val="en-US" w:eastAsia="zh-CN"/>
        </w:rPr>
        <w:t>深化县域商业体系建设，鼓励和引导连锁、商贸流通企业对现有乡镇商贸中心、大中型超市、集贸市场等商业设施进行改造，推动更多优质品牌下沉。</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逐步提升乡村消费公共服务设施国际化水平，助推建设海南国际旅游消费中心。完善农村寄递物流体系，</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健全农村售后服务网络，</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设</w:t>
      </w:r>
      <w:r>
        <w:rPr>
          <w:rFonts w:hint="eastAsia" w:ascii="仿宋_GB2312" w:hAnsi="仿宋_GB2312" w:eastAsia="仿宋_GB2312" w:cs="仿宋_GB2312"/>
          <w:color w:val="000000" w:themeColor="text1"/>
          <w:sz w:val="32"/>
          <w:szCs w:val="32"/>
          <w:highlight w:val="none"/>
          <w14:textFill>
            <w14:solidFill>
              <w14:schemeClr w14:val="tx1"/>
            </w14:solidFill>
          </w14:textFill>
        </w:rPr>
        <w:t>“一站式服务”站</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点。实施农村消费市场净化行动</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畅通消费投诉渠道，健全乡村消费争议多元化解机制</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。到2030年，推动实现县级寄递物流配送中心、县城综合服务中心和乡镇商贸中心、千人以上行政村农村电商服务全覆盖。</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932" w:name="_Toc24336"/>
      <w:bookmarkStart w:id="933" w:name="_Toc7363"/>
      <w:bookmarkStart w:id="934" w:name="_Toc14152"/>
      <w:bookmarkStart w:id="935" w:name="_Toc10649"/>
      <w:bookmarkStart w:id="936" w:name="_Toc9557"/>
      <w:bookmarkStart w:id="937" w:name="_Toc9599"/>
      <w:bookmarkStart w:id="938" w:name="_Toc1692"/>
      <w:bookmarkStart w:id="939" w:name="_Toc7608"/>
      <w:bookmarkStart w:id="940" w:name="_Toc3164"/>
      <w:bookmarkStart w:id="941" w:name="_Toc9199"/>
      <w:bookmarkStart w:id="942" w:name="_Toc5571"/>
      <w:bookmarkStart w:id="943" w:name="_Toc11748"/>
      <w:bookmarkStart w:id="944" w:name="_Toc13296"/>
      <w:bookmarkStart w:id="945" w:name="_Toc5797"/>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第五节 加强农村精神文明建设</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pPr>
        <w:adjustRightInd w:val="0"/>
        <w:snapToGrid w:val="0"/>
        <w:spacing w:line="590" w:lineRule="exact"/>
        <w:ind w:firstLine="640" w:firstLineChars="200"/>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弘扬</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和践行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社会主义核心价值观</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深化新时代文明实践中心（所、站）建设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巩固拓展</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农村</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精神文明建设阵地。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实施文明乡风建设工程</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引导</w:t>
      </w:r>
      <w:r>
        <w:rPr>
          <w:rFonts w:hint="default" w:ascii="Times New Roman" w:hAnsi="Times New Roman" w:eastAsia="仿宋_GB2312" w:cs="Times New Roman"/>
          <w:color w:val="000000" w:themeColor="text1"/>
          <w:sz w:val="32"/>
          <w:szCs w:val="32"/>
          <w:highlight w:val="none"/>
          <w:vertAlign w:val="baseline"/>
          <w:lang w:val="en-US" w:eastAsia="zh-CN"/>
          <w14:textFill>
            <w14:solidFill>
              <w14:schemeClr w14:val="tx1"/>
            </w14:solidFill>
          </w14:textFill>
        </w:rPr>
        <w:t>农村适龄青年婚恋婚育，</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持续</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整治高额彩礼、大操大办、散埋乱葬等</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农村移风易俗</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重点领域突出问题</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。深化文明村镇、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文明家庭</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创建。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举办乡土文化能人、非遗工坊带头人等专题培训班，培育壮大乡村文化人才队伍。鼓励创作农民群众喜闻乐见的文艺作品，开展农民群众乐于参与、便于参与的文艺服务。因地制宜举办</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村BA</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村VA</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、村跑、村</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群众性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文体活动</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，创新</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办好“三月三”、</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农民丰收节等节庆活动。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实施农村文化传承保护工程，强化山栏稻、大叶茶、羊山荔枝、古盐田、屯昌猪等农业文化遗产挖掘整理和保护利用，推动农耕文化传播与旅游融合发展。</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946" w:name="_Toc8983"/>
      <w:bookmarkStart w:id="947" w:name="_Toc2326"/>
      <w:bookmarkStart w:id="948" w:name="_Toc17808"/>
      <w:bookmarkStart w:id="949" w:name="_Toc10188"/>
      <w:bookmarkStart w:id="950" w:name="_Toc21084"/>
      <w:bookmarkStart w:id="951" w:name="_Toc31287"/>
      <w:bookmarkStart w:id="952" w:name="_Toc9756"/>
      <w:bookmarkStart w:id="953" w:name="_Toc29980"/>
      <w:bookmarkStart w:id="954" w:name="_Toc22152"/>
      <w:bookmarkStart w:id="955" w:name="_Toc11257"/>
      <w:bookmarkStart w:id="956" w:name="_Toc1707"/>
      <w:bookmarkStart w:id="957" w:name="_Toc2407"/>
      <w:bookmarkStart w:id="958" w:name="_Toc7741"/>
      <w:bookmarkStart w:id="959" w:name="_Toc18636"/>
      <w:bookmarkStart w:id="960" w:name="_Toc10259"/>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第六节 全面提高农民综合素质</w:t>
      </w:r>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围绕热带特色高效农业、乡村旅游经营、农村电商、乡村治理等重点领域，</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实施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新产业新业态带头人培育</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工程</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粮油和重要农产品生产经营主体提升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工程</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文明乡风建设素质素养提升</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工程</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kern w:val="2"/>
          <w:sz w:val="32"/>
          <w:szCs w:val="32"/>
          <w:highlight w:val="none"/>
          <w:lang w:val="en-US" w:eastAsia="zh-CN" w:bidi="ar-SA"/>
          <w14:textFill>
            <w14:solidFill>
              <w14:schemeClr w14:val="tx1"/>
            </w14:solidFill>
          </w14:textFill>
        </w:rPr>
        <w:t>开展系统化、精准化的职业技能培训，继续发挥乡村振兴电视夜校作用，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培育</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高素质农民</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壮大农村劳务带头人、致富能人、乡村匠人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“三支队伍”</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健全农民教育培训体系，扩大农业职业培训招收农民学员规模。</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支持园区管理机构联合入园企业设立农民职业技能实训基地。实施农民道德建设工程</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抓好农村未成年人思想道德建设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到2030年，开展农民工职业技能培训不少于</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20</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万人次，培养高素质农民2.5万人以上。</w:t>
      </w:r>
    </w:p>
    <w:tbl>
      <w:tblPr>
        <w:tblStyle w:val="20"/>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blHeader/>
          <w:jc w:val="center"/>
        </w:trPr>
        <w:tc>
          <w:tcPr>
            <w:tcW w:w="884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top"/>
          </w:tcPr>
          <w:p>
            <w:pPr>
              <w:widowControl/>
              <w:pBdr>
                <w:top w:val="none" w:color="auto" w:sz="0" w:space="0"/>
                <w:left w:val="none" w:color="auto" w:sz="0" w:space="0"/>
                <w:bottom w:val="none" w:color="auto" w:sz="0" w:space="0"/>
                <w:right w:val="none" w:color="auto" w:sz="0" w:space="0"/>
                <w:between w:val="none" w:color="auto" w:sz="0" w:space="0"/>
              </w:pBdr>
              <w:snapToGrid/>
              <w:spacing w:beforeLines="-2147483648" w:afterLines="-2147483648" w:line="360" w:lineRule="auto"/>
              <w:ind w:left="0" w:leftChars="0" w:firstLine="0" w:firstLineChars="0"/>
              <w:jc w:val="center"/>
              <w:outlineLvl w:val="0"/>
              <w:rPr>
                <w:rFonts w:hint="eastAsia" w:ascii="Times New Roman" w:hAnsi="Times New Roman" w:eastAsia="仿宋_GB2312" w:cs="Times New Roman"/>
                <w:b w:val="0"/>
                <w:bCs w:val="0"/>
                <w:color w:val="auto"/>
                <w:kern w:val="2"/>
                <w:sz w:val="28"/>
                <w:szCs w:val="28"/>
                <w:highlight w:val="none"/>
                <w:u w:val="none"/>
                <w:shd w:val="clear" w:color="auto" w:fill="auto"/>
                <w:lang w:val="en-US" w:eastAsia="zh-CN" w:bidi="ar-SA"/>
              </w:rPr>
            </w:pPr>
            <w:bookmarkStart w:id="961" w:name="_Toc26375"/>
            <w:bookmarkStart w:id="962" w:name="_Toc11090"/>
            <w:bookmarkStart w:id="963" w:name="_Toc27498"/>
            <w:bookmarkStart w:id="964" w:name="_Toc26062"/>
            <w:bookmarkStart w:id="965" w:name="_Toc28597"/>
            <w:bookmarkStart w:id="966" w:name="_Toc31830"/>
            <w:bookmarkStart w:id="967" w:name="_Toc20811"/>
            <w:bookmarkStart w:id="968" w:name="_Toc22610"/>
            <w:bookmarkStart w:id="969" w:name="_Toc27047"/>
            <w:bookmarkStart w:id="970" w:name="_Toc28259"/>
            <w:r>
              <w:rPr>
                <w:rFonts w:hint="eastAsia" w:ascii="楷体" w:hAnsi="楷体" w:eastAsia="楷体" w:cs="楷体"/>
                <w:b w:val="0"/>
                <w:bCs/>
                <w:color w:val="000000"/>
                <w:sz w:val="28"/>
                <w:szCs w:val="28"/>
                <w:highlight w:val="none"/>
                <w:shd w:val="clear" w:color="auto" w:fill="FFFFFF"/>
              </w:rPr>
              <w:t>专栏</w:t>
            </w:r>
            <w:r>
              <w:rPr>
                <w:rFonts w:hint="eastAsia" w:ascii="楷体" w:hAnsi="楷体" w:eastAsia="楷体" w:cs="楷体"/>
                <w:b w:val="0"/>
                <w:bCs/>
                <w:color w:val="000000"/>
                <w:sz w:val="28"/>
                <w:szCs w:val="28"/>
                <w:highlight w:val="none"/>
                <w:shd w:val="clear" w:color="auto" w:fill="FFFFFF"/>
                <w:lang w:val="en-US" w:eastAsia="zh-CN"/>
              </w:rPr>
              <w:t>7</w:t>
            </w:r>
            <w:r>
              <w:rPr>
                <w:rFonts w:hint="eastAsia" w:ascii="楷体" w:hAnsi="楷体" w:eastAsia="楷体" w:cs="楷体"/>
                <w:b w:val="0"/>
                <w:bCs/>
                <w:color w:val="000000"/>
                <w:sz w:val="28"/>
                <w:szCs w:val="28"/>
                <w:highlight w:val="none"/>
                <w:shd w:val="clear" w:color="auto" w:fill="FFFFFF"/>
              </w:rPr>
              <w:t xml:space="preserve">  农民现代化工程</w:t>
            </w:r>
            <w:bookmarkEnd w:id="961"/>
            <w:bookmarkEnd w:id="962"/>
            <w:bookmarkEnd w:id="963"/>
            <w:bookmarkEnd w:id="964"/>
            <w:bookmarkEnd w:id="965"/>
            <w:bookmarkEnd w:id="966"/>
            <w:bookmarkEnd w:id="967"/>
            <w:bookmarkEnd w:id="968"/>
            <w:bookmarkEnd w:id="969"/>
            <w:bookmarkEnd w:id="970"/>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spacing w:line="440" w:lineRule="exact"/>
              <w:ind w:firstLine="0" w:firstLineChars="0"/>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01</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持续巩固拓展脱贫攻坚成果</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eastAsiaTheme="minorEastAsia"/>
                <w:bCs/>
                <w:color w:val="000000" w:themeColor="text1"/>
                <w:sz w:val="24"/>
                <w:highlight w:val="none"/>
                <w:lang w:bidi="ar"/>
                <w14:textFill>
                  <w14:solidFill>
                    <w14:schemeClr w14:val="tx1"/>
                  </w14:solidFill>
                </w14:textFill>
              </w:rPr>
            </w:pPr>
            <w:r>
              <w:rPr>
                <w:rFonts w:hint="eastAsia" w:ascii="Times New Roman" w:hAnsi="Times New Roman" w:eastAsia="仿宋_GB2312" w:cs="Times New Roman"/>
                <w:b w:val="0"/>
                <w:bCs w:val="0"/>
                <w:color w:val="auto"/>
                <w:kern w:val="2"/>
                <w:sz w:val="28"/>
                <w:szCs w:val="28"/>
                <w:highlight w:val="none"/>
                <w:u w:val="none"/>
                <w:shd w:val="clear" w:color="auto" w:fill="auto"/>
                <w:lang w:val="en-US" w:eastAsia="zh-CN" w:bidi="ar-SA"/>
              </w:rPr>
              <w:t>巩固提升“三保障”和饮水安全保障成果。完善高校毕业生、退役军人、农村劳动力、残疾人、就业困难人员等重点群体就业支持体系，培强做优“椰字号”劳务品牌，常态化开展消费助农大集市活动。</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bidi="ar-SA"/>
              </w:rPr>
              <w:t>开展“优选岗位全省送”等公共就业服务专项活动</w:t>
            </w:r>
            <w:r>
              <w:rPr>
                <w:rFonts w:hint="eastAsia" w:ascii="Times New Roman" w:hAnsi="Times New Roman" w:eastAsia="仿宋_GB2312" w:cs="Times New Roman"/>
                <w:bCs w:val="0"/>
                <w:color w:val="auto"/>
                <w:sz w:val="28"/>
                <w:szCs w:val="28"/>
                <w:highlight w:val="none"/>
                <w:u w:val="none"/>
                <w:shd w:val="clear" w:color="auto" w:fill="auto"/>
                <w:lang w:bidi="ar-SA"/>
              </w:rPr>
              <w:t>、数字乡村强农惠农富农专项行动、“百企联百村”结对专项行动</w:t>
            </w:r>
            <w:r>
              <w:rPr>
                <w:rFonts w:hint="eastAsia" w:ascii="Times New Roman" w:hAnsi="Times New Roman" w:eastAsia="仿宋_GB2312" w:cs="Times New Roman"/>
                <w:bCs w:val="0"/>
                <w:color w:val="auto"/>
                <w:sz w:val="28"/>
                <w:szCs w:val="28"/>
                <w:highlight w:val="none"/>
                <w:u w:val="none"/>
                <w:shd w:val="clear" w:color="auto" w:fill="auto"/>
                <w:lang w:eastAsia="zh-CN" w:bidi="ar-SA"/>
              </w:rPr>
              <w:t>、</w:t>
            </w:r>
            <w:r>
              <w:rPr>
                <w:rFonts w:hint="eastAsia" w:ascii="Times New Roman" w:hAnsi="Times New Roman" w:eastAsia="仿宋_GB2312" w:cs="Times New Roman"/>
                <w:bCs w:val="0"/>
                <w:color w:val="auto"/>
                <w:sz w:val="28"/>
                <w:szCs w:val="28"/>
                <w:highlight w:val="none"/>
                <w:u w:val="none"/>
                <w:shd w:val="clear" w:color="auto" w:fill="auto"/>
                <w:lang w:bidi="ar-SA"/>
              </w:rPr>
              <w:t>“百社联百村·携手共富”行动</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bidi="ar-SA"/>
              </w:rPr>
              <w:t>。</w:t>
            </w:r>
            <w:r>
              <w:rPr>
                <w:rFonts w:hint="eastAsia" w:ascii="Times New Roman" w:hAnsi="Times New Roman" w:eastAsia="仿宋_GB2312" w:cs="Times New Roman"/>
                <w:bCs w:val="0"/>
                <w:color w:val="auto"/>
                <w:sz w:val="28"/>
                <w:szCs w:val="28"/>
                <w:highlight w:val="none"/>
                <w:u w:val="none"/>
                <w:shd w:val="clear" w:color="auto" w:fill="auto"/>
                <w:lang w:val="en-US" w:eastAsia="zh-CN" w:bidi="ar-SA"/>
              </w:rPr>
              <w:t>加强消费帮扶产品管理，做好产销对接。</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spacing w:line="440" w:lineRule="exact"/>
              <w:ind w:firstLine="0" w:firstLineChars="0"/>
              <w:rPr>
                <w:rFonts w:hint="eastAsia" w:ascii="楷体_GB2312" w:hAnsi="楷体_GB2312" w:eastAsia="楷体_GB2312" w:cs="楷体_GB2312"/>
                <w:b w:val="0"/>
                <w:bCs w:val="0"/>
                <w:color w:val="auto"/>
                <w:sz w:val="28"/>
                <w:szCs w:val="28"/>
                <w:highlight w:val="none"/>
                <w:u w:val="none"/>
                <w:shd w:val="clear" w:color="auto" w:fill="auto"/>
                <w:lang w:bidi="ar"/>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02</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bidi="ar"/>
              </w:rPr>
              <w:t>常态化</w:t>
            </w:r>
            <w:r>
              <w:rPr>
                <w:rFonts w:hint="eastAsia" w:ascii="楷体_GB2312" w:hAnsi="楷体_GB2312" w:eastAsia="楷体_GB2312" w:cs="楷体_GB2312"/>
                <w:b w:val="0"/>
                <w:bCs w:val="0"/>
                <w:color w:val="auto"/>
                <w:sz w:val="28"/>
                <w:szCs w:val="28"/>
                <w:highlight w:val="none"/>
                <w:u w:val="none"/>
                <w:shd w:val="clear" w:color="auto" w:fill="auto"/>
                <w:lang w:val="en-US" w:eastAsia="zh-CN" w:bidi="ar"/>
              </w:rPr>
              <w:t>开展</w:t>
            </w:r>
            <w:r>
              <w:rPr>
                <w:rFonts w:hint="eastAsia" w:ascii="楷体_GB2312" w:hAnsi="楷体_GB2312" w:eastAsia="楷体_GB2312" w:cs="楷体_GB2312"/>
                <w:b w:val="0"/>
                <w:bCs w:val="0"/>
                <w:color w:val="auto"/>
                <w:sz w:val="28"/>
                <w:szCs w:val="28"/>
                <w:highlight w:val="none"/>
                <w:u w:val="none"/>
                <w:shd w:val="clear" w:color="auto" w:fill="auto"/>
                <w:lang w:bidi="ar"/>
              </w:rPr>
              <w:t>产业帮扶</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eastAsiaTheme="minorEastAsia"/>
                <w:bCs/>
                <w:color w:val="000000" w:themeColor="text1"/>
                <w:sz w:val="24"/>
                <w:highlight w:val="none"/>
                <w:lang w:bidi="ar"/>
                <w14:textFill>
                  <w14:solidFill>
                    <w14:schemeClr w14:val="tx1"/>
                  </w14:solidFill>
                </w14:textFill>
              </w:rPr>
            </w:pPr>
            <w:r>
              <w:rPr>
                <w:rFonts w:hint="eastAsia" w:ascii="Times New Roman" w:hAnsi="Times New Roman" w:eastAsia="仿宋_GB2312" w:cs="Times New Roman"/>
                <w:bCs w:val="0"/>
                <w:i w:val="0"/>
                <w:iCs w:val="0"/>
                <w:caps w:val="0"/>
                <w:color w:val="auto"/>
                <w:spacing w:val="0"/>
                <w:sz w:val="28"/>
                <w:szCs w:val="28"/>
                <w:highlight w:val="none"/>
                <w:u w:val="none"/>
                <w:shd w:val="clear" w:color="auto" w:fill="auto"/>
                <w:lang w:bidi="ar-SA"/>
              </w:rPr>
              <w:t>优化产业帮扶方式</w:t>
            </w:r>
            <w:r>
              <w:rPr>
                <w:rFonts w:hint="eastAsia" w:ascii="Times New Roman" w:hAnsi="Times New Roman" w:eastAsia="仿宋_GB2312" w:cs="Times New Roman"/>
                <w:bCs w:val="0"/>
                <w:i w:val="0"/>
                <w:iCs w:val="0"/>
                <w:caps w:val="0"/>
                <w:color w:val="auto"/>
                <w:spacing w:val="0"/>
                <w:sz w:val="28"/>
                <w:szCs w:val="28"/>
                <w:highlight w:val="none"/>
                <w:u w:val="none"/>
                <w:shd w:val="clear" w:color="auto" w:fill="auto"/>
                <w:lang w:eastAsia="zh-CN" w:bidi="ar-SA"/>
              </w:rPr>
              <w:t>，</w:t>
            </w:r>
            <w:r>
              <w:rPr>
                <w:rFonts w:hint="eastAsia" w:ascii="Times New Roman" w:hAnsi="Times New Roman" w:eastAsia="仿宋_GB2312" w:cs="Times New Roman"/>
                <w:bCs w:val="0"/>
                <w:color w:val="auto"/>
                <w:sz w:val="28"/>
                <w:szCs w:val="28"/>
                <w:highlight w:val="none"/>
                <w:u w:val="none"/>
                <w:shd w:val="clear" w:color="auto" w:fill="auto"/>
                <w:lang w:bidi="ar-SA"/>
              </w:rPr>
              <w:t>促进帮扶产业多元发展，推进主导产业全链开发，做好与乡村工匠等支持政策衔接</w:t>
            </w:r>
            <w:r>
              <w:rPr>
                <w:rFonts w:hint="eastAsia" w:ascii="Times New Roman" w:hAnsi="Times New Roman" w:eastAsia="仿宋_GB2312" w:cs="Times New Roman"/>
                <w:bCs w:val="0"/>
                <w:color w:val="auto"/>
                <w:sz w:val="28"/>
                <w:szCs w:val="28"/>
                <w:highlight w:val="none"/>
                <w:u w:val="none"/>
                <w:shd w:val="clear" w:color="auto" w:fill="auto"/>
                <w:lang w:eastAsia="zh-CN" w:bidi="ar-SA"/>
              </w:rPr>
              <w:t>，</w:t>
            </w:r>
            <w:r>
              <w:rPr>
                <w:rFonts w:hint="eastAsia" w:ascii="Times New Roman" w:hAnsi="Times New Roman" w:eastAsia="仿宋_GB2312" w:cs="Times New Roman"/>
                <w:bCs w:val="0"/>
                <w:color w:val="auto"/>
                <w:sz w:val="28"/>
                <w:szCs w:val="28"/>
                <w:highlight w:val="none"/>
                <w:u w:val="none"/>
                <w:shd w:val="clear" w:color="auto" w:fill="auto"/>
                <w:lang w:bidi="ar-SA"/>
              </w:rPr>
              <w:t>优化到户奖补政策，健全防止返贫致贫利益联结机制。强化帮扶项目全周期管理，提高项目谋划质量，严格项目组织实施，加强运营监测评价。</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spacing w:line="440" w:lineRule="exact"/>
              <w:ind w:firstLine="0" w:firstLineChars="0"/>
              <w:rPr>
                <w:rFonts w:hint="eastAsia" w:ascii="楷体_GB2312" w:hAnsi="楷体_GB2312" w:eastAsia="楷体_GB2312" w:cs="楷体_GB2312"/>
                <w:b w:val="0"/>
                <w:color w:val="auto"/>
                <w:kern w:val="2"/>
                <w:sz w:val="28"/>
                <w:szCs w:val="28"/>
                <w:highlight w:val="none"/>
                <w:u w:val="none"/>
                <w:shd w:val="clear" w:color="auto" w:fill="auto"/>
                <w:lang w:val="en-US" w:eastAsia="zh-CN" w:bidi="ar"/>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03</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color w:val="auto"/>
                <w:kern w:val="2"/>
                <w:sz w:val="28"/>
                <w:szCs w:val="28"/>
                <w:highlight w:val="none"/>
                <w:u w:val="none"/>
                <w:shd w:val="clear" w:color="auto" w:fill="auto"/>
                <w:lang w:val="en-US" w:eastAsia="zh-CN" w:bidi="ar"/>
              </w:rPr>
              <w:t>拓宽农民增收致富渠道</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eastAsiaTheme="minorEastAsia"/>
                <w:bCs/>
                <w:color w:val="000000" w:themeColor="text1"/>
                <w:sz w:val="24"/>
                <w:highlight w:val="none"/>
                <w:lang w:bidi="ar"/>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bidi="ar-SA"/>
              </w:rPr>
              <w:t>大力发展乡村富民产业，推动县域经济和“园村一体”发展。实施农村居民增收计划，推动农民经营性收入、工资性收入、转移性收入、财产性收入稳步提升。</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spacing w:line="440" w:lineRule="exact"/>
              <w:ind w:firstLine="0" w:firstLineChars="0"/>
              <w:rPr>
                <w:rFonts w:hint="eastAsia" w:ascii="楷体_GB2312" w:hAnsi="楷体_GB2312" w:eastAsia="楷体_GB2312" w:cs="楷体_GB2312"/>
                <w:b w:val="0"/>
                <w:color w:val="auto"/>
                <w:kern w:val="2"/>
                <w:sz w:val="28"/>
                <w:szCs w:val="28"/>
                <w:highlight w:val="none"/>
                <w:u w:val="none"/>
                <w:shd w:val="clear" w:color="auto" w:fill="auto"/>
                <w:lang w:val="en-US" w:eastAsia="zh-CN" w:bidi="ar"/>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04</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color w:val="auto"/>
                <w:kern w:val="2"/>
                <w:sz w:val="28"/>
                <w:szCs w:val="28"/>
                <w:highlight w:val="none"/>
                <w:u w:val="none"/>
                <w:shd w:val="clear" w:color="auto" w:fill="auto"/>
                <w:lang w:val="en-US" w:eastAsia="zh-CN" w:bidi="ar"/>
              </w:rPr>
              <w:t>全面促进农村消费扩容升级</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eastAsiaTheme="minorEastAsia"/>
                <w:bCs/>
                <w:color w:val="000000" w:themeColor="text1"/>
                <w:sz w:val="24"/>
                <w:highlight w:val="none"/>
                <w:lang w:bidi="ar"/>
                <w14:textFill>
                  <w14:solidFill>
                    <w14:schemeClr w14:val="tx1"/>
                  </w14:solidFill>
                </w14:textFill>
              </w:rPr>
            </w:pPr>
            <w:r>
              <w:rPr>
                <w:rFonts w:hint="eastAsia" w:ascii="Times New Roman" w:hAnsi="Times New Roman" w:eastAsia="仿宋_GB2312" w:cs="Times New Roman"/>
                <w:b w:val="0"/>
                <w:bCs w:val="0"/>
                <w:color w:val="auto"/>
                <w:kern w:val="2"/>
                <w:sz w:val="28"/>
                <w:szCs w:val="28"/>
                <w:highlight w:val="none"/>
                <w:u w:val="none"/>
                <w:shd w:val="clear" w:color="auto" w:fill="auto"/>
                <w:lang w:val="en-US" w:eastAsia="zh-CN" w:bidi="ar-SA"/>
              </w:rPr>
              <w:t>深入实施消费品以旧换新和农村消费环境净化专项行动。推动电商服务站、村邮站、供销农村综合服务社及农村便利店等基层网点资源整合。健全县乡村三级寄递物流配送体系。</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spacing w:line="440" w:lineRule="exact"/>
              <w:ind w:firstLine="0" w:firstLineChars="0"/>
              <w:rPr>
                <w:rFonts w:hint="eastAsia" w:ascii="楷体_GB2312" w:hAnsi="楷体_GB2312" w:eastAsia="楷体_GB2312" w:cs="楷体_GB2312"/>
                <w:b w:val="0"/>
                <w:bCs w:val="0"/>
                <w:color w:val="auto"/>
                <w:sz w:val="28"/>
                <w:szCs w:val="28"/>
                <w:highlight w:val="none"/>
                <w:u w:val="none"/>
                <w:shd w:val="clear" w:color="auto" w:fill="auto"/>
                <w:lang w:val="en-US" w:eastAsia="zh-CN" w:bidi="ar"/>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05</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bidi="ar"/>
              </w:rPr>
              <w:t>加强农村精神文明建设</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eastAsiaTheme="minorEastAsia"/>
                <w:bCs/>
                <w:color w:val="000000" w:themeColor="text1"/>
                <w:sz w:val="24"/>
                <w:highlight w:val="none"/>
                <w:lang w:bidi="ar"/>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bidi="ar-SA"/>
              </w:rPr>
              <w:t>开展乡风文明“七个倡导”活动，培育文明乡风、良好家风、淳朴民风。</w:t>
            </w:r>
            <w:r>
              <w:rPr>
                <w:rFonts w:hint="eastAsia" w:ascii="Times New Roman" w:hAnsi="Times New Roman" w:eastAsia="仿宋_GB2312" w:cs="Times New Roman"/>
                <w:b w:val="0"/>
                <w:bCs w:val="0"/>
                <w:color w:val="auto"/>
                <w:kern w:val="2"/>
                <w:sz w:val="28"/>
                <w:szCs w:val="28"/>
                <w:highlight w:val="none"/>
                <w:u w:val="none"/>
                <w:shd w:val="clear" w:color="auto" w:fill="auto"/>
                <w:lang w:val="en-US" w:eastAsia="zh-CN" w:bidi="ar-SA"/>
              </w:rPr>
              <w:t>鼓励引导各方创作农民群众喜闻乐见、反映新时代农村发展成果的文艺作品。面向农村老年人、留守儿童等特殊群体，开展戏曲演出、艺术普及等活动。</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bidi="ar-SA"/>
              </w:rPr>
              <w:t>成立省级农业文化遗产专家委员会，组织申报中国和全球重要农业文化遗产。保护利用好历史文化名城名镇名村、历史文化街区、历史地段和传统村落等文化遗产，打造农遗品牌，系统推进农业文化遗产的保护与传承工作。</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tcBorders>
            <w:shd w:val="clear" w:color="auto" w:fill="F1F1F1" w:themeFill="background1" w:themeFillShade="F2"/>
            <w:vAlign w:val="top"/>
          </w:tcPr>
          <w:p>
            <w:pPr>
              <w:spacing w:line="440" w:lineRule="exact"/>
              <w:ind w:firstLine="0" w:firstLineChars="0"/>
              <w:rPr>
                <w:rFonts w:hint="eastAsia" w:ascii="楷体_GB2312" w:hAnsi="楷体_GB2312" w:eastAsia="楷体_GB2312" w:cs="楷体_GB2312"/>
                <w:b w:val="0"/>
                <w:bCs w:val="0"/>
                <w:color w:val="auto"/>
                <w:sz w:val="28"/>
                <w:szCs w:val="28"/>
                <w:highlight w:val="none"/>
                <w:u w:val="none"/>
                <w:shd w:val="clear" w:color="auto" w:fill="auto"/>
                <w:lang w:val="en-US" w:eastAsia="zh-CN" w:bidi="ar"/>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06</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bidi="ar"/>
              </w:rPr>
              <w:t>全面提高农民综合素质</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eastAsia="仿宋_GB2312" w:cs="Times New Roman"/>
                <w:bCs w:val="0"/>
                <w:color w:val="auto"/>
                <w:sz w:val="28"/>
                <w:szCs w:val="28"/>
                <w:highlight w:val="none"/>
                <w:u w:val="none"/>
                <w:shd w:val="clear" w:color="auto" w:fill="auto"/>
                <w:lang w:bidi="ar-SA"/>
              </w:rPr>
              <w:t>实施乡村产业振兴带头人培育“头雁”</w:t>
            </w:r>
            <w:r>
              <w:rPr>
                <w:rFonts w:hint="eastAsia" w:ascii="Times New Roman" w:hAnsi="Times New Roman" w:eastAsia="仿宋_GB2312" w:cs="Times New Roman"/>
                <w:bCs w:val="0"/>
                <w:color w:val="auto"/>
                <w:sz w:val="28"/>
                <w:szCs w:val="28"/>
                <w:highlight w:val="none"/>
                <w:u w:val="none"/>
                <w:shd w:val="clear" w:color="auto" w:fill="auto"/>
                <w:lang w:eastAsia="zh-CN" w:bidi="ar-SA"/>
              </w:rPr>
              <w:t>、</w:t>
            </w:r>
            <w:r>
              <w:rPr>
                <w:rFonts w:hint="eastAsia" w:ascii="Times New Roman" w:hAnsi="Times New Roman" w:eastAsia="仿宋_GB2312" w:cs="Times New Roman"/>
                <w:bCs w:val="0"/>
                <w:color w:val="auto"/>
                <w:sz w:val="28"/>
                <w:szCs w:val="28"/>
                <w:highlight w:val="none"/>
                <w:u w:val="none"/>
                <w:shd w:val="clear" w:color="auto" w:fill="auto"/>
                <w:lang w:bidi="ar-SA"/>
              </w:rPr>
              <w:t>高素质农民培育、“一村一名大学生”</w:t>
            </w:r>
            <w:r>
              <w:rPr>
                <w:rFonts w:hint="eastAsia" w:ascii="Times New Roman" w:hAnsi="Times New Roman" w:eastAsia="仿宋_GB2312" w:cs="Times New Roman"/>
                <w:bCs w:val="0"/>
                <w:color w:val="auto"/>
                <w:sz w:val="28"/>
                <w:szCs w:val="28"/>
                <w:highlight w:val="none"/>
                <w:u w:val="none"/>
                <w:shd w:val="clear" w:color="auto" w:fill="auto"/>
                <w:lang w:eastAsia="zh-CN" w:bidi="ar-SA"/>
              </w:rPr>
              <w:t>、</w:t>
            </w:r>
            <w:r>
              <w:rPr>
                <w:rFonts w:hint="eastAsia" w:ascii="Times New Roman" w:hAnsi="Times New Roman" w:eastAsia="仿宋_GB2312" w:cs="Times New Roman"/>
                <w:bCs w:val="0"/>
                <w:color w:val="auto"/>
                <w:sz w:val="28"/>
                <w:szCs w:val="28"/>
                <w:highlight w:val="none"/>
                <w:u w:val="none"/>
                <w:shd w:val="clear" w:color="auto" w:fill="auto"/>
                <w:lang w:bidi="ar-SA"/>
              </w:rPr>
              <w:t>农村实用</w:t>
            </w:r>
            <w:r>
              <w:rPr>
                <w:rFonts w:hint="eastAsia" w:ascii="Times New Roman" w:hAnsi="Times New Roman" w:eastAsia="仿宋_GB2312" w:cs="Times New Roman"/>
                <w:bCs w:val="0"/>
                <w:color w:val="auto"/>
                <w:sz w:val="28"/>
                <w:szCs w:val="28"/>
                <w:highlight w:val="none"/>
                <w:u w:val="none"/>
                <w:shd w:val="clear" w:color="auto" w:fill="auto"/>
                <w:lang w:val="en-US" w:eastAsia="zh-CN" w:bidi="ar-SA"/>
              </w:rPr>
              <w:t>人才</w:t>
            </w:r>
            <w:r>
              <w:rPr>
                <w:rFonts w:hint="eastAsia" w:ascii="Times New Roman" w:hAnsi="Times New Roman" w:eastAsia="仿宋_GB2312" w:cs="Times New Roman"/>
                <w:bCs w:val="0"/>
                <w:color w:val="auto"/>
                <w:sz w:val="28"/>
                <w:szCs w:val="28"/>
                <w:highlight w:val="none"/>
                <w:u w:val="none"/>
                <w:shd w:val="clear" w:color="auto" w:fill="auto"/>
                <w:lang w:bidi="ar-SA"/>
              </w:rPr>
              <w:t>带头人培训、乡村振兴急需紧缺人才培育等项目，</w:t>
            </w:r>
            <w:r>
              <w:rPr>
                <w:rFonts w:hint="eastAsia" w:ascii="Times New Roman" w:hAnsi="Times New Roman" w:eastAsia="仿宋_GB2312" w:cs="Times New Roman"/>
                <w:bCs w:val="0"/>
                <w:color w:val="auto"/>
                <w:sz w:val="28"/>
                <w:szCs w:val="28"/>
                <w:highlight w:val="none"/>
                <w:u w:val="none"/>
                <w:shd w:val="clear" w:color="auto" w:fill="auto"/>
                <w:lang w:val="en-US" w:eastAsia="zh-CN" w:bidi="ar-SA"/>
              </w:rPr>
              <w:t>开展</w:t>
            </w:r>
            <w:r>
              <w:rPr>
                <w:rFonts w:hint="eastAsia" w:ascii="Times New Roman" w:hAnsi="Times New Roman" w:eastAsia="仿宋_GB2312" w:cs="Times New Roman"/>
                <w:bCs w:val="0"/>
                <w:color w:val="auto"/>
                <w:sz w:val="28"/>
                <w:szCs w:val="28"/>
                <w:highlight w:val="none"/>
                <w:u w:val="none"/>
                <w:shd w:val="clear" w:color="auto" w:fill="auto"/>
                <w:lang w:bidi="ar-SA"/>
              </w:rPr>
              <w:t>乡村巾帼追梦人计划和乡村振兴青春建功行</w:t>
            </w:r>
            <w:r>
              <w:rPr>
                <w:rFonts w:hint="eastAsia" w:ascii="Times New Roman" w:hAnsi="Times New Roman" w:eastAsia="仿宋_GB2312" w:cs="Times New Roman"/>
                <w:bCs w:val="0"/>
                <w:color w:val="auto"/>
                <w:sz w:val="28"/>
                <w:szCs w:val="28"/>
                <w:highlight w:val="none"/>
                <w:u w:val="none"/>
                <w:shd w:val="clear" w:color="auto" w:fill="auto"/>
                <w:lang w:val="en-US" w:eastAsia="zh-CN" w:bidi="ar-SA"/>
              </w:rPr>
              <w:t>动，</w:t>
            </w:r>
            <w:r>
              <w:rPr>
                <w:rFonts w:hint="eastAsia" w:ascii="Times New Roman" w:hAnsi="Times New Roman" w:eastAsia="仿宋_GB2312" w:cs="Times New Roman"/>
                <w:bCs w:val="0"/>
                <w:color w:val="auto"/>
                <w:sz w:val="28"/>
                <w:szCs w:val="28"/>
                <w:highlight w:val="none"/>
                <w:u w:val="none"/>
                <w:shd w:val="clear" w:color="auto" w:fill="auto"/>
                <w:lang w:bidi="ar-SA"/>
              </w:rPr>
              <w:t>支持乡村面向社会招聘农村集体经济经理人，探索开展公费农科生定向培养模式</w:t>
            </w:r>
            <w:r>
              <w:rPr>
                <w:rFonts w:hint="eastAsia" w:ascii="Times New Roman" w:hAnsi="Times New Roman" w:eastAsia="仿宋_GB2312" w:cs="Times New Roman"/>
                <w:bCs w:val="0"/>
                <w:color w:val="auto"/>
                <w:sz w:val="28"/>
                <w:szCs w:val="28"/>
                <w:highlight w:val="none"/>
                <w:u w:val="none"/>
                <w:shd w:val="clear" w:color="auto" w:fill="auto"/>
                <w:lang w:eastAsia="zh-CN" w:bidi="ar-SA"/>
              </w:rPr>
              <w:t>。</w:t>
            </w:r>
            <w:r>
              <w:rPr>
                <w:rFonts w:hint="eastAsia" w:ascii="Times New Roman" w:hAnsi="Times New Roman" w:eastAsia="仿宋_GB2312" w:cs="Times New Roman"/>
                <w:bCs w:val="0"/>
                <w:color w:val="auto"/>
                <w:sz w:val="28"/>
                <w:szCs w:val="28"/>
                <w:highlight w:val="none"/>
                <w:u w:val="none"/>
                <w:shd w:val="clear" w:color="auto" w:fill="auto"/>
                <w:lang w:bidi="ar-SA"/>
              </w:rPr>
              <w:t>建立与高校、科研院所联合培养研究基地，实施“十百千万”农业后备人才培养工程，开展“三区”科技人才专项计划</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bidi="ar-SA"/>
              </w:rPr>
              <w:t>。</w:t>
            </w:r>
          </w:p>
        </w:tc>
      </w:tr>
    </w:tbl>
    <w:p>
      <w:pPr>
        <w:ind w:firstLine="640" w:firstLineChars="200"/>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p>
    <w:p>
      <w:pPr>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sectPr>
          <w:footerReference r:id="rId12" w:type="default"/>
          <w:pgSz w:w="11906" w:h="16838"/>
          <w:pgMar w:top="2024" w:right="1406" w:bottom="1559" w:left="1576" w:header="851" w:footer="992" w:gutter="0"/>
          <w:pgBorders>
            <w:top w:val="none" w:sz="0" w:space="0"/>
            <w:left w:val="none" w:sz="0" w:space="0"/>
            <w:bottom w:val="none" w:sz="0" w:space="0"/>
            <w:right w:val="none" w:sz="0" w:space="0"/>
          </w:pgBorders>
          <w:pgNumType w:fmt="decimal"/>
          <w:cols w:space="0" w:num="1"/>
          <w:rtlGutter w:val="0"/>
          <w:docGrid w:type="lines" w:linePitch="318" w:charSpace="0"/>
        </w:sectPr>
      </w:pPr>
    </w:p>
    <w:p>
      <w:pPr>
        <w:jc w:val="center"/>
        <w:outlineLvl w:val="0"/>
        <w:rPr>
          <w:rFonts w:hint="eastAsia" w:ascii="黑体" w:hAnsi="黑体" w:eastAsia="黑体" w:cs="黑体"/>
          <w:color w:val="000000" w:themeColor="text1"/>
          <w:sz w:val="36"/>
          <w:szCs w:val="36"/>
          <w:highlight w:val="none"/>
          <w14:textFill>
            <w14:solidFill>
              <w14:schemeClr w14:val="tx1"/>
            </w14:solidFill>
          </w14:textFill>
        </w:rPr>
      </w:pPr>
      <w:bookmarkStart w:id="971" w:name="_Toc32728"/>
      <w:bookmarkStart w:id="972" w:name="_Toc23300"/>
      <w:bookmarkStart w:id="973" w:name="_Toc19530"/>
      <w:bookmarkStart w:id="974" w:name="_Toc533"/>
      <w:bookmarkStart w:id="975" w:name="_Toc12101"/>
      <w:bookmarkStart w:id="976" w:name="_Toc29469"/>
      <w:bookmarkStart w:id="977" w:name="_Toc16250"/>
      <w:bookmarkStart w:id="978" w:name="_Toc26461"/>
      <w:bookmarkStart w:id="979" w:name="_Toc22342"/>
      <w:bookmarkStart w:id="980" w:name="_Toc24800"/>
      <w:bookmarkStart w:id="981" w:name="_Toc2843"/>
      <w:bookmarkStart w:id="982" w:name="_Toc15933"/>
      <w:bookmarkStart w:id="983" w:name="_Toc15659"/>
      <w:bookmarkStart w:id="984" w:name="_Toc28522"/>
      <w:bookmarkStart w:id="985" w:name="_Toc5460"/>
      <w:r>
        <w:rPr>
          <w:rFonts w:hint="eastAsia" w:ascii="黑体" w:hAnsi="黑体" w:eastAsia="黑体" w:cs="黑体"/>
          <w:color w:val="000000" w:themeColor="text1"/>
          <w:sz w:val="36"/>
          <w:szCs w:val="36"/>
          <w:highlight w:val="none"/>
          <w14:textFill>
            <w14:solidFill>
              <w14:schemeClr w14:val="tx1"/>
            </w14:solidFill>
          </w14:textFill>
        </w:rPr>
        <w:t>第六章  完善党全面领导基层治理制度</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pPr>
        <w:jc w:val="center"/>
        <w:outlineLvl w:val="0"/>
        <w:rPr>
          <w:rFonts w:hint="eastAsia" w:ascii="黑体" w:hAnsi="黑体" w:eastAsia="黑体" w:cs="黑体"/>
          <w:color w:val="000000" w:themeColor="text1"/>
          <w:sz w:val="36"/>
          <w:szCs w:val="36"/>
          <w:highlight w:val="none"/>
          <w14:textFill>
            <w14:solidFill>
              <w14:schemeClr w14:val="tx1"/>
            </w14:solidFill>
          </w14:textFill>
        </w:rPr>
      </w:pPr>
      <w:bookmarkStart w:id="986" w:name="_Toc19812"/>
      <w:bookmarkStart w:id="987" w:name="_Toc3536"/>
      <w:bookmarkStart w:id="988" w:name="_Toc13398"/>
      <w:bookmarkStart w:id="989" w:name="_Toc30277"/>
      <w:bookmarkStart w:id="990" w:name="_Toc12829"/>
      <w:bookmarkStart w:id="991" w:name="_Toc14420"/>
      <w:bookmarkStart w:id="992" w:name="_Toc31266"/>
      <w:bookmarkStart w:id="993" w:name="_Toc19961"/>
      <w:bookmarkStart w:id="994" w:name="_Toc22650"/>
      <w:bookmarkStart w:id="995" w:name="_Toc19471"/>
      <w:bookmarkStart w:id="996" w:name="_Toc25325"/>
      <w:bookmarkStart w:id="997" w:name="_Toc7691"/>
      <w:bookmarkStart w:id="998" w:name="_Toc10701"/>
      <w:r>
        <w:rPr>
          <w:rFonts w:hint="eastAsia" w:ascii="黑体" w:hAnsi="黑体" w:eastAsia="黑体" w:cs="黑体"/>
          <w:color w:val="000000" w:themeColor="text1"/>
          <w:sz w:val="36"/>
          <w:szCs w:val="36"/>
          <w:highlight w:val="none"/>
          <w14:textFill>
            <w14:solidFill>
              <w14:schemeClr w14:val="tx1"/>
            </w14:solidFill>
          </w14:textFill>
        </w:rPr>
        <w:t>加快乡村治理现代化</w:t>
      </w:r>
      <w:bookmarkEnd w:id="986"/>
      <w:bookmarkEnd w:id="987"/>
      <w:bookmarkEnd w:id="988"/>
      <w:bookmarkEnd w:id="989"/>
      <w:bookmarkEnd w:id="990"/>
      <w:bookmarkEnd w:id="991"/>
      <w:bookmarkEnd w:id="992"/>
      <w:bookmarkEnd w:id="993"/>
      <w:bookmarkEnd w:id="994"/>
      <w:bookmarkEnd w:id="995"/>
      <w:bookmarkEnd w:id="996"/>
      <w:bookmarkEnd w:id="997"/>
      <w:bookmarkEnd w:id="998"/>
    </w:p>
    <w:p>
      <w:pPr>
        <w:rPr>
          <w:rFonts w:hint="default" w:ascii="Times New Roman" w:hAnsi="Times New Roman" w:cs="Times New Roman"/>
          <w:color w:val="000000" w:themeColor="text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加快推进乡村治理现代化，</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完善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党组织领导的自治、法治、德治相结合的乡村治理体系。完善党全面领导的乡村治理制度和党建引领的社会广泛参与制度，加强乡镇基层政权组织建设，健全村党组织领导的村级组织体系。健全村民自治制度，推进乡村法治和德治建设，加强乡村智慧治理能力建设，推</w:t>
      </w:r>
      <w:r>
        <w:rPr>
          <w:rFonts w:hint="eastAsia" w:ascii="仿宋_GB2312" w:hAnsi="仿宋_GB2312" w:eastAsia="仿宋_GB2312" w:cs="仿宋_GB2312"/>
          <w:color w:val="000000" w:themeColor="text1"/>
          <w:sz w:val="32"/>
          <w:szCs w:val="32"/>
          <w:highlight w:val="none"/>
          <w14:textFill>
            <w14:solidFill>
              <w14:schemeClr w14:val="tx1"/>
            </w14:solidFill>
          </w14:textFill>
        </w:rPr>
        <w:t>动“三治融合”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发展。</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999" w:name="_Toc24112"/>
      <w:bookmarkStart w:id="1000" w:name="_Toc5955"/>
      <w:bookmarkStart w:id="1001" w:name="_Toc22898"/>
      <w:bookmarkStart w:id="1002" w:name="_Toc9598"/>
      <w:bookmarkStart w:id="1003" w:name="_Toc396"/>
      <w:bookmarkStart w:id="1004" w:name="_Toc13223"/>
      <w:bookmarkStart w:id="1005" w:name="_Toc5153"/>
      <w:bookmarkStart w:id="1006" w:name="_Toc5581"/>
      <w:bookmarkStart w:id="1007" w:name="_Toc19710"/>
      <w:bookmarkStart w:id="1008" w:name="_Toc6608"/>
      <w:bookmarkStart w:id="1009" w:name="_Toc16189"/>
      <w:bookmarkStart w:id="1010" w:name="_Toc26780"/>
      <w:bookmarkStart w:id="1011" w:name="_Toc17068"/>
      <w:bookmarkStart w:id="1012" w:name="_Toc8342"/>
      <w:bookmarkStart w:id="1013" w:name="_Toc6141"/>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第一节 加强农村基层党组织建设</w:t>
      </w:r>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增强农村基层党组织政治功能和组织功能，强化县级党委抓党建促乡村振兴责任。</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
          <w14:textFill>
            <w14:solidFill>
              <w14:schemeClr w14:val="tx1"/>
            </w14:solidFill>
          </w14:textFill>
        </w:rPr>
        <w:t>坚持和发展新时代</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w:t>
      </w:r>
      <w:r>
        <w:rPr>
          <w:rFonts w:hint="eastAsia" w:ascii="仿宋_GB2312" w:hAnsi="仿宋_GB2312" w:eastAsia="仿宋_GB2312" w:cs="仿宋_GB2312"/>
          <w:b w:val="0"/>
          <w:bCs w:val="0"/>
          <w:color w:val="000000" w:themeColor="text1"/>
          <w:spacing w:val="0"/>
          <w:kern w:val="2"/>
          <w:sz w:val="32"/>
          <w:szCs w:val="32"/>
          <w:highlight w:val="none"/>
          <w:lang w:val="en-US" w:eastAsia="zh-CN" w:bidi="ar"/>
          <w14:textFill>
            <w14:solidFill>
              <w14:schemeClr w14:val="tx1"/>
            </w14:solidFill>
          </w14:textFill>
        </w:rPr>
        <w:t>枫桥经验</w:t>
      </w:r>
      <w:r>
        <w:rPr>
          <w:rFonts w:hint="eastAsia" w:ascii="仿宋_GB2312" w:hAnsi="仿宋_GB2312" w:eastAsia="仿宋_GB2312" w:cs="仿宋_GB2312"/>
          <w:color w:val="000000" w:themeColor="text1"/>
          <w:sz w:val="32"/>
          <w:szCs w:val="32"/>
          <w:highlight w:val="none"/>
          <w:u w:val="none"/>
          <w14:textFill>
            <w14:solidFill>
              <w14:schemeClr w14:val="tx1"/>
            </w14:solidFill>
          </w14:textFill>
        </w:rPr>
        <w:t>”</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加强党建引领，健全乡村治理体系</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
          <w14:textFill>
            <w14:solidFill>
              <w14:schemeClr w14:val="tx1"/>
            </w14:solidFill>
          </w14:textFill>
        </w:rPr>
        <w:t>。深入推进抓党建促乡村振兴，建强农村基层党组织，加强农村党员日常教育管理，加大从农民工等人员中发展党员力度</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持续开展软弱涣散村党组织排查整顿，</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
          <w14:textFill>
            <w14:solidFill>
              <w14:schemeClr w14:val="tx1"/>
            </w14:solidFill>
          </w14:textFill>
        </w:rPr>
        <w:t>健全常态化驻村工作机制。</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加强乡镇、村干部关心关爱和待遇保障</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力度</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pacing w:val="0"/>
          <w:kern w:val="2"/>
          <w:sz w:val="32"/>
          <w:szCs w:val="32"/>
          <w:highlight w:val="none"/>
          <w:lang w:val="en-US" w:eastAsia="zh-CN" w:bidi="ar"/>
          <w14:textFill>
            <w14:solidFill>
              <w14:schemeClr w14:val="tx1"/>
            </w14:solidFill>
          </w14:textFill>
        </w:rPr>
        <w:t>深入推进自贸港农村先锋专项行动，加强农村领域党支部规范化建设。</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完善基层监督体系，持续深化整治乡村振兴领域不正之风和腐败问题。</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014" w:name="_Toc31076"/>
      <w:bookmarkStart w:id="1015" w:name="_Toc7790"/>
      <w:bookmarkStart w:id="1016" w:name="_Toc8228"/>
      <w:bookmarkStart w:id="1017" w:name="_Toc26826"/>
      <w:bookmarkStart w:id="1018" w:name="_Toc18260"/>
      <w:bookmarkStart w:id="1019" w:name="_Toc27752"/>
      <w:bookmarkStart w:id="1020" w:name="_Toc24246"/>
      <w:bookmarkStart w:id="1021" w:name="_Toc11977"/>
      <w:bookmarkStart w:id="1022" w:name="_Toc29616"/>
      <w:bookmarkStart w:id="1023" w:name="_Toc3152"/>
      <w:bookmarkStart w:id="1024" w:name="_Toc23633"/>
      <w:bookmarkStart w:id="1025" w:name="_Toc6465"/>
      <w:bookmarkStart w:id="1026" w:name="_Toc12471"/>
      <w:bookmarkStart w:id="1027" w:name="_Toc6892"/>
      <w:bookmarkStart w:id="1028" w:name="_Toc23853"/>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第二节 加强乡镇政权治理能力建设</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增强乡镇行政执行能力，持续整治形式主义为基层减负，</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全面建立</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乡镇履行职责事项清单</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建立健全县、乡、村级社会治理联动平台。推行乡镇行政执法公示制度，深化</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双随机、一公开</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监管模式。增强乡镇为民服务能力，优化政务服务流程，推进一窗式受理、一站式办理。增强乡镇议事协商能力，完善基层民主协商制度</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探索建立社会公众列席乡镇有关会议制度。增强乡镇应急管理能力，健全基层应急管理组织体系，建立统一指挥的应急管理队伍。增强乡镇平安建设能力，</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推进</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乡镇综治中心规范化建设，完善基层社会治安防控体系</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健全乡镇矛盾纠纷一站式、多元化解决机制和心理疏导服务机制。</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029" w:name="_Toc924"/>
      <w:bookmarkStart w:id="1030" w:name="_Toc8590"/>
      <w:bookmarkStart w:id="1031" w:name="_Toc15814"/>
      <w:bookmarkStart w:id="1032" w:name="_Toc4703"/>
      <w:bookmarkStart w:id="1033" w:name="_Toc3298"/>
      <w:bookmarkStart w:id="1034" w:name="_Toc28531"/>
      <w:bookmarkStart w:id="1035" w:name="_Toc6294"/>
      <w:bookmarkStart w:id="1036" w:name="_Toc15791"/>
      <w:bookmarkStart w:id="1037" w:name="_Toc23550"/>
      <w:bookmarkStart w:id="1038" w:name="_Toc27525"/>
      <w:bookmarkStart w:id="1039" w:name="_Toc25250"/>
      <w:bookmarkStart w:id="1040" w:name="_Toc32432"/>
      <w:bookmarkStart w:id="1041" w:name="_Toc20965"/>
      <w:bookmarkStart w:id="1042" w:name="_Toc21435"/>
      <w:bookmarkStart w:id="1043" w:name="_Toc29671"/>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第三节 健全村民自治制度</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坚持党组织领导村民自治组织制度，健全村（居）民会议、村（居）民代表会议议事规则，创新党建引领的民事民议、民事民办、民事民管等协商形式。创新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推广运用乡村治理积分制，调动村（居）民主动参与乡村治理。健全村务监督机制，加强对村级组织</w:t>
      </w:r>
      <w:r>
        <w:rPr>
          <w:rFonts w:hint="eastAsia" w:ascii="仿宋_GB2312" w:hAnsi="仿宋_GB2312" w:eastAsia="仿宋_GB2312" w:cs="仿宋_GB2312"/>
          <w:color w:val="000000" w:themeColor="text1"/>
          <w:sz w:val="32"/>
          <w:szCs w:val="32"/>
          <w:highlight w:val="none"/>
          <w14:textFill>
            <w14:solidFill>
              <w14:schemeClr w14:val="tx1"/>
            </w14:solidFill>
          </w14:textFill>
        </w:rPr>
        <w:t>“小微权力”的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有效监督。探索发</w:t>
      </w:r>
      <w:r>
        <w:rPr>
          <w:rFonts w:hint="eastAsia" w:ascii="仿宋_GB2312" w:hAnsi="仿宋_GB2312" w:eastAsia="仿宋_GB2312" w:cs="仿宋_GB2312"/>
          <w:color w:val="000000" w:themeColor="text1"/>
          <w:sz w:val="32"/>
          <w:szCs w:val="32"/>
          <w:highlight w:val="none"/>
          <w14:textFill>
            <w14:solidFill>
              <w14:schemeClr w14:val="tx1"/>
            </w14:solidFill>
          </w14:textFill>
        </w:rPr>
        <w:t>展“五社联动”治</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理模式，支持社会组织在创新化解农村社会矛盾、维护农村社会秩序、促进农村社会和谐等方面发挥作用。鼓</w:t>
      </w:r>
      <w:r>
        <w:rPr>
          <w:rFonts w:hint="eastAsia" w:ascii="仿宋_GB2312" w:hAnsi="仿宋_GB2312" w:eastAsia="仿宋_GB2312" w:cs="仿宋_GB2312"/>
          <w:color w:val="000000" w:themeColor="text1"/>
          <w:sz w:val="32"/>
          <w:szCs w:val="32"/>
          <w:highlight w:val="none"/>
          <w14:textFill>
            <w14:solidFill>
              <w14:schemeClr w14:val="tx1"/>
            </w14:solidFill>
          </w14:textFill>
        </w:rPr>
        <w:t>励“候鸟”</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等人群参与乡村治理</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构建共建共治共享乡村治理新格局。</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044" w:name="_Toc27719"/>
      <w:bookmarkStart w:id="1045" w:name="_Toc23492"/>
      <w:bookmarkStart w:id="1046" w:name="_Toc29866"/>
      <w:bookmarkStart w:id="1047" w:name="_Toc13510"/>
      <w:bookmarkStart w:id="1048" w:name="_Toc31319"/>
      <w:bookmarkStart w:id="1049" w:name="_Toc14912"/>
      <w:bookmarkStart w:id="1050" w:name="_Toc16857"/>
      <w:bookmarkStart w:id="1051" w:name="_Toc26381"/>
      <w:bookmarkStart w:id="1052" w:name="_Toc4714"/>
      <w:bookmarkStart w:id="1053" w:name="_Toc25718"/>
      <w:bookmarkStart w:id="1054" w:name="_Toc20329"/>
      <w:bookmarkStart w:id="1055" w:name="_Toc27159"/>
      <w:bookmarkStart w:id="1056" w:name="_Toc8265"/>
      <w:bookmarkStart w:id="1057" w:name="_Toc13741"/>
      <w:bookmarkStart w:id="1058" w:name="_Toc18565"/>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第四节 推进乡村法治和德治建设</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深化法治乡村建设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强化乡村法治宣传教育，开展</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乡村振兴法治同行</w:t>
      </w:r>
      <w:r>
        <w:rPr>
          <w:rFonts w:hint="eastAsia" w:ascii="仿宋_GB2312" w:hAnsi="仿宋_GB2312" w:eastAsia="仿宋_GB2312" w:cs="仿宋_GB2312"/>
          <w:color w:val="000000" w:themeColor="text1"/>
          <w:sz w:val="32"/>
          <w:szCs w:val="32"/>
          <w:highlight w:val="none"/>
          <w14:textFill>
            <w14:solidFill>
              <w14:schemeClr w14:val="tx1"/>
            </w14:solidFill>
          </w14:textFill>
        </w:rPr>
        <w:t>”“民法典进乡村”</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活动，推动更多法律服务资源进村（社区），为村（居）民提供法律服务和法律援助。实施</w:t>
      </w:r>
      <w:r>
        <w:rPr>
          <w:rFonts w:hint="eastAsia" w:ascii="仿宋_GB2312" w:hAnsi="仿宋_GB2312" w:eastAsia="仿宋_GB2312" w:cs="仿宋_GB2312"/>
          <w:color w:val="000000" w:themeColor="text1"/>
          <w:sz w:val="32"/>
          <w:szCs w:val="32"/>
          <w:highlight w:val="none"/>
          <w14:textFill>
            <w14:solidFill>
              <w14:schemeClr w14:val="tx1"/>
            </w14:solidFill>
          </w14:textFill>
        </w:rPr>
        <w:t>“法律明白人”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培养工程，加强专业化、社会化人民调解员队伍建设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加强关口把控，推动矛盾纠纷化解在农村。健全农村地区扫黑除恶常态化机制。深化农村毒品治理，严厉打击</w:t>
      </w:r>
      <w:r>
        <w:rPr>
          <w:rFonts w:hint="default" w:ascii="Times New Roman" w:hAnsi="Times New Roman" w:eastAsia="仿宋_GB2312"/>
          <w:color w:val="000000" w:themeColor="text1"/>
          <w:sz w:val="32"/>
          <w:szCs w:val="32"/>
          <w:highlight w:val="none"/>
          <w14:textFill>
            <w14:solidFill>
              <w14:schemeClr w14:val="tx1"/>
            </w14:solidFill>
          </w14:textFill>
        </w:rPr>
        <w:t>电信网络诈骗</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私彩赌博、非法传教</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传销、诈骗</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、侵害未成年人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违法</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犯罪</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活动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。推进乡村德治建设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，健全完善村（社区）道德评议制度，常态化开展道德模范、身边好人等先进典型选树。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“信用+”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应用场景，构建新时代村（社区）诚信体系。指导村（社区）修订完善村规民约、居民公约</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059" w:name="_Toc32084"/>
      <w:bookmarkStart w:id="1060" w:name="_Toc16801"/>
      <w:bookmarkStart w:id="1061" w:name="_Toc17774"/>
      <w:bookmarkStart w:id="1062" w:name="_Toc20571"/>
      <w:bookmarkStart w:id="1063" w:name="_Toc15086"/>
      <w:bookmarkStart w:id="1064" w:name="_Toc24287"/>
      <w:bookmarkStart w:id="1065" w:name="_Toc10557"/>
      <w:bookmarkStart w:id="1066" w:name="_Toc17053"/>
      <w:bookmarkStart w:id="1067" w:name="_Toc8663"/>
      <w:bookmarkStart w:id="1068" w:name="_Toc17108"/>
      <w:bookmarkStart w:id="1069" w:name="_Toc22223"/>
      <w:bookmarkStart w:id="1070" w:name="_Toc4711"/>
      <w:bookmarkStart w:id="1071" w:name="_Toc21174"/>
      <w:bookmarkStart w:id="1072" w:name="_Toc3611"/>
      <w:bookmarkStart w:id="1073" w:name="_Toc10471"/>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第五节 加强乡村智慧治理建设</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p>
    <w:p>
      <w:pPr>
        <w:spacing w:line="590" w:lineRule="exact"/>
        <w:ind w:firstLine="640" w:firstLineChars="200"/>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
          <w14:textFill>
            <w14:solidFill>
              <w14:schemeClr w14:val="tx1"/>
            </w14:solidFill>
          </w14:textFill>
        </w:rPr>
        <w:t>持续实施数字乡村发展行动，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推动</w:t>
      </w:r>
      <w:r>
        <w:rPr>
          <w:rFonts w:hint="eastAsia" w:ascii="仿宋_GB2312" w:hAnsi="仿宋_GB2312" w:eastAsia="仿宋_GB2312" w:cs="仿宋_GB2312"/>
          <w:color w:val="000000" w:themeColor="text1"/>
          <w:sz w:val="32"/>
          <w:szCs w:val="32"/>
          <w:highlight w:val="none"/>
          <w14:textFill>
            <w14:solidFill>
              <w14:schemeClr w14:val="tx1"/>
            </w14:solidFill>
          </w14:textFill>
        </w:rPr>
        <w:t>“互联网+”</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乡村治理，持续清理整合面向基层的政务应用程序，规范基层政务公众账号、网络工作群组管理，持续纠治</w:t>
      </w:r>
      <w:r>
        <w:rPr>
          <w:rFonts w:hint="eastAsia" w:ascii="仿宋_GB2312" w:hAnsi="仿宋_GB2312" w:eastAsia="仿宋_GB2312" w:cs="仿宋_GB2312"/>
          <w:color w:val="000000" w:themeColor="text1"/>
          <w:sz w:val="32"/>
          <w:szCs w:val="32"/>
          <w:highlight w:val="none"/>
          <w14:textFill>
            <w14:solidFill>
              <w14:schemeClr w14:val="tx1"/>
            </w14:solidFill>
          </w14:textFill>
        </w:rPr>
        <w:t>“指尖上的形式主义”。</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优化升级海南一体化政务服务平台，强化政务服务线上线下融合和向农村延伸。加快推动政务数</w:t>
      </w:r>
      <w:r>
        <w:rPr>
          <w:rFonts w:hint="eastAsia" w:ascii="仿宋_GB2312" w:hAnsi="仿宋_GB2312" w:eastAsia="仿宋_GB2312" w:cs="仿宋_GB2312"/>
          <w:color w:val="000000" w:themeColor="text1"/>
          <w:sz w:val="32"/>
          <w:szCs w:val="32"/>
          <w:highlight w:val="none"/>
          <w14:textFill>
            <w14:solidFill>
              <w14:schemeClr w14:val="tx1"/>
            </w14:solidFill>
          </w14:textFill>
        </w:rPr>
        <w:t>据开放共享、直达基层，更好支撑“高效办成一件事”。完善农村基层网格化治理，推动村（社区）网格“多格合一、多员合一”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。推广简便易行、务实管用的数字化治理工具，</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全面</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运用</w:t>
      </w:r>
      <w:r>
        <w:rPr>
          <w:rFonts w:hint="eastAsia" w:ascii="仿宋_GB2312" w:hAnsi="仿宋_GB2312" w:eastAsia="仿宋_GB2312" w:cs="仿宋_GB2312"/>
          <w:color w:val="000000" w:themeColor="text1"/>
          <w:sz w:val="32"/>
          <w:szCs w:val="32"/>
          <w:highlight w:val="none"/>
          <w14:textFill>
            <w14:solidFill>
              <w14:schemeClr w14:val="tx1"/>
            </w14:solidFill>
          </w14:textFill>
        </w:rPr>
        <w:t>“一表通”系统，提</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升乡村治理科学化、精细化、智能化水平。</w:t>
      </w:r>
    </w:p>
    <w:p>
      <w:pPr>
        <w:keepNext w:val="0"/>
        <w:keepLines w:val="0"/>
        <w:pageBreakBefore w:val="0"/>
        <w:widowControl w:val="0"/>
        <w:kinsoku/>
        <w:wordWrap/>
        <w:overflowPunct/>
        <w:topLinePunct w:val="0"/>
        <w:autoSpaceDE/>
        <w:autoSpaceDN/>
        <w:bidi w:val="0"/>
        <w:adjustRightInd/>
        <w:snapToGrid w:val="0"/>
        <w:spacing w:line="590" w:lineRule="exact"/>
        <w:ind w:firstLine="0" w:firstLineChars="0"/>
        <w:jc w:val="center"/>
        <w:textAlignment w:val="auto"/>
        <w:outlineLvl w:val="0"/>
        <w:rPr>
          <w:rFonts w:hint="default" w:ascii="Times New Roman" w:hAnsi="Times New Roman" w:eastAsia="宋体" w:cs="Times New Roman"/>
          <w:b/>
          <w:bCs/>
          <w:color w:val="000000" w:themeColor="text1"/>
          <w:sz w:val="28"/>
          <w:szCs w:val="28"/>
          <w:highlight w:val="none"/>
          <w14:textFill>
            <w14:solidFill>
              <w14:schemeClr w14:val="tx1"/>
            </w14:solidFill>
          </w14:textFill>
        </w:rPr>
      </w:pPr>
      <w:bookmarkStart w:id="1074" w:name="_Toc21468"/>
      <w:bookmarkStart w:id="1075" w:name="_Toc27002"/>
    </w:p>
    <w:bookmarkEnd w:id="1074"/>
    <w:bookmarkEnd w:id="1075"/>
    <w:tbl>
      <w:tblPr>
        <w:tblStyle w:val="20"/>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pBdr>
                <w:top w:val="none" w:color="auto" w:sz="0" w:space="0"/>
                <w:left w:val="none" w:color="auto" w:sz="0" w:space="0"/>
                <w:bottom w:val="none" w:color="auto" w:sz="0" w:space="0"/>
                <w:right w:val="none" w:color="auto" w:sz="0" w:space="0"/>
                <w:between w:val="none" w:color="auto" w:sz="0" w:space="0"/>
              </w:pBdr>
              <w:snapToGrid w:val="0"/>
              <w:spacing w:line="590" w:lineRule="exact"/>
              <w:ind w:firstLine="0" w:firstLineChars="0"/>
              <w:jc w:val="center"/>
              <w:outlineLvl w:val="0"/>
              <w:rPr>
                <w:rFonts w:hint="default" w:ascii="Times New Roman" w:hAnsi="Times New Roman" w:cs="Times New Roman"/>
                <w:b/>
                <w:bCs w:val="0"/>
                <w:color w:val="000000" w:themeColor="text1"/>
                <w:sz w:val="24"/>
                <w:highlight w:val="none"/>
                <w:lang w:val="en-US" w:eastAsia="zh-CN"/>
                <w14:textFill>
                  <w14:solidFill>
                    <w14:schemeClr w14:val="tx1"/>
                  </w14:solidFill>
                </w14:textFill>
              </w:rPr>
            </w:pPr>
            <w:bookmarkStart w:id="1076" w:name="_Toc26306"/>
            <w:bookmarkStart w:id="1077" w:name="_Toc8124"/>
            <w:bookmarkStart w:id="1078" w:name="_Toc18356"/>
            <w:bookmarkStart w:id="1079" w:name="_Toc4380"/>
            <w:bookmarkStart w:id="1080" w:name="_Toc18248"/>
            <w:bookmarkStart w:id="1081" w:name="_Toc1595"/>
            <w:bookmarkStart w:id="1082" w:name="_Toc4845"/>
            <w:bookmarkStart w:id="1083" w:name="_Toc28405"/>
            <w:bookmarkStart w:id="1084" w:name="_Toc14832"/>
            <w:bookmarkStart w:id="1085" w:name="_Toc19006"/>
            <w:r>
              <w:rPr>
                <w:rFonts w:hint="eastAsia" w:ascii="楷体" w:hAnsi="楷体" w:eastAsia="楷体" w:cs="楷体"/>
                <w:b w:val="0"/>
                <w:bCs/>
                <w:color w:val="000000"/>
                <w:sz w:val="28"/>
                <w:szCs w:val="28"/>
                <w:highlight w:val="none"/>
                <w:shd w:val="clear" w:color="auto" w:fill="FFFFFF"/>
              </w:rPr>
              <w:t>专栏</w:t>
            </w:r>
            <w:r>
              <w:rPr>
                <w:rFonts w:hint="eastAsia" w:ascii="楷体" w:hAnsi="楷体" w:eastAsia="楷体" w:cs="楷体"/>
                <w:b w:val="0"/>
                <w:bCs/>
                <w:color w:val="000000"/>
                <w:sz w:val="28"/>
                <w:szCs w:val="28"/>
                <w:highlight w:val="none"/>
                <w:shd w:val="clear" w:color="auto" w:fill="FFFFFF"/>
                <w:lang w:val="en-US" w:eastAsia="zh-CN"/>
              </w:rPr>
              <w:t>8</w:t>
            </w:r>
            <w:r>
              <w:rPr>
                <w:rFonts w:hint="default" w:ascii="Times New Roman" w:hAnsi="Times New Roman" w:eastAsia="宋体" w:cs="Times New Roman"/>
                <w:b/>
                <w:bCs/>
                <w:color w:val="000000" w:themeColor="text1"/>
                <w:sz w:val="28"/>
                <w:szCs w:val="28"/>
                <w:highlight w:val="none"/>
                <w14:textFill>
                  <w14:solidFill>
                    <w14:schemeClr w14:val="tx1"/>
                  </w14:solidFill>
                </w14:textFill>
              </w:rPr>
              <w:t xml:space="preserve">  </w:t>
            </w:r>
            <w:r>
              <w:rPr>
                <w:rFonts w:hint="eastAsia" w:ascii="楷体" w:hAnsi="楷体" w:eastAsia="楷体" w:cs="楷体"/>
                <w:b w:val="0"/>
                <w:bCs/>
                <w:color w:val="000000"/>
                <w:sz w:val="28"/>
                <w:szCs w:val="28"/>
                <w:highlight w:val="none"/>
                <w:shd w:val="clear" w:color="auto" w:fill="FFFFFF"/>
              </w:rPr>
              <w:t>乡村治理现代化工程</w:t>
            </w:r>
            <w:bookmarkEnd w:id="1076"/>
            <w:bookmarkEnd w:id="1077"/>
            <w:bookmarkEnd w:id="1078"/>
            <w:bookmarkEnd w:id="1079"/>
            <w:bookmarkEnd w:id="1080"/>
            <w:bookmarkEnd w:id="1081"/>
            <w:bookmarkEnd w:id="1082"/>
            <w:bookmarkEnd w:id="1083"/>
            <w:bookmarkEnd w:id="1084"/>
            <w:bookmarkEnd w:id="1085"/>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pBdr>
                <w:top w:val="none" w:color="auto" w:sz="0" w:space="0"/>
                <w:left w:val="none" w:color="auto" w:sz="0" w:space="0"/>
                <w:bottom w:val="none" w:color="auto" w:sz="0" w:space="0"/>
                <w:right w:val="none" w:color="auto" w:sz="0" w:space="0"/>
                <w:between w:val="none" w:color="auto" w:sz="0" w:space="0"/>
              </w:pBdr>
              <w:spacing w:line="440" w:lineRule="exact"/>
              <w:ind w:firstLine="0" w:firstLineChars="0"/>
              <w:rPr>
                <w:rFonts w:hint="eastAsia" w:ascii="楷体_GB2312" w:hAnsi="楷体_GB2312" w:eastAsia="楷体_GB2312" w:cs="楷体_GB2312"/>
                <w:b w:val="0"/>
                <w:color w:val="auto"/>
                <w:sz w:val="28"/>
                <w:szCs w:val="28"/>
                <w:highlight w:val="none"/>
                <w:u w:val="none"/>
                <w:shd w:val="clear" w:color="auto" w:fill="auto"/>
              </w:rPr>
            </w:pPr>
            <w:r>
              <w:rPr>
                <w:rFonts w:hint="eastAsia" w:ascii="楷体" w:hAnsi="楷体" w:eastAsia="楷体" w:cs="楷体"/>
                <w:b w:val="0"/>
                <w:bCs w:val="0"/>
                <w:color w:val="auto"/>
                <w:kern w:val="2"/>
                <w:sz w:val="28"/>
                <w:szCs w:val="28"/>
                <w:highlight w:val="none"/>
                <w:u w:val="none"/>
                <w:shd w:val="clear" w:color="auto" w:fill="auto"/>
                <w:lang w:val="en-US" w:eastAsia="zh-CN" w:bidi="ar-SA"/>
              </w:rPr>
              <w:t xml:space="preserve">01  </w:t>
            </w:r>
            <w:r>
              <w:rPr>
                <w:rFonts w:hint="eastAsia" w:ascii="楷体_GB2312" w:hAnsi="楷体_GB2312" w:eastAsia="楷体_GB2312" w:cs="楷体_GB2312"/>
                <w:b w:val="0"/>
                <w:color w:val="auto"/>
                <w:sz w:val="28"/>
                <w:szCs w:val="28"/>
                <w:highlight w:val="none"/>
                <w:u w:val="none"/>
                <w:shd w:val="clear" w:color="auto" w:fill="auto"/>
              </w:rPr>
              <w:t>加强农村基层党组织建设</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b/>
                <w:bCs w:val="0"/>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持续推进农村党员干部“双学历”教育工程，开展海南自由贸易港农村先锋专项行动。</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widowControl/>
              <w:pBdr>
                <w:top w:val="none" w:color="auto" w:sz="0" w:space="0"/>
                <w:left w:val="none" w:color="auto" w:sz="0" w:space="0"/>
                <w:bottom w:val="none" w:color="auto" w:sz="0" w:space="0"/>
                <w:right w:val="none" w:color="auto" w:sz="0" w:space="0"/>
                <w:between w:val="none" w:color="auto" w:sz="0" w:space="0"/>
              </w:pBdr>
              <w:spacing w:line="440" w:lineRule="exact"/>
              <w:ind w:firstLine="0" w:firstLineChars="0"/>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 xml:space="preserve">02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加强乡镇政权治理能力建设</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b/>
                <w:bCs w:val="0"/>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Cs w:val="0"/>
                <w:color w:val="auto"/>
                <w:sz w:val="28"/>
                <w:szCs w:val="28"/>
                <w:highlight w:val="none"/>
                <w:u w:val="none"/>
                <w:shd w:val="clear" w:color="auto" w:fill="auto"/>
                <w:lang w:val="en-US" w:eastAsia="zh-CN"/>
              </w:rPr>
              <w:t>全面建立乡镇履行职责事项清单，推动破解乡村基层治理“小马拉大车”突出问题</w:t>
            </w:r>
            <w:r>
              <w:rPr>
                <w:rFonts w:hint="eastAsia" w:ascii="Times New Roman" w:hAnsi="Times New Roman" w:eastAsia="仿宋_GB2312" w:cs="Times New Roman"/>
                <w:bCs w:val="0"/>
                <w:color w:val="auto"/>
                <w:sz w:val="28"/>
                <w:szCs w:val="28"/>
                <w:highlight w:val="none"/>
                <w:u w:val="none"/>
                <w:shd w:val="clear" w:color="auto" w:fill="auto"/>
                <w:lang w:eastAsia="zh-CN"/>
              </w:rPr>
              <w:t>。</w:t>
            </w:r>
            <w:r>
              <w:rPr>
                <w:rFonts w:hint="eastAsia" w:ascii="Times New Roman" w:hAnsi="Times New Roman" w:eastAsia="仿宋_GB2312" w:cs="Times New Roman"/>
                <w:bCs w:val="0"/>
                <w:color w:val="auto"/>
                <w:kern w:val="2"/>
                <w:sz w:val="28"/>
                <w:szCs w:val="28"/>
                <w:highlight w:val="none"/>
                <w:u w:val="none"/>
                <w:shd w:val="clear" w:color="auto" w:fill="auto"/>
                <w:lang w:val="en-US" w:eastAsia="zh-CN" w:bidi="ar"/>
              </w:rPr>
              <w:t>建立健全县、乡、村级社会治理联动平台。</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widowControl/>
              <w:numPr>
                <w:ilvl w:val="0"/>
                <w:numId w:val="0"/>
              </w:numPr>
              <w:pBdr>
                <w:top w:val="none" w:color="auto" w:sz="0" w:space="0"/>
                <w:left w:val="none" w:color="auto" w:sz="0" w:space="0"/>
                <w:bottom w:val="none" w:color="auto" w:sz="0" w:space="0"/>
                <w:right w:val="none" w:color="auto" w:sz="0" w:space="0"/>
                <w:between w:val="none" w:color="auto" w:sz="0" w:space="0"/>
              </w:pBdr>
              <w:spacing w:line="440" w:lineRule="exact"/>
              <w:ind w:firstLine="0" w:firstLineChars="0"/>
              <w:outlineLvl w:val="9"/>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 xml:space="preserve">03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健全村民自治制度</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b/>
                <w:bCs w:val="0"/>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Cs w:val="0"/>
                <w:color w:val="auto"/>
                <w:sz w:val="28"/>
                <w:szCs w:val="28"/>
                <w:highlight w:val="none"/>
                <w:u w:val="none"/>
                <w:shd w:val="clear" w:color="auto" w:fill="auto"/>
                <w:lang w:val="en-US" w:eastAsia="zh-CN"/>
              </w:rPr>
              <w:t>规范村（居）民委员会换届选举。完善村（居）民委员会自治章程、村（居）务公开等制度，创新和推广运用乡村治理积分制。</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widowControl/>
              <w:numPr>
                <w:ilvl w:val="0"/>
                <w:numId w:val="0"/>
              </w:numPr>
              <w:pBdr>
                <w:top w:val="none" w:color="auto" w:sz="0" w:space="0"/>
                <w:left w:val="none" w:color="auto" w:sz="0" w:space="0"/>
                <w:bottom w:val="none" w:color="auto" w:sz="0" w:space="0"/>
                <w:right w:val="none" w:color="auto" w:sz="0" w:space="0"/>
                <w:between w:val="none" w:color="auto" w:sz="0" w:space="0"/>
              </w:pBdr>
              <w:spacing w:line="440" w:lineRule="exact"/>
              <w:ind w:firstLine="0" w:firstLineChars="0"/>
              <w:outlineLvl w:val="9"/>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04</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 xml:space="preserve">  推进乡村法治和德治建设</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b/>
                <w:bCs w:val="0"/>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Cs w:val="0"/>
                <w:color w:val="auto"/>
                <w:sz w:val="28"/>
                <w:szCs w:val="28"/>
                <w:highlight w:val="none"/>
                <w:u w:val="none"/>
                <w:shd w:val="clear" w:color="auto" w:fill="auto"/>
                <w:lang w:val="en-US" w:eastAsia="zh-CN"/>
              </w:rPr>
              <w:t>实施“法律明白人”培养工程。</w:t>
            </w:r>
            <w:r>
              <w:rPr>
                <w:rFonts w:hint="eastAsia" w:ascii="Times New Roman" w:hAnsi="Times New Roman" w:eastAsia="仿宋_GB2312" w:cs="Times New Roman"/>
                <w:bCs w:val="0"/>
                <w:color w:val="auto"/>
                <w:sz w:val="28"/>
                <w:szCs w:val="28"/>
                <w:highlight w:val="none"/>
                <w:u w:val="none"/>
                <w:shd w:val="clear" w:color="auto" w:fill="auto"/>
                <w:lang w:eastAsia="zh-CN"/>
              </w:rPr>
              <w:t>健全农村地区扫黑除恶常态化机制。</w:t>
            </w:r>
            <w:r>
              <w:rPr>
                <w:rFonts w:hint="eastAsia" w:ascii="Times New Roman" w:hAnsi="Times New Roman" w:eastAsia="仿宋_GB2312" w:cs="Times New Roman"/>
                <w:bCs w:val="0"/>
                <w:color w:val="auto"/>
                <w:sz w:val="28"/>
                <w:szCs w:val="28"/>
                <w:highlight w:val="none"/>
                <w:u w:val="none"/>
                <w:shd w:val="clear" w:color="auto" w:fill="auto"/>
                <w:lang w:val="en-US" w:eastAsia="zh-CN"/>
              </w:rPr>
              <w:t>健全完善村（社区）道德评议制度，建设“信用+”应用场景。</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pBdr>
                <w:top w:val="none" w:color="auto" w:sz="0" w:space="0"/>
                <w:left w:val="none" w:color="auto" w:sz="0" w:space="0"/>
                <w:bottom w:val="none" w:color="auto" w:sz="0" w:space="0"/>
                <w:right w:val="none" w:color="auto" w:sz="0" w:space="0"/>
                <w:between w:val="none" w:color="auto" w:sz="0" w:space="0"/>
              </w:pBdr>
              <w:spacing w:line="440" w:lineRule="exact"/>
              <w:ind w:firstLine="0" w:firstLineChars="0"/>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05</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 xml:space="preserve">  加强乡村</w:t>
            </w:r>
            <w:r>
              <w:rPr>
                <w:rFonts w:hint="eastAsia" w:ascii="楷体_GB2312" w:hAnsi="楷体_GB2312" w:eastAsia="楷体_GB2312" w:cs="楷体_GB2312"/>
                <w:b w:val="0"/>
                <w:bCs w:val="0"/>
                <w:color w:val="auto"/>
                <w:sz w:val="28"/>
                <w:szCs w:val="28"/>
                <w:highlight w:val="none"/>
                <w:u w:val="none"/>
                <w:shd w:val="clear" w:color="auto" w:fill="auto"/>
              </w:rPr>
              <w:t>治理智慧化</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建设</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b/>
                <w:bCs w:val="0"/>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Cs w:val="0"/>
                <w:color w:val="auto"/>
                <w:sz w:val="28"/>
                <w:szCs w:val="28"/>
                <w:highlight w:val="none"/>
                <w:u w:val="none"/>
                <w:shd w:val="clear" w:color="auto" w:fill="auto"/>
                <w:lang w:val="en-US" w:eastAsia="zh-CN"/>
              </w:rPr>
              <w:t>推动智慧乡村建设。</w:t>
            </w:r>
            <w:r>
              <w:rPr>
                <w:rFonts w:hint="eastAsia" w:ascii="Times New Roman" w:hAnsi="Times New Roman" w:eastAsia="仿宋_GB2312" w:cs="Times New Roman"/>
                <w:bCs w:val="0"/>
                <w:color w:val="auto"/>
                <w:sz w:val="28"/>
                <w:szCs w:val="28"/>
                <w:highlight w:val="none"/>
                <w:u w:val="none"/>
                <w:shd w:val="clear" w:color="auto" w:fill="auto"/>
              </w:rPr>
              <w:t>推动“互联网+”乡村治理，</w:t>
            </w:r>
            <w:r>
              <w:rPr>
                <w:rFonts w:hint="eastAsia" w:ascii="Times New Roman" w:hAnsi="Times New Roman" w:eastAsia="仿宋_GB2312" w:cs="Times New Roman"/>
                <w:bCs w:val="0"/>
                <w:i w:val="0"/>
                <w:iCs w:val="0"/>
                <w:caps w:val="0"/>
                <w:color w:val="auto"/>
                <w:spacing w:val="0"/>
                <w:sz w:val="28"/>
                <w:szCs w:val="28"/>
                <w:highlight w:val="none"/>
                <w:u w:val="none"/>
                <w:shd w:val="clear" w:color="auto" w:fill="auto"/>
                <w:lang w:eastAsia="zh-CN"/>
              </w:rPr>
              <w:t>持续</w:t>
            </w:r>
            <w:r>
              <w:rPr>
                <w:rFonts w:hint="eastAsia" w:ascii="Times New Roman" w:hAnsi="Times New Roman" w:eastAsia="仿宋_GB2312" w:cs="Times New Roman"/>
                <w:bCs w:val="0"/>
                <w:i w:val="0"/>
                <w:iCs w:val="0"/>
                <w:caps w:val="0"/>
                <w:color w:val="auto"/>
                <w:spacing w:val="0"/>
                <w:sz w:val="28"/>
                <w:szCs w:val="28"/>
                <w:highlight w:val="none"/>
                <w:u w:val="none"/>
                <w:shd w:val="clear" w:color="auto" w:fill="auto"/>
              </w:rPr>
              <w:t>清理整合面向基层的政务应用程序</w:t>
            </w:r>
            <w:r>
              <w:rPr>
                <w:rFonts w:hint="eastAsia" w:ascii="Times New Roman" w:hAnsi="Times New Roman" w:eastAsia="仿宋_GB2312" w:cs="Times New Roman"/>
                <w:bCs w:val="0"/>
                <w:i w:val="0"/>
                <w:iCs w:val="0"/>
                <w:caps w:val="0"/>
                <w:color w:val="auto"/>
                <w:spacing w:val="0"/>
                <w:sz w:val="28"/>
                <w:szCs w:val="28"/>
                <w:highlight w:val="none"/>
                <w:u w:val="none"/>
                <w:shd w:val="clear" w:color="auto" w:fill="auto"/>
                <w:lang w:eastAsia="zh-CN"/>
              </w:rPr>
              <w:t>。</w:t>
            </w:r>
            <w:r>
              <w:rPr>
                <w:rFonts w:hint="eastAsia" w:ascii="Times New Roman" w:hAnsi="Times New Roman" w:eastAsia="仿宋_GB2312" w:cs="Times New Roman"/>
                <w:bCs w:val="0"/>
                <w:color w:val="auto"/>
                <w:sz w:val="28"/>
                <w:szCs w:val="28"/>
                <w:highlight w:val="none"/>
                <w:u w:val="none"/>
                <w:shd w:val="clear" w:color="auto" w:fill="auto"/>
              </w:rPr>
              <w:t>鼓励开展多种形式的数字乡村治理实践</w:t>
            </w:r>
            <w:r>
              <w:rPr>
                <w:rFonts w:hint="eastAsia" w:ascii="Times New Roman" w:hAnsi="Times New Roman" w:eastAsia="仿宋_GB2312" w:cs="Times New Roman"/>
                <w:bCs w:val="0"/>
                <w:color w:val="auto"/>
                <w:sz w:val="28"/>
                <w:szCs w:val="28"/>
                <w:highlight w:val="none"/>
                <w:u w:val="none"/>
                <w:shd w:val="clear" w:color="auto" w:fill="auto"/>
                <w:lang w:eastAsia="zh-CN"/>
              </w:rPr>
              <w:t>。</w:t>
            </w:r>
            <w:r>
              <w:rPr>
                <w:rFonts w:hint="eastAsia" w:ascii="Times New Roman" w:hAnsi="Times New Roman" w:eastAsia="仿宋_GB2312" w:cs="Times New Roman"/>
                <w:bCs w:val="0"/>
                <w:color w:val="auto"/>
                <w:sz w:val="28"/>
                <w:szCs w:val="28"/>
                <w:highlight w:val="none"/>
                <w:u w:val="none"/>
                <w:shd w:val="clear" w:color="auto" w:fill="auto"/>
              </w:rPr>
              <w:t>推动村（社区）网格“多格合一、多员合一”</w:t>
            </w:r>
            <w:r>
              <w:rPr>
                <w:rFonts w:hint="eastAsia" w:ascii="Times New Roman" w:hAnsi="Times New Roman" w:eastAsia="仿宋_GB2312" w:cs="Times New Roman"/>
                <w:bCs w:val="0"/>
                <w:color w:val="auto"/>
                <w:sz w:val="28"/>
                <w:szCs w:val="28"/>
                <w:highlight w:val="none"/>
                <w:u w:val="none"/>
                <w:shd w:val="clear" w:color="auto" w:fill="auto"/>
                <w:lang w:eastAsia="zh-CN"/>
              </w:rPr>
              <w:t>。</w:t>
            </w:r>
          </w:p>
        </w:tc>
      </w:tr>
    </w:tbl>
    <w:p>
      <w:pPr>
        <w:pStyle w:val="11"/>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p>
    <w:p>
      <w:pPr>
        <w:pStyle w:val="7"/>
        <w:rPr>
          <w:rFonts w:hint="default" w:ascii="Times New Roman" w:hAnsi="Times New Roman" w:cs="Times New Roman"/>
          <w:color w:val="000000" w:themeColor="text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sectPr>
          <w:pgSz w:w="11906" w:h="16838"/>
          <w:pgMar w:top="2024" w:right="1406" w:bottom="1559" w:left="1576" w:header="851" w:footer="992" w:gutter="0"/>
          <w:pgBorders>
            <w:top w:val="none" w:sz="0" w:space="0"/>
            <w:left w:val="none" w:sz="0" w:space="0"/>
            <w:bottom w:val="none" w:sz="0" w:space="0"/>
            <w:right w:val="none" w:sz="0" w:space="0"/>
          </w:pgBorders>
          <w:pgNumType w:fmt="decimal"/>
          <w:cols w:space="0" w:num="1"/>
          <w:rtlGutter w:val="0"/>
          <w:docGrid w:type="lines" w:linePitch="318" w:charSpace="0"/>
        </w:sectPr>
      </w:pPr>
    </w:p>
    <w:p>
      <w:pPr>
        <w:jc w:val="center"/>
        <w:outlineLvl w:val="0"/>
        <w:rPr>
          <w:rFonts w:hint="eastAsia" w:ascii="黑体" w:hAnsi="黑体" w:eastAsia="黑体" w:cs="黑体"/>
          <w:color w:val="000000" w:themeColor="text1"/>
          <w:sz w:val="36"/>
          <w:szCs w:val="36"/>
          <w:highlight w:val="none"/>
          <w:lang w:val="en-US" w:eastAsia="zh-CN"/>
          <w14:textFill>
            <w14:solidFill>
              <w14:schemeClr w14:val="tx1"/>
            </w14:solidFill>
          </w14:textFill>
        </w:rPr>
      </w:pPr>
      <w:bookmarkStart w:id="1086" w:name="_Toc3396"/>
      <w:bookmarkStart w:id="1087" w:name="_Toc6381"/>
      <w:bookmarkStart w:id="1088" w:name="_Toc2732"/>
      <w:bookmarkStart w:id="1089" w:name="_Toc6491"/>
      <w:bookmarkStart w:id="1090" w:name="_Toc20840"/>
      <w:bookmarkStart w:id="1091" w:name="_Toc14370"/>
      <w:bookmarkStart w:id="1092" w:name="_Toc14700"/>
      <w:bookmarkStart w:id="1093" w:name="_Toc4894"/>
      <w:bookmarkStart w:id="1094" w:name="_Toc25168"/>
      <w:bookmarkStart w:id="1095" w:name="_Toc15007"/>
      <w:bookmarkStart w:id="1096" w:name="_Toc19296"/>
      <w:bookmarkStart w:id="1097" w:name="_Toc31200"/>
      <w:bookmarkStart w:id="1098" w:name="_Toc19843"/>
      <w:bookmarkStart w:id="1099" w:name="_Toc31580"/>
      <w:bookmarkStart w:id="1100" w:name="_Toc2281"/>
      <w:r>
        <w:rPr>
          <w:rFonts w:hint="eastAsia" w:ascii="黑体" w:hAnsi="黑体" w:eastAsia="黑体" w:cs="黑体"/>
          <w:color w:val="000000" w:themeColor="text1"/>
          <w:sz w:val="36"/>
          <w:szCs w:val="36"/>
          <w:highlight w:val="none"/>
          <w14:textFill>
            <w14:solidFill>
              <w14:schemeClr w14:val="tx1"/>
            </w14:solidFill>
          </w14:textFill>
        </w:rPr>
        <w:t xml:space="preserve">第七章  </w:t>
      </w:r>
      <w:bookmarkEnd w:id="1086"/>
      <w:bookmarkEnd w:id="1087"/>
      <w:r>
        <w:rPr>
          <w:rFonts w:hint="eastAsia" w:ascii="黑体" w:hAnsi="黑体" w:eastAsia="黑体" w:cs="黑体"/>
          <w:color w:val="000000" w:themeColor="text1"/>
          <w:sz w:val="36"/>
          <w:szCs w:val="36"/>
          <w:highlight w:val="none"/>
          <w:lang w:eastAsia="zh-CN"/>
          <w14:textFill>
            <w14:solidFill>
              <w14:schemeClr w14:val="tx1"/>
            </w14:solidFill>
          </w14:textFill>
        </w:rPr>
        <w:t>高标准打造农业科技创新高地</w:t>
      </w:r>
      <w:bookmarkEnd w:id="1088"/>
      <w:bookmarkEnd w:id="1089"/>
      <w:bookmarkEnd w:id="1090"/>
      <w:bookmarkEnd w:id="1091"/>
      <w:bookmarkEnd w:id="1092"/>
      <w:bookmarkEnd w:id="1093"/>
      <w:bookmarkEnd w:id="1094"/>
      <w:bookmarkEnd w:id="1095"/>
      <w:bookmarkEnd w:id="1096"/>
      <w:bookmarkEnd w:id="1097"/>
    </w:p>
    <w:p>
      <w:pPr>
        <w:jc w:val="center"/>
        <w:outlineLvl w:val="0"/>
        <w:rPr>
          <w:rFonts w:hint="eastAsia" w:ascii="黑体" w:hAnsi="黑体" w:eastAsia="黑体" w:cs="黑体"/>
          <w:color w:val="000000" w:themeColor="text1"/>
          <w:sz w:val="36"/>
          <w:szCs w:val="36"/>
          <w:highlight w:val="none"/>
          <w14:textFill>
            <w14:solidFill>
              <w14:schemeClr w14:val="tx1"/>
            </w14:solidFill>
          </w14:textFill>
        </w:rPr>
      </w:pPr>
      <w:bookmarkStart w:id="1101" w:name="_Toc10213"/>
      <w:bookmarkStart w:id="1102" w:name="_Toc8696"/>
      <w:bookmarkStart w:id="1103" w:name="_Toc6743"/>
      <w:bookmarkStart w:id="1104" w:name="_Toc5397"/>
      <w:bookmarkStart w:id="1105" w:name="_Toc30020"/>
      <w:bookmarkStart w:id="1106" w:name="_Toc6750"/>
      <w:bookmarkStart w:id="1107" w:name="_Toc29095"/>
      <w:bookmarkStart w:id="1108" w:name="_Toc5411"/>
      <w:bookmarkStart w:id="1109" w:name="_Toc1660"/>
      <w:bookmarkStart w:id="1110" w:name="_Toc21542"/>
      <w:bookmarkStart w:id="1111" w:name="_Toc5862"/>
      <w:bookmarkStart w:id="1112" w:name="_Toc9384"/>
      <w:r>
        <w:rPr>
          <w:rFonts w:hint="eastAsia" w:ascii="黑体" w:hAnsi="黑体" w:eastAsia="黑体" w:cs="黑体"/>
          <w:color w:val="000000" w:themeColor="text1"/>
          <w:sz w:val="36"/>
          <w:szCs w:val="36"/>
          <w:highlight w:val="none"/>
          <w14:textFill>
            <w14:solidFill>
              <w14:schemeClr w14:val="tx1"/>
            </w14:solidFill>
          </w14:textFill>
        </w:rPr>
        <w:t>大力发展农业新质生产力</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农业现代化的关键在科技进步和创新</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。抓住新一轮农业科技革命和产业变革历史机遇，立足国家战略与国际视角，</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依托崖州湾国家实验室等重大平台，加快</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提升农业科技创新体系整体效能，推动科技创新与产业创新深度融合，推进农业科技体制机制创新，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加快</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农业教育科技人才一体化发展</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因地制宜发展</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农业新质生产力</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113" w:name="_Toc17531"/>
      <w:bookmarkStart w:id="1114" w:name="_Toc24125"/>
      <w:bookmarkStart w:id="1115" w:name="_Toc1127"/>
      <w:bookmarkStart w:id="1116" w:name="_Toc19338"/>
      <w:bookmarkStart w:id="1117" w:name="_Toc30124"/>
      <w:bookmarkStart w:id="1118" w:name="_Toc4402"/>
      <w:bookmarkStart w:id="1119" w:name="_Toc26637"/>
      <w:bookmarkStart w:id="1120" w:name="_Toc22761"/>
      <w:bookmarkStart w:id="1121" w:name="_Toc16995"/>
      <w:bookmarkStart w:id="1122" w:name="_Toc17948"/>
      <w:bookmarkStart w:id="1123" w:name="_Toc3752"/>
      <w:bookmarkStart w:id="1124" w:name="_Toc3693"/>
      <w:bookmarkStart w:id="1125" w:name="_Toc10671"/>
      <w:bookmarkStart w:id="1126" w:name="_Toc6862"/>
      <w:bookmarkStart w:id="1127" w:name="_Toc30731"/>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第一节 加快提升农业科技创新体系整体效能</w:t>
      </w:r>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从国家战略和国际视角谋划海南农业科技定位，主动对接服务国家战略科技力量，全力保障崖州湾国家实验室高效运行，支持崖州湾国家实验室二期建设。加快建设国家热带农业科学中心，推动热带作物生物育种全国重点实验室等发展上台阶。</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完善国家耐盐碱水稻技术创新中心跨省联合共建机制。</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增强省属农业科研单位科技创新支撑和服务能力，支持省农科院做大做强。强化农业企业科技创新主体地位，推动创新资源向企业集聚，支持企业牵头组建创新联合体、承担科技攻关任务。梯次培育农业科技企业。发挥企</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业“出题人”“答题人”“阅卷人”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作用，健全以需求和问题为导向的科技项目形成机制。</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128" w:name="_Toc19099"/>
      <w:bookmarkStart w:id="1129" w:name="_Toc1303"/>
      <w:bookmarkStart w:id="1130" w:name="_Toc15698"/>
      <w:bookmarkStart w:id="1131" w:name="_Toc12694"/>
      <w:bookmarkStart w:id="1132" w:name="_Toc25198"/>
      <w:bookmarkStart w:id="1133" w:name="_Toc22253"/>
      <w:bookmarkStart w:id="1134" w:name="_Toc3216"/>
      <w:bookmarkStart w:id="1135" w:name="_Toc16653"/>
      <w:bookmarkStart w:id="1136" w:name="_Toc11983"/>
      <w:bookmarkStart w:id="1137" w:name="_Toc13906"/>
      <w:bookmarkStart w:id="1138" w:name="_Toc28716"/>
      <w:bookmarkStart w:id="1139" w:name="_Toc8050"/>
      <w:bookmarkStart w:id="1140" w:name="_Toc12591"/>
      <w:bookmarkStart w:id="1141" w:name="_Toc20029"/>
      <w:bookmarkStart w:id="1142" w:name="_Toc5341"/>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第二节 以农业科技创新推动农业产业创新</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p>
    <w:p>
      <w:pPr>
        <w:widowControl w:val="0"/>
        <w:adjustRightInd w:val="0"/>
        <w:snapToGrid w:val="0"/>
        <w:spacing w:line="590" w:lineRule="exact"/>
        <w:ind w:firstLine="640" w:firstLineChars="200"/>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扣“四个面向”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，结合海南实际需求，分品种、分领域逐步做强天然橡胶、文昌鸡、荔枝等特色农产品全产业链。实施农业关键核心技术攻关，聚焦</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产业链瓶颈问题，</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开展农业科技攻关任务30项以上，突破产业关键技术10项以上</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深入实施</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“科技入链”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计划，推动产业链、创新链、资金链、人才链</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“四链”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融合，</w:t>
      </w:r>
      <w:r>
        <w:rPr>
          <w:rFonts w:hint="default" w:ascii="Times New Roman" w:hAnsi="Times New Roman" w:eastAsia="仿宋_GB2312" w:cs="Times New Roman"/>
          <w:i w:val="0"/>
          <w:iCs w:val="0"/>
          <w:caps w:val="0"/>
          <w:color w:val="000000" w:themeColor="text1"/>
          <w:spacing w:val="0"/>
          <w:sz w:val="32"/>
          <w:szCs w:val="32"/>
          <w:highlight w:val="none"/>
          <w:shd w:val="clear"/>
          <w14:textFill>
            <w14:solidFill>
              <w14:schemeClr w14:val="tx1"/>
            </w14:solidFill>
          </w14:textFill>
        </w:rPr>
        <w:t>促进良田良种良机良法集成增效</w:t>
      </w:r>
      <w:r>
        <w:rPr>
          <w:rFonts w:hint="default" w:ascii="Times New Roman" w:hAnsi="Times New Roman" w:eastAsia="仿宋_GB2312" w:cs="Times New Roman"/>
          <w:i w:val="0"/>
          <w:iCs w:val="0"/>
          <w:caps w:val="0"/>
          <w:color w:val="000000" w:themeColor="text1"/>
          <w:spacing w:val="0"/>
          <w:sz w:val="32"/>
          <w:szCs w:val="32"/>
          <w:highlight w:val="none"/>
          <w:shd w:val="clear"/>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积极推动在生物育种、热带农业等优势领域培育国际大科学计划。建立健全科技赋农体制机制，建设海南科技小院集群。</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全面</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提升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“一主多元”</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的农技推广服务效能，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统筹</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整合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省级现代农业产业技术体系、科技特派员、农业科技110等科技服务力量，</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发挥</w:t>
      </w:r>
      <w:r>
        <w:rPr>
          <w:rFonts w:hint="eastAsia" w:ascii="仿宋_GB2312" w:hAnsi="仿宋_GB2312" w:eastAsia="仿宋_GB2312" w:cs="仿宋_GB2312"/>
          <w:color w:val="000000" w:themeColor="text1"/>
          <w:sz w:val="32"/>
          <w:szCs w:val="32"/>
          <w:highlight w:val="none"/>
          <w14:textFill>
            <w14:solidFill>
              <w14:schemeClr w14:val="tx1"/>
            </w14:solidFill>
          </w14:textFill>
        </w:rPr>
        <w:t>“一所对一县”“三个一百工程”</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等科教单位专家队伍</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作用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引导鼓励各类社会化服务组织广泛参与</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i w:val="0"/>
          <w:iCs w:val="0"/>
          <w:caps w:val="0"/>
          <w:color w:val="000000" w:themeColor="text1"/>
          <w:spacing w:val="0"/>
          <w:sz w:val="32"/>
          <w:szCs w:val="32"/>
          <w:highlight w:val="none"/>
          <w:shd w:val="clear"/>
          <w:lang w:val="en-US" w:eastAsia="zh-CN"/>
          <w14:textFill>
            <w14:solidFill>
              <w14:schemeClr w14:val="tx1"/>
            </w14:solidFill>
          </w14:textFill>
        </w:rPr>
        <w:t>打通农</w:t>
      </w:r>
      <w:r>
        <w:rPr>
          <w:rFonts w:hint="default" w:ascii="Times New Roman" w:hAnsi="Times New Roman" w:eastAsia="仿宋_GB2312" w:cs="Times New Roman"/>
          <w:i w:val="0"/>
          <w:iCs w:val="0"/>
          <w:caps w:val="0"/>
          <w:color w:val="000000" w:themeColor="text1"/>
          <w:spacing w:val="0"/>
          <w:sz w:val="32"/>
          <w:szCs w:val="32"/>
          <w:highlight w:val="none"/>
          <w:shd w:val="clear" w:fill="auto"/>
          <w:lang w:val="en-US" w:eastAsia="zh-CN"/>
          <w14:textFill>
            <w14:solidFill>
              <w14:schemeClr w14:val="tx1"/>
            </w14:solidFill>
          </w14:textFill>
        </w:rPr>
        <w:t>业科技成果进村入</w:t>
      </w:r>
      <w:r>
        <w:rPr>
          <w:rFonts w:hint="eastAsia" w:ascii="仿宋_GB2312" w:hAnsi="仿宋_GB2312" w:eastAsia="仿宋_GB2312" w:cs="仿宋_GB2312"/>
          <w:i w:val="0"/>
          <w:iCs w:val="0"/>
          <w:caps w:val="0"/>
          <w:color w:val="000000" w:themeColor="text1"/>
          <w:spacing w:val="0"/>
          <w:sz w:val="32"/>
          <w:szCs w:val="32"/>
          <w:highlight w:val="none"/>
          <w:shd w:val="clear" w:fill="auto"/>
          <w:lang w:val="en-US" w:eastAsia="zh-CN"/>
          <w14:textFill>
            <w14:solidFill>
              <w14:schemeClr w14:val="tx1"/>
            </w14:solidFill>
          </w14:textFill>
        </w:rPr>
        <w:t>户“最后一公</w:t>
      </w:r>
      <w:r>
        <w:rPr>
          <w:rFonts w:hint="eastAsia" w:ascii="仿宋_GB2312" w:hAnsi="仿宋_GB2312" w:eastAsia="仿宋_GB2312" w:cs="仿宋_GB2312"/>
          <w:i w:val="0"/>
          <w:iCs w:val="0"/>
          <w:caps w:val="0"/>
          <w:color w:val="000000" w:themeColor="text1"/>
          <w:spacing w:val="0"/>
          <w:sz w:val="32"/>
          <w:szCs w:val="32"/>
          <w:highlight w:val="none"/>
          <w:shd w:val="clear"/>
          <w:lang w:val="en-US" w:eastAsia="zh-CN"/>
          <w14:textFill>
            <w14:solidFill>
              <w14:schemeClr w14:val="tx1"/>
            </w14:solidFill>
          </w14:textFill>
        </w:rPr>
        <w:t>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到2030年，农业科技进步贡献率提升至70%。</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143" w:name="_Toc15387"/>
      <w:bookmarkStart w:id="1144" w:name="_Toc17901"/>
      <w:bookmarkStart w:id="1145" w:name="_Toc25550"/>
      <w:bookmarkStart w:id="1146" w:name="_Toc664"/>
      <w:bookmarkStart w:id="1147" w:name="_Toc28768"/>
      <w:bookmarkStart w:id="1148" w:name="_Toc8769"/>
      <w:bookmarkStart w:id="1149" w:name="_Toc28764"/>
      <w:bookmarkStart w:id="1150" w:name="_Toc6551"/>
      <w:bookmarkStart w:id="1151" w:name="_Toc17451"/>
      <w:bookmarkStart w:id="1152" w:name="_Toc29096"/>
      <w:bookmarkStart w:id="1153" w:name="_Toc797"/>
      <w:bookmarkStart w:id="1154" w:name="_Toc4665"/>
      <w:bookmarkStart w:id="1155" w:name="_Toc25439"/>
      <w:bookmarkStart w:id="1156" w:name="_Toc30732"/>
      <w:bookmarkStart w:id="1157" w:name="_Toc1468"/>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第三节 扎实推进农业科技体制机制创新</w:t>
      </w:r>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健全跨部门农业科技创新协同机制，优化</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产业—科技—金</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融”</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创新生态。建立海南省农业科技创新战略咨询专家库，加强重大决策支撑。依托三亚崖州湾科技城知识产权特区，提升知识产权公共服务。依托国家级种业产业知识产权运营中心、国家技术转移中心和海南国际知识产权交易所，加速种业成果转化运用。统筹用好财政科技专项资金，支持农业前端关键技术攻关、中端技术集成熟化和后端成果推广。发挥金融政策工具作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完善支持企业科技创新的融资服务模式，</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鼓励金融机构加大信贷等支持力度。完善全链条农业科技成果转化机制。建立重大科技成果发布机制，搭建宣传展示交易平台，定期发布农业科技成果和科技助农典型案例。</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158" w:name="_Toc25343"/>
      <w:bookmarkStart w:id="1159" w:name="_Toc21424"/>
      <w:bookmarkStart w:id="1160" w:name="_Toc8230"/>
      <w:bookmarkStart w:id="1161" w:name="_Toc14183"/>
      <w:bookmarkStart w:id="1162" w:name="_Toc24871"/>
      <w:bookmarkStart w:id="1163" w:name="_Toc14810"/>
      <w:bookmarkStart w:id="1164" w:name="_Toc25932"/>
      <w:bookmarkStart w:id="1165" w:name="_Toc1142"/>
      <w:bookmarkStart w:id="1166" w:name="_Toc637"/>
      <w:bookmarkStart w:id="1167" w:name="_Toc8197"/>
      <w:bookmarkStart w:id="1168" w:name="_Toc19203"/>
      <w:bookmarkStart w:id="1169" w:name="_Toc20026"/>
      <w:bookmarkStart w:id="1170" w:name="_Toc11741"/>
      <w:bookmarkStart w:id="1171" w:name="_Toc6400"/>
      <w:bookmarkStart w:id="1172" w:name="_Toc28730"/>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第四节 推进农业教育科技人才一体化发展</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依</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托“百万英才兴海南”行</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动计划，引进一批农业农村领域人才。</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建立以热带特色高效农业产业需要为牵引的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“三农”</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人才培养模式，加强农业领域的急需人才储备与供给。探</w:t>
      </w:r>
      <w:r>
        <w:rPr>
          <w:rFonts w:hint="eastAsia" w:ascii="仿宋_GB2312" w:hAnsi="仿宋_GB2312" w:eastAsia="仿宋_GB2312" w:cs="仿宋_GB2312"/>
          <w:color w:val="000000" w:themeColor="text1"/>
          <w:sz w:val="32"/>
          <w:szCs w:val="32"/>
          <w:highlight w:val="none"/>
          <w14:textFill>
            <w14:solidFill>
              <w14:schemeClr w14:val="tx1"/>
            </w14:solidFill>
          </w14:textFill>
        </w:rPr>
        <w:t>索“定</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向招生、定向培养、定向就业</w:t>
      </w:r>
      <w:r>
        <w:rPr>
          <w:rFonts w:hint="eastAsia" w:ascii="仿宋_GB2312" w:hAnsi="仿宋_GB2312" w:eastAsia="仿宋_GB2312" w:cs="仿宋_GB2312"/>
          <w:color w:val="000000" w:themeColor="text1"/>
          <w:sz w:val="32"/>
          <w:szCs w:val="32"/>
          <w:highlight w:val="none"/>
          <w14:textFill>
            <w14:solidFill>
              <w14:schemeClr w14:val="tx1"/>
            </w14:solidFill>
          </w14:textFill>
        </w:rPr>
        <w:t>”的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教育政策，定向培养基层农业人才。促进高校、科研机构与企业人才双向流动，推行</w:t>
      </w:r>
      <w:r>
        <w:rPr>
          <w:rFonts w:hint="eastAsia" w:ascii="仿宋_GB2312" w:hAnsi="仿宋_GB2312" w:eastAsia="仿宋_GB2312" w:cs="仿宋_GB2312"/>
          <w:color w:val="000000" w:themeColor="text1"/>
          <w:sz w:val="32"/>
          <w:szCs w:val="32"/>
          <w:highlight w:val="none"/>
          <w14:textFill>
            <w14:solidFill>
              <w14:schemeClr w14:val="tx1"/>
            </w14:solidFill>
          </w14:textFill>
        </w:rPr>
        <w:t>“科技副总”、</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产业教授（导师）等流动模式。实施南海乡土人才项目，培育一批复合型、高端型农村实用人才。</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鼓励高校拓宽农业传统学科专业边界，</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加强涉农学科专业建设</w:t>
      </w:r>
      <w:r>
        <w:rPr>
          <w:rFonts w:hint="default" w:ascii="Times New Roman" w:hAnsi="Times New Roman" w:eastAsia="仿宋_GB2312" w:cs="Times New Roman"/>
          <w:i w:val="0"/>
          <w:iCs w:val="0"/>
          <w:caps w:val="0"/>
          <w:color w:val="000000" w:themeColor="text1"/>
          <w:spacing w:val="0"/>
          <w:sz w:val="32"/>
          <w:szCs w:val="32"/>
          <w:highlight w:val="none"/>
          <w:shd w:val="clear" w:fill="auto"/>
          <w14:textFill>
            <w14:solidFill>
              <w14:schemeClr w14:val="tx1"/>
            </w14:solidFill>
          </w14:textFill>
        </w:rPr>
        <w:t>。加强耕读</w:t>
      </w:r>
      <w:r>
        <w:rPr>
          <w:rFonts w:ascii="Times New Roman" w:hAnsi="Times New Roman" w:eastAsia="仿宋_GB2312" w:cs="Times New Roman"/>
          <w:i w:val="0"/>
          <w:iCs w:val="0"/>
          <w:caps w:val="0"/>
          <w:color w:val="000000" w:themeColor="text1"/>
          <w:spacing w:val="0"/>
          <w:sz w:val="32"/>
          <w:szCs w:val="32"/>
          <w:highlight w:val="none"/>
          <w:shd w:val="clear" w:fill="auto"/>
          <w14:textFill>
            <w14:solidFill>
              <w14:schemeClr w14:val="tx1"/>
            </w14:solidFill>
          </w14:textFill>
        </w:rPr>
        <w:t>教育，厚植知农爱农情怀。</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提升企业培育农业科技人才参与度。</w:t>
      </w:r>
    </w:p>
    <w:tbl>
      <w:tblPr>
        <w:tblStyle w:val="20"/>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blHeader/>
          <w:jc w:val="center"/>
        </w:trPr>
        <w:tc>
          <w:tcPr>
            <w:tcW w:w="884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top"/>
          </w:tcPr>
          <w:p>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Lines="-2147483648" w:afterLines="-2147483648" w:line="360" w:lineRule="auto"/>
              <w:ind w:firstLine="0" w:firstLineChars="0"/>
              <w:jc w:val="center"/>
              <w:textAlignment w:val="auto"/>
              <w:outlineLvl w:val="0"/>
              <w:rPr>
                <w:rFonts w:hint="default" w:ascii="Times New Roman" w:hAnsi="Times New Roman" w:cs="Times New Roman"/>
                <w:b/>
                <w:bCs/>
                <w:color w:val="000000" w:themeColor="text1"/>
                <w:sz w:val="24"/>
                <w:highlight w:val="none"/>
                <w:lang w:val="en-US" w:eastAsia="zh-CN"/>
                <w14:textFill>
                  <w14:solidFill>
                    <w14:schemeClr w14:val="tx1"/>
                  </w14:solidFill>
                </w14:textFill>
              </w:rPr>
            </w:pPr>
            <w:bookmarkStart w:id="1173" w:name="_Toc32409"/>
            <w:bookmarkStart w:id="1174" w:name="_Toc15153"/>
            <w:bookmarkStart w:id="1175" w:name="_Toc1906"/>
            <w:bookmarkStart w:id="1176" w:name="_Toc14959"/>
            <w:bookmarkStart w:id="1177" w:name="_Toc20025"/>
            <w:bookmarkStart w:id="1178" w:name="_Toc18350"/>
            <w:bookmarkStart w:id="1179" w:name="_Toc32398"/>
            <w:bookmarkStart w:id="1180" w:name="_Toc3496"/>
            <w:bookmarkStart w:id="1181" w:name="_Toc13137"/>
            <w:bookmarkStart w:id="1182" w:name="_Toc10600"/>
            <w:r>
              <w:rPr>
                <w:rFonts w:hint="eastAsia" w:ascii="楷体" w:hAnsi="楷体" w:eastAsia="楷体" w:cs="楷体"/>
                <w:b w:val="0"/>
                <w:bCs/>
                <w:color w:val="000000"/>
                <w:sz w:val="28"/>
                <w:szCs w:val="28"/>
                <w:highlight w:val="none"/>
                <w:shd w:val="clear" w:color="auto" w:fill="FFFFFF"/>
              </w:rPr>
              <w:t>专栏</w:t>
            </w:r>
            <w:r>
              <w:rPr>
                <w:rFonts w:hint="eastAsia" w:ascii="楷体" w:hAnsi="楷体" w:eastAsia="楷体" w:cs="楷体"/>
                <w:b w:val="0"/>
                <w:bCs/>
                <w:color w:val="000000"/>
                <w:sz w:val="28"/>
                <w:szCs w:val="28"/>
                <w:highlight w:val="none"/>
                <w:shd w:val="clear" w:color="auto" w:fill="FFFFFF"/>
                <w:lang w:val="en-US" w:eastAsia="zh-CN"/>
              </w:rPr>
              <w:t>9</w:t>
            </w:r>
            <w:r>
              <w:rPr>
                <w:rFonts w:hint="eastAsia" w:ascii="楷体" w:hAnsi="楷体" w:eastAsia="楷体" w:cs="楷体"/>
                <w:b w:val="0"/>
                <w:bCs/>
                <w:color w:val="000000"/>
                <w:sz w:val="28"/>
                <w:szCs w:val="28"/>
                <w:highlight w:val="none"/>
                <w:shd w:val="clear" w:color="auto" w:fill="FFFFFF"/>
              </w:rPr>
              <w:t xml:space="preserve"> </w:t>
            </w:r>
            <w:r>
              <w:rPr>
                <w:rFonts w:hint="eastAsia" w:ascii="楷体" w:hAnsi="楷体" w:eastAsia="楷体" w:cs="楷体"/>
                <w:b w:val="0"/>
                <w:bCs/>
                <w:color w:val="000000"/>
                <w:sz w:val="28"/>
                <w:szCs w:val="28"/>
                <w:highlight w:val="none"/>
                <w:shd w:val="clear" w:color="auto" w:fill="FFFFFF"/>
                <w:lang w:val="en-US" w:eastAsia="zh-CN"/>
              </w:rPr>
              <w:t xml:space="preserve"> </w:t>
            </w:r>
            <w:r>
              <w:rPr>
                <w:rFonts w:hint="eastAsia" w:ascii="楷体" w:hAnsi="楷体" w:eastAsia="楷体" w:cs="楷体"/>
                <w:b w:val="0"/>
                <w:bCs/>
                <w:color w:val="000000"/>
                <w:sz w:val="28"/>
                <w:szCs w:val="28"/>
                <w:highlight w:val="none"/>
                <w:shd w:val="clear" w:color="auto" w:fill="FFFFFF"/>
              </w:rPr>
              <w:t>农业科技创新效能提升工程</w:t>
            </w:r>
            <w:bookmarkEnd w:id="1173"/>
            <w:bookmarkEnd w:id="1174"/>
            <w:bookmarkEnd w:id="1175"/>
            <w:bookmarkEnd w:id="1176"/>
            <w:bookmarkEnd w:id="1177"/>
            <w:bookmarkEnd w:id="1178"/>
            <w:bookmarkEnd w:id="1179"/>
            <w:bookmarkEnd w:id="1180"/>
            <w:bookmarkEnd w:id="1181"/>
            <w:bookmarkEnd w:id="1182"/>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40" w:lineRule="exact"/>
              <w:ind w:firstLine="0" w:firstLineChars="0"/>
              <w:jc w:val="both"/>
              <w:textAlignment w:val="auto"/>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01</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加快提升农业科技创新体系整体效能</w:t>
            </w:r>
          </w:p>
          <w:p>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jc w:val="both"/>
              <w:textAlignment w:val="auto"/>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建设国家热带农业科学中心，推动热带园艺植物良种良苗创新利用中心及试验基地落地</w:t>
            </w:r>
            <w:r>
              <w:rPr>
                <w:rFonts w:hint="eastAsia" w:ascii="Times New Roman" w:hAnsi="Times New Roman" w:eastAsia="仿宋_GB2312" w:cs="Times New Roman"/>
                <w:color w:val="auto"/>
                <w:sz w:val="28"/>
                <w:szCs w:val="28"/>
                <w:highlight w:val="none"/>
                <w:u w:val="none"/>
                <w:shd w:val="clear" w:color="auto" w:fill="auto"/>
                <w:lang w:eastAsia="zh-CN"/>
              </w:rPr>
              <w:t>。推动崖州湾</w:t>
            </w:r>
            <w:r>
              <w:rPr>
                <w:rFonts w:hint="eastAsia" w:ascii="Times New Roman" w:hAnsi="Times New Roman" w:eastAsia="仿宋_GB2312" w:cs="Times New Roman"/>
                <w:color w:val="auto"/>
                <w:sz w:val="28"/>
                <w:szCs w:val="28"/>
                <w:highlight w:val="none"/>
                <w:u w:val="none"/>
                <w:shd w:val="clear" w:color="auto" w:fill="auto"/>
                <w:lang w:val="en-US" w:eastAsia="zh-CN"/>
              </w:rPr>
              <w:t>国家</w:t>
            </w:r>
            <w:r>
              <w:rPr>
                <w:rFonts w:hint="eastAsia" w:ascii="Times New Roman" w:hAnsi="Times New Roman" w:eastAsia="仿宋_GB2312" w:cs="Times New Roman"/>
                <w:color w:val="auto"/>
                <w:sz w:val="28"/>
                <w:szCs w:val="28"/>
                <w:highlight w:val="none"/>
                <w:u w:val="none"/>
                <w:shd w:val="clear" w:color="auto" w:fill="auto"/>
                <w:lang w:eastAsia="zh-CN"/>
              </w:rPr>
              <w:t>实验室重大科研基础设施和二期园区建设，支持布局建设实验室基地、开展生物育种试验。</w:t>
            </w:r>
            <w:r>
              <w:rPr>
                <w:rFonts w:hint="eastAsia" w:ascii="Times New Roman" w:hAnsi="Times New Roman" w:eastAsia="仿宋_GB2312" w:cs="Times New Roman"/>
                <w:color w:val="auto"/>
                <w:sz w:val="28"/>
                <w:szCs w:val="28"/>
                <w:highlight w:val="none"/>
                <w:u w:val="none"/>
                <w:shd w:val="clear" w:color="auto" w:fill="auto"/>
              </w:rPr>
              <w:t>支持建设部级科技创新平台2-3个。支持龙头企业牵头组建产业创新联盟、产业创新联合体2-3个，建设技术创新中心、中试基地等科技成果转化平台。高质量建设国家林草种质资源设施保存库海南分库、国家林草植物新品种崖州湾测试分中心、海南林草植物新品种审查协作中心等国家级种业平台</w:t>
            </w:r>
            <w:r>
              <w:rPr>
                <w:rFonts w:hint="eastAsia" w:ascii="Times New Roman" w:hAnsi="Times New Roman" w:eastAsia="仿宋_GB2312" w:cs="Times New Roman"/>
                <w:color w:val="auto"/>
                <w:sz w:val="28"/>
                <w:szCs w:val="28"/>
                <w:highlight w:val="none"/>
                <w:u w:val="none"/>
                <w:shd w:val="clear" w:color="auto" w:fill="auto"/>
                <w:lang w:eastAsia="zh-CN"/>
              </w:rPr>
              <w:t>。</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40" w:lineRule="exact"/>
              <w:ind w:firstLine="0" w:firstLineChars="0"/>
              <w:jc w:val="both"/>
              <w:textAlignment w:val="auto"/>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02</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以农业科技创新推动农业产业创新</w:t>
            </w:r>
          </w:p>
          <w:p>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jc w:val="both"/>
              <w:textAlignment w:val="auto"/>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加快发展</w:t>
            </w:r>
            <w:r>
              <w:rPr>
                <w:rFonts w:hint="eastAsia" w:ascii="Times New Roman" w:hAnsi="Times New Roman" w:eastAsia="仿宋_GB2312" w:cs="Times New Roman"/>
                <w:color w:val="auto"/>
                <w:sz w:val="28"/>
                <w:szCs w:val="28"/>
                <w:highlight w:val="none"/>
                <w:u w:val="none"/>
                <w:shd w:val="clear" w:color="auto" w:fill="auto"/>
                <w:lang w:val="en-US" w:eastAsia="zh-CN"/>
              </w:rPr>
              <w:t>生物育种、生物肥料、生物饲料、生物农药和兽药，强化绿色高效的生物农业品种培育。</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推进多元化农技推广服务体系建设，强化科技特派员等科技服务力量。培育农业科技社会化服务组织5-10个。新增科技小院10-15个。加强与国家现代农业产业技术体系衔接。</w:t>
            </w:r>
            <w:r>
              <w:rPr>
                <w:rFonts w:hint="eastAsia" w:ascii="Times New Roman" w:hAnsi="Times New Roman" w:eastAsia="仿宋_GB2312" w:cs="Times New Roman"/>
                <w:color w:val="auto"/>
                <w:sz w:val="28"/>
                <w:szCs w:val="28"/>
                <w:highlight w:val="none"/>
                <w:u w:val="none"/>
                <w:shd w:val="clear" w:color="auto" w:fill="auto"/>
                <w:lang w:val="en-US" w:eastAsia="zh-CN"/>
              </w:rPr>
              <w:t>加强</w:t>
            </w:r>
            <w:r>
              <w:rPr>
                <w:rFonts w:hint="eastAsia" w:ascii="Times New Roman" w:hAnsi="Times New Roman" w:eastAsia="仿宋_GB2312" w:cs="Times New Roman"/>
                <w:color w:val="auto"/>
                <w:sz w:val="28"/>
                <w:szCs w:val="28"/>
                <w:highlight w:val="none"/>
                <w:u w:val="none"/>
                <w:shd w:val="clear" w:color="auto" w:fill="auto"/>
              </w:rPr>
              <w:t>林业种质资源保护与利用</w:t>
            </w:r>
            <w:r>
              <w:rPr>
                <w:rFonts w:hint="eastAsia" w:ascii="Times New Roman" w:hAnsi="Times New Roman" w:eastAsia="仿宋_GB2312" w:cs="Times New Roman"/>
                <w:color w:val="auto"/>
                <w:sz w:val="28"/>
                <w:szCs w:val="28"/>
                <w:highlight w:val="none"/>
                <w:u w:val="none"/>
                <w:shd w:val="clear" w:color="auto" w:fill="auto"/>
                <w:lang w:eastAsia="zh-CN"/>
              </w:rPr>
              <w:t>、</w:t>
            </w:r>
            <w:r>
              <w:rPr>
                <w:rFonts w:hint="eastAsia" w:ascii="Times New Roman" w:hAnsi="Times New Roman" w:eastAsia="仿宋_GB2312" w:cs="Times New Roman"/>
                <w:color w:val="auto"/>
                <w:sz w:val="28"/>
                <w:szCs w:val="28"/>
                <w:highlight w:val="none"/>
                <w:u w:val="none"/>
                <w:shd w:val="clear" w:color="auto" w:fill="auto"/>
              </w:rPr>
              <w:t>林木良种选育</w:t>
            </w:r>
            <w:r>
              <w:rPr>
                <w:rFonts w:hint="eastAsia" w:ascii="Times New Roman" w:hAnsi="Times New Roman" w:eastAsia="仿宋_GB2312" w:cs="Times New Roman"/>
                <w:color w:val="auto"/>
                <w:sz w:val="28"/>
                <w:szCs w:val="28"/>
                <w:highlight w:val="none"/>
                <w:u w:val="none"/>
                <w:shd w:val="clear" w:color="auto" w:fill="auto"/>
                <w:lang w:eastAsia="zh-CN"/>
              </w:rPr>
              <w:t>、</w:t>
            </w:r>
            <w:r>
              <w:rPr>
                <w:rFonts w:hint="eastAsia" w:ascii="Times New Roman" w:hAnsi="Times New Roman" w:eastAsia="仿宋_GB2312" w:cs="Times New Roman"/>
                <w:color w:val="auto"/>
                <w:sz w:val="28"/>
                <w:szCs w:val="28"/>
                <w:highlight w:val="none"/>
                <w:u w:val="none"/>
                <w:shd w:val="clear" w:color="auto" w:fill="auto"/>
              </w:rPr>
              <w:t>林产品精深加工技术</w:t>
            </w:r>
            <w:r>
              <w:rPr>
                <w:rFonts w:hint="eastAsia" w:ascii="Times New Roman" w:hAnsi="Times New Roman" w:eastAsia="仿宋_GB2312" w:cs="Times New Roman"/>
                <w:color w:val="auto"/>
                <w:sz w:val="28"/>
                <w:szCs w:val="28"/>
                <w:highlight w:val="none"/>
                <w:u w:val="none"/>
                <w:shd w:val="clear" w:color="auto" w:fill="auto"/>
                <w:lang w:val="en-US" w:eastAsia="zh-CN"/>
              </w:rPr>
              <w:t>科技攻关。</w:t>
            </w:r>
            <w:r>
              <w:rPr>
                <w:rFonts w:hint="eastAsia" w:ascii="Times New Roman" w:hAnsi="Times New Roman" w:eastAsia="仿宋_GB2312" w:cs="Times New Roman"/>
                <w:b w:val="0"/>
                <w:bCs w:val="0"/>
                <w:i w:val="0"/>
                <w:caps w:val="0"/>
                <w:strike w:val="0"/>
                <w:dstrike w:val="0"/>
                <w:color w:val="auto"/>
                <w:spacing w:val="0"/>
                <w:kern w:val="2"/>
                <w:sz w:val="28"/>
                <w:szCs w:val="28"/>
                <w:highlight w:val="none"/>
                <w:u w:val="none"/>
                <w:shd w:val="clear" w:color="auto" w:fill="auto"/>
                <w:lang w:val="en-US" w:eastAsia="zh-CN" w:bidi="ar-SA"/>
              </w:rPr>
              <w:t>争取农作物基因资源阐析等国际大科学计划关键研究任务落地海南。</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40" w:lineRule="exact"/>
              <w:ind w:firstLine="0" w:firstLineChars="0"/>
              <w:jc w:val="both"/>
              <w:textAlignment w:val="auto"/>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03</w:t>
            </w:r>
            <w:r>
              <w:rPr>
                <w:rFonts w:hint="eastAsia" w:ascii="楷体_GB2312" w:hAnsi="楷体_GB2312" w:eastAsia="楷体_GB2312" w:cs="楷体_GB2312"/>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扎实推进农业科技体制机制创新</w:t>
            </w:r>
          </w:p>
          <w:p>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jc w:val="both"/>
              <w:textAlignment w:val="auto"/>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auto"/>
                <w:w w:val="100"/>
                <w:sz w:val="28"/>
                <w:szCs w:val="28"/>
                <w:highlight w:val="none"/>
                <w:u w:val="none"/>
                <w:shd w:val="clear" w:color="auto" w:fill="auto"/>
                <w:lang w:val="en-US" w:eastAsia="zh-CN"/>
              </w:rPr>
              <w:t>统筹用好财政科技专项资金，完善支持企业科技创新的融资服务模式。推进落实职务科技成果赋权和成果转化收益分配机制。鼓励企业加大基础研究投入，推动企业牵头和参与应用研究类项目及投入占比达到50%。</w:t>
            </w:r>
            <w:r>
              <w:rPr>
                <w:rFonts w:hint="eastAsia" w:ascii="Times New Roman" w:hAnsi="Times New Roman" w:eastAsia="仿宋_GB2312" w:cs="Times New Roman"/>
                <w:color w:val="auto"/>
                <w:sz w:val="28"/>
                <w:szCs w:val="28"/>
                <w:highlight w:val="none"/>
                <w:u w:val="none"/>
                <w:shd w:val="clear" w:color="auto" w:fill="auto"/>
                <w:lang w:val="en-US" w:eastAsia="zh-CN"/>
              </w:rPr>
              <w:t>依托三亚崖州湾科技城知识产权特区，提升知识产权公共服务。完善全链条农业科技成果转化机制，加速种业成果转化运用。</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tcBorders>
            <w:shd w:val="clear" w:color="auto" w:fill="F1F1F1" w:themeFill="background1" w:themeFillShade="F2"/>
            <w:vAlign w:val="top"/>
          </w:tcPr>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440" w:lineRule="exact"/>
              <w:ind w:firstLine="0" w:firstLineChars="0"/>
              <w:jc w:val="both"/>
              <w:textAlignment w:val="auto"/>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04</w:t>
            </w:r>
            <w:r>
              <w:rPr>
                <w:rFonts w:hint="eastAsia" w:ascii="楷体_GB2312" w:hAnsi="楷体_GB2312" w:eastAsia="楷体_GB2312" w:cs="楷体_GB2312"/>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推进农业教育科技人才一体化发展</w:t>
            </w:r>
          </w:p>
          <w:p>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jc w:val="both"/>
              <w:textAlignment w:val="auto"/>
              <w:outlineLvl w:val="9"/>
              <w:rPr>
                <w:rFonts w:hint="default" w:ascii="Times New Roman" w:hAnsi="Times New Roman" w:cs="Times New Roman"/>
                <w:b w:val="0"/>
                <w:bCs w:val="0"/>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建设高层次人才培养基地</w:t>
            </w:r>
            <w:r>
              <w:rPr>
                <w:rFonts w:hint="eastAsia" w:ascii="Times New Roman" w:hAnsi="Times New Roman" w:eastAsia="仿宋_GB2312" w:cs="Times New Roman"/>
                <w:color w:val="auto"/>
                <w:sz w:val="28"/>
                <w:szCs w:val="28"/>
                <w:highlight w:val="none"/>
                <w:u w:val="none"/>
                <w:shd w:val="clear" w:color="auto" w:fill="auto"/>
                <w:lang w:eastAsia="zh-CN"/>
              </w:rPr>
              <w:t>。</w:t>
            </w:r>
            <w:r>
              <w:rPr>
                <w:rFonts w:hint="eastAsia" w:ascii="Times New Roman" w:hAnsi="Times New Roman" w:eastAsia="仿宋_GB2312" w:cs="Times New Roman"/>
                <w:color w:val="auto"/>
                <w:kern w:val="2"/>
                <w:sz w:val="28"/>
                <w:szCs w:val="28"/>
                <w:highlight w:val="none"/>
                <w:u w:val="none"/>
                <w:shd w:val="clear" w:color="auto" w:fill="auto"/>
                <w:lang w:val="en-US" w:eastAsia="zh-CN" w:bidi="ar"/>
              </w:rPr>
              <w:t>支持高等院校</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、农业广播电视学校、农村成人文化技术培训学校（机构）、农技推广机构、农业科研院所等培养基层急需的农业专业技术人才</w:t>
            </w:r>
            <w:r>
              <w:rPr>
                <w:rFonts w:hint="eastAsia" w:ascii="Times New Roman" w:hAnsi="Times New Roman" w:eastAsia="仿宋_GB2312" w:cs="Times New Roman"/>
                <w:i w:val="0"/>
                <w:iCs w:val="0"/>
                <w:caps w:val="0"/>
                <w:color w:val="auto"/>
                <w:spacing w:val="0"/>
                <w:w w:val="100"/>
                <w:sz w:val="28"/>
                <w:szCs w:val="28"/>
                <w:highlight w:val="none"/>
                <w:u w:val="none"/>
                <w:shd w:val="clear" w:color="auto" w:fill="auto"/>
                <w:lang w:eastAsia="zh-CN"/>
              </w:rPr>
              <w:t>。</w:t>
            </w:r>
            <w:r>
              <w:rPr>
                <w:rFonts w:hint="eastAsia" w:ascii="Times New Roman" w:hAnsi="Times New Roman" w:eastAsia="仿宋_GB2312" w:cs="Times New Roman"/>
                <w:color w:val="auto"/>
                <w:sz w:val="28"/>
                <w:szCs w:val="28"/>
                <w:highlight w:val="none"/>
                <w:u w:val="none"/>
                <w:shd w:val="clear" w:color="auto" w:fill="auto"/>
              </w:rPr>
              <w:t>稳步推进“一乡（镇）一名研究生”培育等特色人才项目。</w:t>
            </w:r>
            <w:r>
              <w:rPr>
                <w:rFonts w:hint="eastAsia" w:ascii="Times New Roman" w:hAnsi="Times New Roman" w:eastAsia="仿宋_GB2312" w:cs="Times New Roman"/>
                <w:i w:val="0"/>
                <w:iCs w:val="0"/>
                <w:caps w:val="0"/>
                <w:color w:val="auto"/>
                <w:spacing w:val="0"/>
                <w:w w:val="100"/>
                <w:sz w:val="28"/>
                <w:szCs w:val="28"/>
                <w:highlight w:val="none"/>
                <w:u w:val="none"/>
                <w:shd w:val="clear" w:color="auto" w:fill="auto"/>
                <w:lang w:val="en-US" w:eastAsia="zh-CN"/>
              </w:rPr>
              <w:t>到2030年，</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引进培育</w:t>
            </w:r>
            <w:r>
              <w:rPr>
                <w:rFonts w:hint="eastAsia" w:ascii="Times New Roman" w:hAnsi="Times New Roman" w:eastAsia="仿宋_GB2312" w:cs="Times New Roman"/>
                <w:color w:val="auto"/>
                <w:sz w:val="28"/>
                <w:szCs w:val="28"/>
                <w:highlight w:val="none"/>
                <w:u w:val="none"/>
                <w:shd w:val="clear" w:color="auto" w:fill="auto"/>
              </w:rPr>
              <w:t>产业急需的农业科技B类人才20人左右</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w:t>
            </w:r>
          </w:p>
        </w:tc>
      </w:tr>
    </w:tbl>
    <w:p>
      <w:pPr>
        <w:tabs>
          <w:tab w:val="left" w:pos="2886"/>
        </w:tabs>
        <w:bidi w:val="0"/>
        <w:jc w:val="left"/>
        <w:rPr>
          <w:rFonts w:hint="default" w:ascii="Times New Roman" w:hAnsi="Times New Roman" w:eastAsia="宋体" w:cs="Times New Roman"/>
          <w:color w:val="000000" w:themeColor="text1"/>
          <w:kern w:val="2"/>
          <w:sz w:val="21"/>
          <w:szCs w:val="24"/>
          <w:highlight w:val="none"/>
          <w:lang w:val="en-US" w:eastAsia="zh-CN" w:bidi="ar-SA"/>
          <w14:textFill>
            <w14:solidFill>
              <w14:schemeClr w14:val="tx1"/>
            </w14:solidFill>
          </w14:textFill>
        </w:rPr>
      </w:pPr>
    </w:p>
    <w:p>
      <w:pPr>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sectPr>
          <w:pgSz w:w="11906" w:h="16838"/>
          <w:pgMar w:top="2024" w:right="1406" w:bottom="1559" w:left="1576" w:header="851" w:footer="992" w:gutter="0"/>
          <w:pgBorders>
            <w:top w:val="none" w:sz="0" w:space="0"/>
            <w:left w:val="none" w:sz="0" w:space="0"/>
            <w:bottom w:val="none" w:sz="0" w:space="0"/>
            <w:right w:val="none" w:sz="0" w:space="0"/>
          </w:pgBorders>
          <w:pgNumType w:fmt="decimal"/>
          <w:cols w:space="0" w:num="1"/>
          <w:rtlGutter w:val="0"/>
          <w:docGrid w:type="lines" w:linePitch="318" w:charSpace="0"/>
        </w:sectPr>
      </w:pPr>
    </w:p>
    <w:p>
      <w:pPr>
        <w:jc w:val="center"/>
        <w:outlineLvl w:val="0"/>
        <w:rPr>
          <w:rFonts w:hint="eastAsia" w:ascii="黑体" w:hAnsi="黑体" w:eastAsia="黑体" w:cs="黑体"/>
          <w:color w:val="000000" w:themeColor="text1"/>
          <w:kern w:val="2"/>
          <w:sz w:val="36"/>
          <w:szCs w:val="36"/>
          <w:highlight w:val="none"/>
          <w:lang w:val="en-US" w:eastAsia="zh-CN" w:bidi="ar-SA"/>
          <w14:textFill>
            <w14:solidFill>
              <w14:schemeClr w14:val="tx1"/>
            </w14:solidFill>
          </w14:textFill>
        </w:rPr>
      </w:pPr>
      <w:bookmarkStart w:id="1183" w:name="_Toc32158"/>
      <w:bookmarkStart w:id="1184" w:name="_Toc10124"/>
      <w:bookmarkStart w:id="1185" w:name="_Toc18727"/>
      <w:bookmarkStart w:id="1186" w:name="_Toc5748"/>
      <w:bookmarkStart w:id="1187" w:name="_Toc9257"/>
      <w:bookmarkStart w:id="1188" w:name="_Toc14185"/>
      <w:bookmarkStart w:id="1189" w:name="_Toc1261"/>
      <w:bookmarkStart w:id="1190" w:name="_Toc25252"/>
      <w:bookmarkStart w:id="1191" w:name="_Toc6280"/>
      <w:bookmarkStart w:id="1192" w:name="_Toc9157"/>
      <w:bookmarkStart w:id="1193" w:name="_Toc28523"/>
      <w:bookmarkStart w:id="1194" w:name="_Toc27293"/>
      <w:bookmarkStart w:id="1195" w:name="_Toc18012"/>
      <w:bookmarkStart w:id="1196" w:name="_Toc6567"/>
      <w:bookmarkStart w:id="1197" w:name="_Toc22687"/>
      <w:r>
        <w:rPr>
          <w:rFonts w:hint="eastAsia" w:ascii="黑体" w:hAnsi="黑体" w:eastAsia="黑体" w:cs="黑体"/>
          <w:color w:val="000000" w:themeColor="text1"/>
          <w:kern w:val="2"/>
          <w:sz w:val="36"/>
          <w:szCs w:val="36"/>
          <w:highlight w:val="none"/>
          <w:lang w:val="en-US" w:eastAsia="zh-CN" w:bidi="ar-SA"/>
          <w14:textFill>
            <w14:solidFill>
              <w14:schemeClr w14:val="tx1"/>
            </w14:solidFill>
          </w14:textFill>
        </w:rPr>
        <w:t>第八章  高水平打造农业对外开放高地</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pPr>
        <w:jc w:val="center"/>
        <w:outlineLvl w:val="0"/>
        <w:rPr>
          <w:rFonts w:hint="eastAsia" w:ascii="黑体" w:hAnsi="黑体" w:eastAsia="黑体" w:cs="黑体"/>
          <w:color w:val="000000" w:themeColor="text1"/>
          <w:kern w:val="2"/>
          <w:sz w:val="36"/>
          <w:szCs w:val="36"/>
          <w:highlight w:val="none"/>
          <w:lang w:val="en-US" w:eastAsia="zh-CN" w:bidi="ar-SA"/>
          <w14:textFill>
            <w14:solidFill>
              <w14:schemeClr w14:val="tx1"/>
            </w14:solidFill>
          </w14:textFill>
        </w:rPr>
      </w:pPr>
      <w:bookmarkStart w:id="1198" w:name="_Toc237"/>
      <w:bookmarkStart w:id="1199" w:name="_Toc710"/>
      <w:bookmarkStart w:id="1200" w:name="_Toc17330"/>
      <w:bookmarkStart w:id="1201" w:name="_Toc29882"/>
      <w:bookmarkStart w:id="1202" w:name="_Toc13654"/>
      <w:bookmarkStart w:id="1203" w:name="_Toc6909"/>
      <w:bookmarkStart w:id="1204" w:name="_Toc13341"/>
      <w:bookmarkStart w:id="1205" w:name="_Toc6668"/>
      <w:bookmarkStart w:id="1206" w:name="_Toc22897"/>
      <w:bookmarkStart w:id="1207" w:name="_Toc13436"/>
      <w:bookmarkStart w:id="1208" w:name="_Toc31856"/>
      <w:bookmarkStart w:id="1209" w:name="_Toc3319"/>
      <w:bookmarkStart w:id="1210" w:name="_Toc21280"/>
      <w:bookmarkStart w:id="1211" w:name="_Toc11650"/>
      <w:bookmarkStart w:id="1212" w:name="_Toc35"/>
      <w:r>
        <w:rPr>
          <w:rFonts w:hint="eastAsia" w:ascii="黑体" w:hAnsi="黑体" w:eastAsia="黑体" w:cs="黑体"/>
          <w:color w:val="000000" w:themeColor="text1"/>
          <w:kern w:val="2"/>
          <w:sz w:val="36"/>
          <w:szCs w:val="36"/>
          <w:highlight w:val="none"/>
          <w:lang w:val="en-US" w:eastAsia="zh-CN" w:bidi="ar-SA"/>
          <w14:textFill>
            <w14:solidFill>
              <w14:schemeClr w14:val="tx1"/>
            </w14:solidFill>
          </w14:textFill>
        </w:rPr>
        <w:t>助力高标准建设海南自由贸易港</w:t>
      </w:r>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p>
    <w:p>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ascii="Times New Roman" w:hAnsi="Times New Roman" w:cs="Times New Roman"/>
          <w:color w:val="000000" w:themeColor="text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高水平打造农业对外开放高地是高标准建设海南自由贸易港的必然要求。</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要主动服务国家外交大局，</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持续</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推进农业领域高水平对外开放</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，建设热带农业科技中心和交流平台，打造国际热带农产品贸易中心</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，加大农业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对外</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引资</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投资力度，促进贸易和生产协调发展，全面提升</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海南</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竞争力和话语权</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为推动构建周边命运共同体提供坚实支撑</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213" w:name="_Toc134"/>
      <w:bookmarkStart w:id="1214" w:name="_Toc13299"/>
      <w:bookmarkStart w:id="1215" w:name="_Toc25878"/>
      <w:bookmarkStart w:id="1216" w:name="_Toc5987"/>
      <w:bookmarkStart w:id="1217" w:name="_Toc28125"/>
      <w:bookmarkStart w:id="1218" w:name="_Toc22240"/>
      <w:bookmarkStart w:id="1219" w:name="_Toc14010"/>
      <w:bookmarkStart w:id="1220" w:name="_Toc30934"/>
      <w:bookmarkStart w:id="1221" w:name="_Toc1891"/>
      <w:bookmarkStart w:id="1222" w:name="_Toc14341"/>
      <w:bookmarkStart w:id="1223" w:name="_Toc15300"/>
      <w:bookmarkStart w:id="1224" w:name="_Toc28672"/>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第一节 建设热带农业科技中心和交流平台</w:t>
      </w:r>
      <w:bookmarkEnd w:id="1213"/>
      <w:bookmarkEnd w:id="1214"/>
      <w:bookmarkEnd w:id="1215"/>
      <w:bookmarkEnd w:id="1216"/>
      <w:bookmarkEnd w:id="1217"/>
      <w:bookmarkEnd w:id="1218"/>
      <w:bookmarkEnd w:id="1219"/>
      <w:bookmarkEnd w:id="1220"/>
      <w:bookmarkEnd w:id="1221"/>
      <w:bookmarkEnd w:id="1222"/>
      <w:bookmarkEnd w:id="1223"/>
      <w:bookmarkEnd w:id="1224"/>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打造农业对外开放合作平台，支</w:t>
      </w:r>
      <w:r>
        <w:rPr>
          <w:rFonts w:hint="default" w:ascii="Times New Roman" w:hAnsi="Times New Roman" w:eastAsia="仿宋_GB2312"/>
          <w:color w:val="000000" w:themeColor="text1"/>
          <w:sz w:val="32"/>
          <w:szCs w:val="32"/>
          <w:highlight w:val="none"/>
          <w14:textFill>
            <w14:solidFill>
              <w14:schemeClr w14:val="tx1"/>
            </w14:solidFill>
          </w14:textFill>
        </w:rPr>
        <w:t>持</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建设</w:t>
      </w:r>
      <w:r>
        <w:rPr>
          <w:rFonts w:hint="default" w:ascii="Times New Roman" w:hAnsi="Times New Roman" w:eastAsia="仿宋_GB2312"/>
          <w:color w:val="000000" w:themeColor="text1"/>
          <w:sz w:val="32"/>
          <w:szCs w:val="32"/>
          <w:highlight w:val="none"/>
          <w14:textFill>
            <w14:solidFill>
              <w14:schemeClr w14:val="tx1"/>
            </w14:solidFill>
          </w14:textFill>
        </w:rPr>
        <w:t>三亚国际组织落地集聚区</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推动设立国际热区农业研究合作组织。深化与联合国粮农组织合作，共建全球热带农业知识中心。推进非洲绿色革命联盟亚太办事处等落地海南。</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支持</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推进阿联酋赠送椰枣落地海南项目，探索打造中阿椰枣友谊中心。深化农业领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域“南南合作”，</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积极</w:t>
      </w:r>
      <w:r>
        <w:rPr>
          <w:rFonts w:hint="default" w:ascii="Times New Roman" w:hAnsi="Times New Roman" w:eastAsia="仿宋_GB2312"/>
          <w:color w:val="000000" w:themeColor="text1"/>
          <w:sz w:val="32"/>
          <w:szCs w:val="32"/>
          <w:highlight w:val="none"/>
          <w14:textFill>
            <w14:solidFill>
              <w14:schemeClr w14:val="tx1"/>
            </w14:solidFill>
          </w14:textFill>
        </w:rPr>
        <w:t>融入全球南方治理</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。打造热带农业会展平台，</w:t>
      </w:r>
      <w:r>
        <w:rPr>
          <w:rFonts w:hint="default" w:ascii="Times New Roman" w:hAnsi="Times New Roman" w:eastAsia="仿宋_GB2312" w:cs="Times New Roman"/>
          <w:b w:val="0"/>
          <w:bCs w:val="0"/>
          <w:color w:val="000000" w:themeColor="text1"/>
          <w:sz w:val="32"/>
          <w:szCs w:val="32"/>
          <w:highlight w:val="none"/>
          <w:lang w:val="en-US" w:eastAsia="zh-CN"/>
          <w14:textFill>
            <w14:solidFill>
              <w14:schemeClr w14:val="tx1"/>
            </w14:solidFill>
          </w14:textFill>
        </w:rPr>
        <w:t>积极举办中非农业合作论坛、全球热带农业创新大会、种子大会等活动，持续扩大世界热带农业科学高端论坛等活动影响力。</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打造热带农业文化交流平台，加强与东南亚和中东地区国际人文交流合作</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olor w:val="000000" w:themeColor="text1"/>
          <w:sz w:val="32"/>
          <w:szCs w:val="32"/>
          <w:highlight w:val="none"/>
          <w14:textFill>
            <w14:solidFill>
              <w14:schemeClr w14:val="tx1"/>
            </w14:solidFill>
          </w14:textFill>
        </w:rPr>
        <w:t>推动海南</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热带</w:t>
      </w:r>
      <w:r>
        <w:rPr>
          <w:rFonts w:hint="default" w:ascii="Times New Roman" w:hAnsi="Times New Roman" w:eastAsia="仿宋_GB2312"/>
          <w:color w:val="000000" w:themeColor="text1"/>
          <w:sz w:val="32"/>
          <w:szCs w:val="32"/>
          <w:highlight w:val="none"/>
          <w14:textFill>
            <w14:solidFill>
              <w14:schemeClr w14:val="tx1"/>
            </w14:solidFill>
          </w14:textFill>
        </w:rPr>
        <w:t>特色农业系统纳入全球重要农业文化遗产名录</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。打造国际农业人才培养平台，推动热带农业海外培训中心、国际农业人才交流培训中心项目落地。发挥国家热带农业科学中心效能，推动与东盟、非洲、拉美等地区共建</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“一带一路”</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联合实验室。谋划推动全球科技小院集群建设</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225" w:name="_Toc14197"/>
      <w:bookmarkStart w:id="1226" w:name="_Toc1964"/>
      <w:bookmarkStart w:id="1227" w:name="_Toc14490"/>
      <w:bookmarkStart w:id="1228" w:name="_Toc22038"/>
      <w:bookmarkStart w:id="1229" w:name="_Toc26897"/>
      <w:bookmarkStart w:id="1230" w:name="_Toc12336"/>
      <w:bookmarkStart w:id="1231" w:name="_Toc10122"/>
      <w:bookmarkStart w:id="1232" w:name="_Toc2907"/>
      <w:bookmarkStart w:id="1233" w:name="_Toc15906"/>
      <w:bookmarkStart w:id="1234" w:name="_Toc25773"/>
      <w:bookmarkStart w:id="1235" w:name="_Toc22520"/>
      <w:bookmarkStart w:id="1236" w:name="_Toc12224"/>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第二节 打造热带农产品贸易中心</w:t>
      </w:r>
      <w:bookmarkEnd w:id="1225"/>
      <w:bookmarkEnd w:id="1226"/>
      <w:bookmarkEnd w:id="1227"/>
      <w:bookmarkEnd w:id="1228"/>
      <w:bookmarkEnd w:id="1229"/>
      <w:bookmarkEnd w:id="1230"/>
      <w:bookmarkEnd w:id="1231"/>
      <w:bookmarkEnd w:id="1232"/>
      <w:bookmarkEnd w:id="1233"/>
      <w:bookmarkEnd w:id="1234"/>
      <w:bookmarkEnd w:id="1235"/>
      <w:bookmarkEnd w:id="1236"/>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ascii="Times New Roman" w:hAnsi="Times New Roman" w:eastAsia="仿宋_GB2312" w:cs="Times New Roman"/>
          <w:color w:val="000000" w:themeColor="text1"/>
          <w:sz w:val="32"/>
          <w:szCs w:val="32"/>
          <w:highlight w:val="none"/>
          <w14:textFill>
            <w14:solidFill>
              <w14:schemeClr w14:val="tx1"/>
            </w14:solidFill>
          </w14:textFill>
        </w:rPr>
        <w:t>强化与东盟、中亚、南亚等重点区域的农业产业链供应链协同合作</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t>构建</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t>国际原料+本地辅料+海南加工+全球市场</w:t>
      </w:r>
      <w:r>
        <w:rPr>
          <w:rFonts w:hint="eastAsia" w:ascii="仿宋_GB2312" w:hAnsi="仿宋_GB2312" w:eastAsia="仿宋_GB2312" w:cs="仿宋_GB2312"/>
          <w:b w:val="0"/>
          <w:bCs w:val="0"/>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t>融合发展模式，大力发展进料加工与增值加工等</w:t>
      </w:r>
      <w:r>
        <w:rPr>
          <w:rFonts w:ascii="Times New Roman" w:hAnsi="Times New Roman" w:eastAsia="仿宋_GB2312" w:cs="Times New Roman"/>
          <w:color w:val="000000" w:themeColor="text1"/>
          <w:sz w:val="32"/>
          <w:szCs w:val="32"/>
          <w:highlight w:val="none"/>
          <w14:textFill>
            <w14:solidFill>
              <w14:schemeClr w14:val="tx1"/>
            </w14:solidFill>
          </w14:textFill>
        </w:rPr>
        <w:t>业态</w:t>
      </w:r>
      <w:r>
        <w:rPr>
          <w:rFonts w:hint="default"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u w:val="none"/>
          <w14:textFill>
            <w14:solidFill>
              <w14:schemeClr w14:val="tx1"/>
            </w14:solidFill>
          </w14:textFill>
        </w:rPr>
        <w:t>高标准建设</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海南大宗商品交易中心</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b w:val="0"/>
          <w:bCs w:val="0"/>
          <w:color w:val="000000" w:themeColor="text1"/>
          <w:sz w:val="32"/>
          <w:szCs w:val="32"/>
          <w:highlight w:val="none"/>
          <w:u w:val="none"/>
          <w:lang w:val="en-US" w:eastAsia="zh-CN"/>
          <w14:textFill>
            <w14:solidFill>
              <w14:schemeClr w14:val="tx1"/>
            </w14:solidFill>
          </w14:textFill>
        </w:rPr>
        <w:t>国际热带农产品交易中心、寰球农产品拍卖中心</w:t>
      </w:r>
      <w:r>
        <w:rPr>
          <w:rFonts w:hint="default"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构建国际农业</w:t>
      </w:r>
      <w:r>
        <w:rPr>
          <w:rFonts w:ascii="Times New Roman" w:hAnsi="Times New Roman" w:eastAsia="仿宋_GB2312" w:cs="Times New Roman"/>
          <w:color w:val="000000" w:themeColor="text1"/>
          <w:sz w:val="32"/>
          <w:szCs w:val="32"/>
          <w:highlight w:val="none"/>
          <w:u w:val="none"/>
          <w14:textFill>
            <w14:solidFill>
              <w14:schemeClr w14:val="tx1"/>
            </w14:solidFill>
          </w14:textFill>
        </w:rPr>
        <w:t>贸易集散枢纽，</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提升</w:t>
      </w:r>
      <w:r>
        <w:rPr>
          <w:rFonts w:ascii="Times New Roman" w:hAnsi="Times New Roman" w:eastAsia="仿宋_GB2312" w:cs="Times New Roman"/>
          <w:color w:val="000000" w:themeColor="text1"/>
          <w:sz w:val="32"/>
          <w:szCs w:val="32"/>
          <w:highlight w:val="none"/>
          <w:u w:val="none"/>
          <w14:textFill>
            <w14:solidFill>
              <w14:schemeClr w14:val="tx1"/>
            </w14:solidFill>
          </w14:textFill>
        </w:rPr>
        <w:t>热带农产品定价话语权。</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实施海南农产品出口企业培育计划，每年培育农业国际贸易高质量发展优质主体2-3家。</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以“海南鲜品”为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统领，培育具有国际竞争力的农产品品牌，推动品牌联合出海。</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优化口岸通关流程，探索建立苗种、苗木等农产品快速通关模式，提升口岸物流作业效率。</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237" w:name="_Toc4769"/>
      <w:bookmarkStart w:id="1238" w:name="_Toc9306"/>
      <w:bookmarkStart w:id="1239" w:name="_Toc21003"/>
      <w:bookmarkStart w:id="1240" w:name="_Toc13788"/>
      <w:bookmarkStart w:id="1241" w:name="_Toc8187"/>
      <w:bookmarkStart w:id="1242" w:name="_Toc24387"/>
      <w:bookmarkStart w:id="1243" w:name="_Toc18164"/>
      <w:bookmarkStart w:id="1244" w:name="_Toc29196"/>
      <w:bookmarkStart w:id="1245" w:name="_Toc10338"/>
      <w:bookmarkStart w:id="1246" w:name="_Toc13750"/>
      <w:bookmarkStart w:id="1247" w:name="_Toc3539"/>
      <w:bookmarkStart w:id="1248" w:name="_Toc16338"/>
      <w:bookmarkStart w:id="1249" w:name="_Toc23659"/>
      <w:bookmarkStart w:id="1250" w:name="_Toc18188"/>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第三节 加大农业对外引资和投资力度</w:t>
      </w:r>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pPr>
        <w:widowControl w:val="0"/>
        <w:snapToGrid/>
        <w:spacing w:beforeLines="-2147483648" w:after="100" w:afterLines="-2147483648" w:afterAutospacing="1" w:line="590" w:lineRule="exact"/>
        <w:ind w:firstLine="640" w:firstLineChars="200"/>
        <w:rPr>
          <w:rFonts w:hint="default" w:ascii="Times New Roman" w:hAnsi="Times New Roman" w:eastAsia="仿宋_GB2312" w:cs="Times New Roman"/>
          <w:b w:val="0"/>
          <w:color w:val="000000" w:themeColor="text1"/>
          <w:sz w:val="32"/>
          <w:szCs w:val="32"/>
          <w:highlight w:val="none"/>
          <w:lang w:eastAsia="zh-CN"/>
          <w14:textFill>
            <w14:solidFill>
              <w14:schemeClr w14:val="tx1"/>
            </w14:solidFill>
          </w14:textFill>
        </w:rPr>
      </w:pPr>
      <w:bookmarkStart w:id="1251" w:name="_Toc24845"/>
      <w:bookmarkStart w:id="1252" w:name="_Toc6032"/>
      <w:bookmarkStart w:id="1253" w:name="_Toc10137"/>
      <w:r>
        <w:rPr>
          <w:rFonts w:hint="default" w:ascii="Times New Roman" w:hAnsi="Times New Roman" w:eastAsia="仿宋_GB2312"/>
          <w:color w:val="000000" w:themeColor="text1"/>
          <w:sz w:val="32"/>
          <w:szCs w:val="32"/>
          <w:highlight w:val="none"/>
          <w14:textFill>
            <w14:solidFill>
              <w14:schemeClr w14:val="tx1"/>
            </w14:solidFill>
          </w14:textFill>
        </w:rPr>
        <w:t>聚</w:t>
      </w:r>
      <w:r>
        <w:rPr>
          <w:rFonts w:hint="eastAsia" w:ascii="仿宋_GB2312" w:hAnsi="仿宋_GB2312" w:eastAsia="仿宋_GB2312" w:cs="仿宋_GB2312"/>
          <w:color w:val="000000" w:themeColor="text1"/>
          <w:sz w:val="32"/>
          <w:szCs w:val="32"/>
          <w:highlight w:val="none"/>
          <w14:textFill>
            <w14:solidFill>
              <w14:schemeClr w14:val="tx1"/>
            </w14:solidFill>
          </w14:textFill>
        </w:rPr>
        <w:t>焦“两个基地”</w:t>
      </w:r>
      <w:r>
        <w:rPr>
          <w:rFonts w:hint="default" w:ascii="Times New Roman" w:hAnsi="Times New Roman" w:eastAsia="仿宋_GB2312"/>
          <w:color w:val="000000" w:themeColor="text1"/>
          <w:sz w:val="32"/>
          <w:szCs w:val="32"/>
          <w:highlight w:val="none"/>
          <w14:textFill>
            <w14:solidFill>
              <w14:schemeClr w14:val="tx1"/>
            </w14:solidFill>
          </w14:textFill>
        </w:rPr>
        <w:t>建设持续发力，鼓励外资投向现代种业、深远海养殖、智慧农业、加工业、农产品跨境贸易等重要领域</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w:t>
      </w:r>
      <w:r>
        <w:rPr>
          <w:rFonts w:ascii="Times New Roman" w:hAnsi="Times New Roman" w:eastAsia="仿宋_GB2312" w:cs="Times New Roman"/>
          <w:color w:val="000000" w:themeColor="text1"/>
          <w:sz w:val="32"/>
          <w:szCs w:val="32"/>
          <w:highlight w:val="none"/>
          <w14:textFill>
            <w14:solidFill>
              <w14:schemeClr w14:val="tx1"/>
            </w14:solidFill>
          </w14:textFill>
        </w:rPr>
        <w:t>探索开展丘陵山区智能化农业机械装备领域的中外合资合作。</w:t>
      </w:r>
      <w:r>
        <w:rPr>
          <w:rFonts w:hint="default" w:ascii="Times New Roman" w:hAnsi="Times New Roman" w:eastAsia="仿宋_GB2312"/>
          <w:color w:val="000000" w:themeColor="text1"/>
          <w:sz w:val="32"/>
          <w:szCs w:val="32"/>
          <w:highlight w:val="none"/>
          <w14:textFill>
            <w14:solidFill>
              <w14:schemeClr w14:val="tx1"/>
            </w14:solidFill>
          </w14:textFill>
        </w:rPr>
        <w:t>建设</w:t>
      </w:r>
      <w:r>
        <w:rPr>
          <w:rFonts w:hint="eastAsia" w:ascii="仿宋_GB2312" w:hAnsi="仿宋_GB2312" w:eastAsia="仿宋_GB2312" w:cs="仿宋_GB2312"/>
          <w:color w:val="000000" w:themeColor="text1"/>
          <w:sz w:val="32"/>
          <w:szCs w:val="32"/>
          <w:highlight w:val="none"/>
          <w14:textFill>
            <w14:solidFill>
              <w14:schemeClr w14:val="tx1"/>
            </w14:solidFill>
          </w14:textFill>
        </w:rPr>
        <w:t>“中国（海南）—柬埔寨生态农业合作示范区”和琼柬“鱼米走廊”</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，在海外发展一批农业产业园区。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支持企业采用跨境电商、海外仓、离岸贸易等方式开拓国际市场，提高海南农业境外投资开发整体竞争力。</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持续优化农业贸易营商环境，健全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热带农业对外合作</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公共</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信息服务平台</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功能</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，及时发布产业信息和对外投资</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指导建议</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254" w:name="_Toc18101"/>
      <w:bookmarkStart w:id="1255" w:name="_Toc23719"/>
      <w:bookmarkStart w:id="1256" w:name="_Toc14573"/>
      <w:bookmarkStart w:id="1257" w:name="_Toc31951"/>
      <w:bookmarkStart w:id="1258" w:name="_Toc18763"/>
      <w:bookmarkStart w:id="1259" w:name="_Toc27607"/>
      <w:bookmarkStart w:id="1260" w:name="_Toc9760"/>
      <w:bookmarkStart w:id="1261" w:name="_Toc25952"/>
      <w:bookmarkStart w:id="1262" w:name="_Toc28240"/>
      <w:bookmarkStart w:id="1263" w:name="_Toc3692"/>
      <w:bookmarkStart w:id="1264" w:name="_Toc25098"/>
      <w:bookmarkStart w:id="1265" w:name="_Toc24108"/>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第四节 促进贸易和生产协调发展</w:t>
      </w:r>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加强农业贸易</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安全风险管理</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建立健全同国际通行规则相衔接的合规机制</w:t>
      </w:r>
      <w:r>
        <w:rPr>
          <w:rFonts w:hint="eastAsia" w:ascii="Times New Roman" w:hAnsi="Times New Roman" w:eastAsia="仿宋_GB2312" w:cs="Times New Roman"/>
          <w:color w:val="000000" w:themeColor="text1"/>
          <w:sz w:val="32"/>
          <w:szCs w:val="32"/>
          <w:highlight w:val="none"/>
          <w:lang w:val="en-US" w:eastAsia="zh-CN"/>
          <w14:textFill>
            <w14:solidFill>
              <w14:schemeClr w14:val="tx1"/>
            </w14:solidFill>
          </w14:textFill>
        </w:rPr>
        <w:t>，加强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农产品贸易风险评估，动态监测国际市场波动，做好输入性风险防范工作</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。动态调整实施禁止、限制进出口货物、物品清单，推动修订完善相关配套制度。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建设</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农业生物安全风险防控体系</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提升生物安全防控能力。完善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口岸外来物种监测预警体系</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增强海关、农业农村部门</w:t>
      </w:r>
      <w:r>
        <w:rPr>
          <w:rFonts w:hint="eastAsia" w:ascii="仿宋_GB2312" w:hAnsi="仿宋_GB2312" w:eastAsia="仿宋_GB2312" w:cs="仿宋_GB2312"/>
          <w:color w:val="000000" w:themeColor="text1"/>
          <w:sz w:val="32"/>
          <w:szCs w:val="32"/>
          <w:highlight w:val="none"/>
          <w14:textFill>
            <w14:solidFill>
              <w14:schemeClr w14:val="tx1"/>
            </w14:solidFill>
          </w14:textFill>
        </w:rPr>
        <w:t>“一线”和“二线”</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口岸动植物检疫监管能力。依托全球动植物种质资源引进中转基地，探索联合开展境外引种生物安全评估，建立完善国外种质资源引进后全程追溯管理制度。加大农业资源保护力度，强化种质资源出口监管，严厉打击濒危物种走私</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tbl>
      <w:tblPr>
        <w:tblStyle w:val="20"/>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rHeight w:val="504" w:hRule="atLeast"/>
          <w:tblHeader/>
          <w:jc w:val="center"/>
        </w:trPr>
        <w:tc>
          <w:tcPr>
            <w:tcW w:w="884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top"/>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Lines="-2147483648" w:afterLines="-2147483648" w:line="360" w:lineRule="auto"/>
              <w:ind w:firstLine="0" w:firstLineChars="0"/>
              <w:jc w:val="center"/>
              <w:textAlignment w:val="auto"/>
              <w:outlineLvl w:val="0"/>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bookmarkStart w:id="1266" w:name="_Toc18120"/>
            <w:bookmarkStart w:id="1267" w:name="_Toc5246"/>
            <w:bookmarkStart w:id="1268" w:name="_Toc28950"/>
            <w:bookmarkStart w:id="1269" w:name="_Toc1474"/>
            <w:bookmarkStart w:id="1270" w:name="_Toc22798"/>
            <w:bookmarkStart w:id="1271" w:name="_Toc14790"/>
            <w:bookmarkStart w:id="1272" w:name="_Toc8099"/>
            <w:bookmarkStart w:id="1273" w:name="_Toc31414"/>
            <w:bookmarkStart w:id="1274" w:name="_Toc3903"/>
            <w:bookmarkStart w:id="1275" w:name="_Toc14344"/>
            <w:r>
              <w:rPr>
                <w:rFonts w:hint="eastAsia" w:ascii="楷体" w:hAnsi="楷体" w:eastAsia="楷体" w:cs="楷体"/>
                <w:b w:val="0"/>
                <w:bCs/>
                <w:color w:val="000000"/>
                <w:sz w:val="28"/>
                <w:szCs w:val="28"/>
                <w:highlight w:val="none"/>
                <w:shd w:val="clear" w:color="auto" w:fill="FFFFFF"/>
              </w:rPr>
              <w:t>专栏</w:t>
            </w:r>
            <w:r>
              <w:rPr>
                <w:rFonts w:hint="eastAsia" w:ascii="楷体" w:hAnsi="楷体" w:eastAsia="楷体" w:cs="楷体"/>
                <w:b w:val="0"/>
                <w:bCs/>
                <w:color w:val="000000"/>
                <w:sz w:val="28"/>
                <w:szCs w:val="28"/>
                <w:highlight w:val="none"/>
                <w:shd w:val="clear" w:color="auto" w:fill="FFFFFF"/>
                <w:lang w:val="en-US" w:eastAsia="zh-CN"/>
              </w:rPr>
              <w:t>10</w:t>
            </w:r>
            <w:r>
              <w:rPr>
                <w:rFonts w:hint="eastAsia" w:ascii="楷体" w:hAnsi="楷体" w:eastAsia="楷体" w:cs="楷体"/>
                <w:b w:val="0"/>
                <w:bCs/>
                <w:color w:val="000000"/>
                <w:sz w:val="28"/>
                <w:szCs w:val="28"/>
                <w:highlight w:val="none"/>
                <w:shd w:val="clear" w:color="auto" w:fill="FFFFFF"/>
              </w:rPr>
              <w:t xml:space="preserve">  农业高水平对外开放工程</w:t>
            </w:r>
            <w:bookmarkEnd w:id="1266"/>
            <w:bookmarkEnd w:id="1267"/>
            <w:bookmarkEnd w:id="1268"/>
            <w:bookmarkEnd w:id="1269"/>
            <w:bookmarkEnd w:id="1270"/>
            <w:bookmarkEnd w:id="1271"/>
            <w:bookmarkEnd w:id="1272"/>
            <w:bookmarkEnd w:id="1273"/>
            <w:bookmarkEnd w:id="1274"/>
            <w:bookmarkEnd w:id="1275"/>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01</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建设热带农业科技中心和交流平台</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积极对接承办粮食安全、热带农业、现代种业、海洋渔业、绿色发展、科技创新、减贫脱贫等国际领域事务，打造农业对外开放合作平台、热带农业会展平台、热带农业文化交流平台、</w:t>
            </w:r>
            <w:r>
              <w:rPr>
                <w:rFonts w:hint="eastAsia" w:ascii="Times New Roman" w:hAnsi="Times New Roman" w:eastAsia="仿宋_GB2312" w:cs="Times New Roman"/>
                <w:color w:val="auto"/>
                <w:sz w:val="28"/>
                <w:szCs w:val="28"/>
                <w:highlight w:val="none"/>
                <w:u w:val="none"/>
                <w:shd w:val="clear" w:color="auto" w:fill="auto"/>
                <w:lang w:val="en-US" w:eastAsia="zh-CN"/>
              </w:rPr>
              <w:t>国际农业人才培养平台</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，发挥热带农业科学中心效能。推动热带林木种质资源国际交流合作，支持林业企业参与“一带一路”热带林业合作。</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02</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rPr>
              <w:t>打造热带农产品贸易中心</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eastAsia" w:ascii="Times New Roman" w:hAnsi="Times New Roman" w:eastAsia="仿宋_GB2312" w:cs="Times New Roman"/>
                <w:b w:val="0"/>
                <w:bCs w:val="0"/>
                <w:color w:val="auto"/>
                <w:sz w:val="28"/>
                <w:szCs w:val="28"/>
                <w:highlight w:val="none"/>
                <w:u w:val="none"/>
                <w:shd w:val="clear" w:color="auto" w:fill="auto"/>
                <w:lang w:val="en-US" w:eastAsia="zh-CN"/>
              </w:rPr>
            </w:pPr>
            <w:r>
              <w:rPr>
                <w:rFonts w:hint="eastAsia" w:ascii="Times New Roman" w:hAnsi="Times New Roman" w:eastAsia="仿宋_GB2312" w:cs="Times New Roman"/>
                <w:color w:val="auto"/>
                <w:sz w:val="28"/>
                <w:szCs w:val="28"/>
                <w:highlight w:val="none"/>
                <w:u w:val="none"/>
                <w:shd w:val="clear" w:color="auto" w:fill="auto"/>
                <w:lang w:eastAsia="zh-CN"/>
              </w:rPr>
              <w:t>加</w:t>
            </w:r>
            <w:r>
              <w:rPr>
                <w:rFonts w:hint="eastAsia" w:ascii="Times New Roman" w:hAnsi="Times New Roman" w:eastAsia="仿宋_GB2312" w:cs="Times New Roman"/>
                <w:color w:val="auto"/>
                <w:sz w:val="28"/>
                <w:szCs w:val="28"/>
                <w:highlight w:val="none"/>
                <w:u w:val="none"/>
                <w:shd w:val="clear" w:color="auto" w:fill="auto"/>
                <w:lang w:val="en-US" w:eastAsia="zh-CN"/>
              </w:rPr>
              <w:t>快</w:t>
            </w:r>
            <w:r>
              <w:rPr>
                <w:rFonts w:hint="eastAsia" w:ascii="Times New Roman" w:hAnsi="Times New Roman" w:eastAsia="仿宋_GB2312" w:cs="Times New Roman"/>
                <w:color w:val="auto"/>
                <w:sz w:val="28"/>
                <w:szCs w:val="28"/>
                <w:highlight w:val="none"/>
                <w:u w:val="none"/>
                <w:shd w:val="clear" w:color="auto" w:fill="auto"/>
              </w:rPr>
              <w:t>海南大宗商品交易中心</w:t>
            </w:r>
            <w:r>
              <w:rPr>
                <w:rFonts w:hint="eastAsia" w:ascii="Times New Roman" w:hAnsi="Times New Roman" w:eastAsia="仿宋_GB2312" w:cs="Times New Roman"/>
                <w:color w:val="auto"/>
                <w:sz w:val="28"/>
                <w:szCs w:val="28"/>
                <w:highlight w:val="none"/>
                <w:u w:val="none"/>
                <w:shd w:val="clear" w:color="auto" w:fill="auto"/>
                <w:lang w:eastAsia="zh-CN"/>
              </w:rPr>
              <w:t>、</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国际热带农产品交易中心、寰球农产品拍卖中心</w:t>
            </w:r>
            <w:r>
              <w:rPr>
                <w:rFonts w:hint="eastAsia" w:ascii="Times New Roman" w:hAnsi="Times New Roman" w:eastAsia="仿宋_GB2312" w:cs="Times New Roman"/>
                <w:color w:val="auto"/>
                <w:sz w:val="28"/>
                <w:szCs w:val="28"/>
                <w:highlight w:val="none"/>
                <w:u w:val="none"/>
                <w:shd w:val="clear" w:color="auto" w:fill="auto"/>
                <w:lang w:eastAsia="zh-CN"/>
              </w:rPr>
              <w:t>建设。</w:t>
            </w:r>
            <w:r>
              <w:rPr>
                <w:rFonts w:hint="eastAsia" w:ascii="Times New Roman" w:hAnsi="Times New Roman" w:eastAsia="仿宋_GB2312" w:cs="Times New Roman"/>
                <w:color w:val="auto"/>
                <w:sz w:val="28"/>
                <w:szCs w:val="28"/>
                <w:highlight w:val="none"/>
                <w:u w:val="none"/>
                <w:shd w:val="clear" w:color="auto" w:fill="auto"/>
                <w:lang w:val="en-US" w:eastAsia="zh-CN"/>
              </w:rPr>
              <w:t>继续实施</w:t>
            </w:r>
            <w:r>
              <w:rPr>
                <w:rFonts w:hint="eastAsia" w:ascii="Times New Roman" w:hAnsi="Times New Roman" w:eastAsia="仿宋_GB2312" w:cs="Times New Roman"/>
                <w:color w:val="auto"/>
                <w:sz w:val="28"/>
                <w:szCs w:val="28"/>
                <w:highlight w:val="none"/>
                <w:u w:val="none"/>
                <w:shd w:val="clear" w:color="auto" w:fill="auto"/>
              </w:rPr>
              <w:t>农业国际贸易高质量发展优质主体工程</w:t>
            </w:r>
            <w:r>
              <w:rPr>
                <w:rFonts w:hint="eastAsia" w:ascii="Times New Roman" w:hAnsi="Times New Roman" w:eastAsia="仿宋_GB2312" w:cs="Times New Roman"/>
                <w:color w:val="auto"/>
                <w:sz w:val="28"/>
                <w:szCs w:val="28"/>
                <w:highlight w:val="none"/>
                <w:u w:val="none"/>
                <w:shd w:val="clear" w:color="auto" w:fill="auto"/>
                <w:lang w:val="en-US" w:eastAsia="zh-CN"/>
              </w:rPr>
              <w:t>和优质农产品扩大出口工程。</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03</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加大农业对外引资和投资力度</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_GB2312" w:cs="Times New Roman"/>
                <w:color w:val="auto"/>
                <w:sz w:val="28"/>
                <w:szCs w:val="28"/>
                <w:highlight w:val="none"/>
                <w:u w:val="none"/>
                <w:shd w:val="clear" w:color="auto" w:fill="auto"/>
                <w:lang w:val="en-US" w:eastAsia="zh-CN"/>
              </w:rPr>
              <w:t>推进外资招引提质，制定专项外资招引计划。支持农业企业开拓中东、欧盟、RCEP成员国等地区农产品消费市场。推动在东盟、非洲等地区建设橡胶、香蕉、胡椒、木薯、茶叶等产业园区，探索在太平洋岛国等地建设渔业合作基地。</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建设中拉可持续粮食创新中心，成立中拉可持续粮食创新中心海外分中心。</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楷体_GB2312" w:hAnsi="楷体_GB2312" w:eastAsia="楷体_GB2312" w:cs="楷体_GB2312"/>
                <w:b w:val="0"/>
                <w:bCs w:val="0"/>
                <w:color w:val="auto"/>
                <w:sz w:val="28"/>
                <w:szCs w:val="28"/>
                <w:highlight w:val="none"/>
                <w:u w:val="none"/>
                <w:shd w:val="clear" w:color="auto" w:fill="auto"/>
                <w:lang w:val="en-US" w:eastAsia="zh-CN"/>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04</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促进贸易和生产协调发展</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tabs>
                <w:tab w:val="left" w:pos="960"/>
              </w:tabs>
              <w:kinsoku/>
              <w:wordWrap/>
              <w:overflowPunct/>
              <w:topLinePunct w:val="0"/>
              <w:autoSpaceDE/>
              <w:autoSpaceDN/>
              <w:bidi w:val="0"/>
              <w:adjustRightInd/>
              <w:snapToGrid/>
              <w:spacing w:line="440" w:lineRule="exact"/>
              <w:ind w:left="630" w:leftChars="300" w:firstLine="0" w:firstLineChars="0"/>
              <w:textAlignment w:val="auto"/>
              <w:outlineLvl w:val="9"/>
              <w:rPr>
                <w:rFonts w:hint="default" w:ascii="Times New Roman" w:hAnsi="Times New Roman" w:eastAsia="宋体" w:cs="Times New Roman"/>
                <w:b/>
                <w:bCs/>
                <w:color w:val="000000" w:themeColor="text1"/>
                <w:sz w:val="24"/>
                <w:szCs w:val="24"/>
                <w:highlight w:val="none"/>
                <w:lang w:val="en-US" w:eastAsia="zh-CN"/>
                <w14:textFill>
                  <w14:solidFill>
                    <w14:schemeClr w14:val="tx1"/>
                  </w14:solidFill>
                </w14:textFill>
              </w:rPr>
            </w:pPr>
            <w:r>
              <w:rPr>
                <w:rFonts w:hint="eastAsia" w:ascii="Times New Roman" w:hAnsi="Times New Roman" w:eastAsia="仿宋_GB2312" w:cs="Times New Roman"/>
                <w:color w:val="auto"/>
                <w:sz w:val="28"/>
                <w:szCs w:val="28"/>
                <w:highlight w:val="none"/>
                <w:u w:val="none"/>
                <w:shd w:val="clear" w:color="auto" w:fill="auto"/>
                <w:lang w:val="en-US" w:eastAsia="zh-CN"/>
              </w:rPr>
              <w:t>加强市场风险防范，建立健全同国际通行规则相衔接的合规机制。实施生物安全防控能力提升工程。开展严防外来物种入侵专项行动，强化种质资源出口监管。</w:t>
            </w:r>
          </w:p>
        </w:tc>
      </w:tr>
    </w:tbl>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b w:val="0"/>
          <w:bCs w:val="0"/>
          <w:color w:val="000000" w:themeColor="text1"/>
          <w:sz w:val="32"/>
          <w:szCs w:val="32"/>
          <w:highlight w:val="none"/>
          <w:u w:val="none"/>
          <w:lang w:val="en-US" w:eastAsia="zh-CN"/>
          <w14:textFill>
            <w14:solidFill>
              <w14:schemeClr w14:val="tx1"/>
            </w14:solidFill>
          </w14:textFill>
        </w:rPr>
        <w:sectPr>
          <w:pgSz w:w="11906" w:h="16838"/>
          <w:pgMar w:top="2024" w:right="1406" w:bottom="1559" w:left="1576" w:header="851" w:footer="992" w:gutter="0"/>
          <w:pgBorders>
            <w:top w:val="none" w:sz="0" w:space="0"/>
            <w:left w:val="none" w:sz="0" w:space="0"/>
            <w:bottom w:val="none" w:sz="0" w:space="0"/>
            <w:right w:val="none" w:sz="0" w:space="0"/>
          </w:pgBorders>
          <w:pgNumType w:fmt="decimal"/>
          <w:cols w:space="0" w:num="1"/>
          <w:rtlGutter w:val="0"/>
          <w:docGrid w:type="lines" w:linePitch="318" w:charSpace="0"/>
        </w:sectPr>
      </w:pPr>
    </w:p>
    <w:p>
      <w:pPr>
        <w:jc w:val="center"/>
        <w:outlineLvl w:val="0"/>
        <w:rPr>
          <w:rFonts w:hint="eastAsia" w:ascii="黑体" w:hAnsi="黑体" w:eastAsia="黑体" w:cs="黑体"/>
          <w:color w:val="000000" w:themeColor="text1"/>
          <w:sz w:val="36"/>
          <w:szCs w:val="36"/>
          <w:highlight w:val="none"/>
          <w:lang w:val="en-US" w:eastAsia="zh-CN"/>
          <w14:textFill>
            <w14:solidFill>
              <w14:schemeClr w14:val="tx1"/>
            </w14:solidFill>
          </w14:textFill>
        </w:rPr>
      </w:pPr>
      <w:bookmarkStart w:id="1276" w:name="_Toc2078"/>
      <w:bookmarkStart w:id="1277" w:name="_Toc6585"/>
      <w:bookmarkStart w:id="1278" w:name="_Toc6030"/>
      <w:bookmarkStart w:id="1279" w:name="_Toc24142"/>
      <w:bookmarkStart w:id="1280" w:name="_Toc9370"/>
      <w:bookmarkStart w:id="1281" w:name="_Toc28694"/>
      <w:bookmarkStart w:id="1282" w:name="_Toc26077"/>
      <w:bookmarkStart w:id="1283" w:name="_Toc10933"/>
      <w:bookmarkStart w:id="1284" w:name="_Toc30835"/>
      <w:bookmarkStart w:id="1285" w:name="_Toc24398"/>
      <w:bookmarkStart w:id="1286" w:name="_Toc5225"/>
      <w:bookmarkStart w:id="1287" w:name="_Toc5478"/>
      <w:bookmarkStart w:id="1288" w:name="_Toc6879"/>
      <w:bookmarkStart w:id="1289" w:name="_Toc20269"/>
      <w:bookmarkStart w:id="1290" w:name="_Toc15256"/>
      <w:r>
        <w:rPr>
          <w:rFonts w:hint="eastAsia" w:ascii="黑体" w:hAnsi="黑体" w:eastAsia="黑体" w:cs="黑体"/>
          <w:color w:val="000000" w:themeColor="text1"/>
          <w:sz w:val="36"/>
          <w:szCs w:val="36"/>
          <w:highlight w:val="none"/>
          <w:lang w:val="en-US" w:eastAsia="zh-CN"/>
          <w14:textFill>
            <w14:solidFill>
              <w14:schemeClr w14:val="tx1"/>
            </w14:solidFill>
          </w14:textFill>
        </w:rPr>
        <w:t>第九章  进一步深化农村改革</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p>
    <w:p>
      <w:pPr>
        <w:jc w:val="center"/>
        <w:outlineLvl w:val="0"/>
        <w:rPr>
          <w:rFonts w:hint="eastAsia" w:ascii="黑体" w:hAnsi="黑体" w:eastAsia="黑体" w:cs="黑体"/>
          <w:color w:val="000000" w:themeColor="text1"/>
          <w:sz w:val="36"/>
          <w:szCs w:val="36"/>
          <w:highlight w:val="none"/>
          <w:lang w:val="en-US" w:eastAsia="zh-CN"/>
          <w14:textFill>
            <w14:solidFill>
              <w14:schemeClr w14:val="tx1"/>
            </w14:solidFill>
          </w14:textFill>
        </w:rPr>
      </w:pPr>
      <w:bookmarkStart w:id="1291" w:name="_Toc4202"/>
      <w:bookmarkStart w:id="1292" w:name="_Toc12078"/>
      <w:bookmarkStart w:id="1293" w:name="_Toc17382"/>
      <w:bookmarkStart w:id="1294" w:name="_Toc25185"/>
      <w:bookmarkStart w:id="1295" w:name="_Toc11271"/>
      <w:bookmarkStart w:id="1296" w:name="_Toc348"/>
      <w:bookmarkStart w:id="1297" w:name="_Toc2489"/>
      <w:bookmarkStart w:id="1298" w:name="_Toc2158"/>
      <w:bookmarkStart w:id="1299" w:name="_Toc23295"/>
      <w:bookmarkStart w:id="1300" w:name="_Toc15390"/>
      <w:bookmarkStart w:id="1301" w:name="_Toc29040"/>
      <w:bookmarkStart w:id="1302" w:name="_Toc11045"/>
      <w:bookmarkStart w:id="1303" w:name="_Toc31999"/>
      <w:bookmarkStart w:id="1304" w:name="_Toc31681"/>
      <w:bookmarkStart w:id="1305" w:name="_Toc31342"/>
      <w:r>
        <w:rPr>
          <w:rFonts w:hint="eastAsia" w:ascii="黑体" w:hAnsi="黑体" w:eastAsia="黑体" w:cs="黑体"/>
          <w:color w:val="000000" w:themeColor="text1"/>
          <w:sz w:val="36"/>
          <w:szCs w:val="36"/>
          <w:highlight w:val="none"/>
          <w:lang w:val="en-US" w:eastAsia="zh-CN"/>
          <w14:textFill>
            <w14:solidFill>
              <w14:schemeClr w14:val="tx1"/>
            </w14:solidFill>
          </w14:textFill>
        </w:rPr>
        <w:t>持续释放农业农村发展活力</w:t>
      </w:r>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进一步深化农村改革是加快农业农村现代化的根本动力。要统筹推进农村土地制度改革，深化农村集体</w:t>
      </w:r>
      <w:r>
        <w:rPr>
          <w:rFonts w:hint="eastAsia" w:ascii="仿宋_GB2312" w:hAnsi="仿宋_GB2312" w:eastAsia="仿宋_GB2312" w:cs="仿宋_GB2312"/>
          <w:color w:val="000000" w:themeColor="text1"/>
          <w:sz w:val="32"/>
          <w:szCs w:val="32"/>
          <w:highlight w:val="none"/>
          <w14:textFill>
            <w14:solidFill>
              <w14:schemeClr w14:val="tx1"/>
            </w14:solidFill>
          </w14:textFill>
        </w:rPr>
        <w:t>“三资”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管理改革，</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持续深化</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农垦</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改革，深化供销合作社综合改革，为农业农村现代化提供制度保障和政策支撑。</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306" w:name="_Toc29861"/>
      <w:bookmarkStart w:id="1307" w:name="_Toc30386"/>
      <w:bookmarkStart w:id="1308" w:name="_Toc13645"/>
      <w:bookmarkStart w:id="1309" w:name="_Toc2524"/>
      <w:bookmarkStart w:id="1310" w:name="_Toc5390"/>
      <w:bookmarkStart w:id="1311" w:name="_Toc2090"/>
      <w:bookmarkStart w:id="1312" w:name="_Toc19136"/>
      <w:bookmarkStart w:id="1313" w:name="_Toc3936"/>
      <w:bookmarkStart w:id="1314" w:name="_Toc31608"/>
      <w:bookmarkStart w:id="1315" w:name="_Toc24384"/>
      <w:bookmarkStart w:id="1316" w:name="_Toc4585"/>
      <w:bookmarkStart w:id="1317" w:name="_Toc21226"/>
      <w:bookmarkStart w:id="1318" w:name="_Toc2358"/>
      <w:bookmarkStart w:id="1319" w:name="_Toc11211"/>
      <w:bookmarkStart w:id="1320" w:name="_Toc1068"/>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第一节 统筹推进农村土地制度改革</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深化农村承包地改革，完成第二轮土地承包到期后再延长三十年</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试点</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有关工作。规范农村承包地经营权流转管理，完善土地承包合同管理制度，做好与不动产统一登记有序衔接。妥善化解延包中的矛盾纠纷，确保绝大多数农户承包地总体顺延、保持稳定。</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按照</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保障居住、管住乱建、盘活闲置</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原则，</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加强农村宅基地规范管理，稳慎推进农村乱占耕地建房住宅类房屋专项整治试点工作</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盘活利用农村闲置低效建设用地，依法依规开展农村集体经营性建设用地使用权、集体林权抵押融资。</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常态化做好房地一体宅基地登记发证工作，维护群众合法权益</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。有序推进农村集体经营性建设用地入市</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改革</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321" w:name="_Toc27751"/>
      <w:bookmarkStart w:id="1322" w:name="_Toc29785"/>
      <w:bookmarkStart w:id="1323" w:name="_Toc21078"/>
      <w:bookmarkStart w:id="1324" w:name="_Toc8235"/>
      <w:bookmarkStart w:id="1325" w:name="_Toc5387"/>
      <w:bookmarkStart w:id="1326" w:name="_Toc7888"/>
      <w:bookmarkStart w:id="1327" w:name="_Toc29877"/>
      <w:bookmarkStart w:id="1328" w:name="_Toc28833"/>
      <w:bookmarkStart w:id="1329" w:name="_Toc19826"/>
      <w:bookmarkStart w:id="1330" w:name="_Toc2768"/>
      <w:bookmarkStart w:id="1331" w:name="_Toc2552"/>
      <w:bookmarkStart w:id="1332" w:name="_Toc18463"/>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第二节 持续发展壮大新型农村集体经济</w:t>
      </w:r>
      <w:bookmarkEnd w:id="1321"/>
      <w:bookmarkEnd w:id="1322"/>
      <w:bookmarkEnd w:id="1323"/>
      <w:bookmarkEnd w:id="1324"/>
      <w:bookmarkEnd w:id="1325"/>
      <w:bookmarkEnd w:id="1326"/>
      <w:bookmarkEnd w:id="1327"/>
      <w:bookmarkEnd w:id="1328"/>
      <w:bookmarkEnd w:id="1329"/>
      <w:bookmarkEnd w:id="1330"/>
      <w:bookmarkEnd w:id="1331"/>
      <w:bookmarkEnd w:id="1332"/>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ascii="Times New Roman" w:hAnsi="Times New Roman" w:eastAsia="仿宋_GB2312"/>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bidi="ar"/>
          <w14:textFill>
            <w14:solidFill>
              <w14:schemeClr w14:val="tx1"/>
            </w14:solidFill>
          </w14:textFill>
        </w:rPr>
        <w:t>深化农村集</w:t>
      </w:r>
      <w:r>
        <w:rPr>
          <w:rFonts w:hint="eastAsia" w:ascii="仿宋_GB2312" w:hAnsi="仿宋_GB2312" w:eastAsia="仿宋_GB2312" w:cs="仿宋_GB2312"/>
          <w:color w:val="000000" w:themeColor="text1"/>
          <w:sz w:val="32"/>
          <w:szCs w:val="32"/>
          <w:highlight w:val="none"/>
          <w:lang w:bidi="ar"/>
          <w14:textFill>
            <w14:solidFill>
              <w14:schemeClr w14:val="tx1"/>
            </w14:solidFill>
          </w14:textFill>
        </w:rPr>
        <w:t>体“三资”管</w:t>
      </w:r>
      <w:r>
        <w:rPr>
          <w:rFonts w:hint="default" w:ascii="Times New Roman" w:hAnsi="Times New Roman" w:eastAsia="仿宋_GB2312" w:cs="Times New Roman"/>
          <w:color w:val="000000" w:themeColor="text1"/>
          <w:sz w:val="32"/>
          <w:szCs w:val="32"/>
          <w:highlight w:val="none"/>
          <w:lang w:bidi="ar"/>
          <w14:textFill>
            <w14:solidFill>
              <w14:schemeClr w14:val="tx1"/>
            </w14:solidFill>
          </w14:textFill>
        </w:rPr>
        <w:t>理，严管善用集体财产，促进农民集体和农户增收。</w:t>
      </w:r>
      <w:r>
        <w:rPr>
          <w:rFonts w:hint="default" w:ascii="Times New Roman" w:hAnsi="Times New Roman" w:eastAsia="仿宋_GB2312"/>
          <w:color w:val="000000" w:themeColor="text1"/>
          <w:sz w:val="32"/>
          <w:szCs w:val="32"/>
          <w:highlight w:val="none"/>
          <w:lang w:eastAsia="zh-CN"/>
          <w14:textFill>
            <w14:solidFill>
              <w14:schemeClr w14:val="tx1"/>
            </w14:solidFill>
          </w14:textFill>
        </w:rPr>
        <w:t>持续</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开展年度农村集体资产清查核资工作，建立健全资产管理台账，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落实</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农村集体</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“三资”</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突出问题专项整治工作部署，</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优化升</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级</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“机器管‘三资’”一</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张网建设，推动集体财产数字化监管。</w:t>
      </w:r>
      <w:r>
        <w:rPr>
          <w:rFonts w:ascii="Times New Roman" w:hAnsi="Times New Roman" w:eastAsia="仿宋_GB2312" w:cs="Times New Roman"/>
          <w:color w:val="000000" w:themeColor="text1"/>
          <w:sz w:val="32"/>
          <w:szCs w:val="32"/>
          <w:highlight w:val="none"/>
          <w14:textFill>
            <w14:solidFill>
              <w14:schemeClr w14:val="tx1"/>
            </w14:solidFill>
          </w14:textFill>
        </w:rPr>
        <w:t>脱贫攻坚以来国家投入形成的帮扶项目资产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，依法依规确权移交到集体经济组织，纳入集</w:t>
      </w:r>
      <w:r>
        <w:rPr>
          <w:rFonts w:hint="eastAsia" w:ascii="仿宋_GB2312" w:hAnsi="仿宋_GB2312" w:eastAsia="仿宋_GB2312" w:cs="仿宋_GB2312"/>
          <w:color w:val="000000" w:themeColor="text1"/>
          <w:sz w:val="32"/>
          <w:szCs w:val="32"/>
          <w:highlight w:val="none"/>
          <w14:textFill>
            <w14:solidFill>
              <w14:schemeClr w14:val="tx1"/>
            </w14:solidFill>
          </w14:textFill>
        </w:rPr>
        <w:t>体“三资”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统一管理。开展新型农村集体经济提质增效行动，</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鼓励农村集体经济组织通过</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“入链、入园、抱团”</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等</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模式，</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深度融入区域优势产业链、特色产业园区建设。健全农村产权流转交易体系，</w:t>
      </w:r>
      <w:r>
        <w:rPr>
          <w:rFonts w:hint="default" w:ascii="Times New Roman" w:hAnsi="Times New Roman" w:eastAsia="仿宋_GB2312"/>
          <w:color w:val="000000" w:themeColor="text1"/>
          <w:sz w:val="32"/>
          <w:szCs w:val="32"/>
          <w:highlight w:val="none"/>
          <w14:textFill>
            <w14:solidFill>
              <w14:schemeClr w14:val="tx1"/>
            </w14:solidFill>
          </w14:textFill>
        </w:rPr>
        <w:t>推动集体资源资产</w:t>
      </w:r>
      <w:r>
        <w:rPr>
          <w:rFonts w:hint="eastAsia" w:ascii="仿宋_GB2312" w:hAnsi="仿宋_GB2312" w:eastAsia="仿宋_GB2312" w:cs="仿宋_GB2312"/>
          <w:color w:val="000000" w:themeColor="text1"/>
          <w:sz w:val="32"/>
          <w:szCs w:val="32"/>
          <w:highlight w:val="none"/>
          <w14:textFill>
            <w14:solidFill>
              <w14:schemeClr w14:val="tx1"/>
            </w14:solidFill>
          </w14:textFill>
        </w:rPr>
        <w:t>“应进必进、阳光交易”</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支</w:t>
      </w:r>
      <w:r>
        <w:rPr>
          <w:rFonts w:hint="default" w:ascii="Times New Roman" w:hAnsi="Times New Roman" w:eastAsia="仿宋_GB2312"/>
          <w:color w:val="000000" w:themeColor="text1"/>
          <w:sz w:val="32"/>
          <w:szCs w:val="32"/>
          <w:highlight w:val="none"/>
          <w14:textFill>
            <w14:solidFill>
              <w14:schemeClr w14:val="tx1"/>
            </w14:solidFill>
          </w14:textFill>
        </w:rPr>
        <w:t>持村</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集体经济</w:t>
      </w:r>
      <w:r>
        <w:rPr>
          <w:rFonts w:hint="default" w:ascii="Times New Roman" w:hAnsi="Times New Roman" w:eastAsia="仿宋_GB2312"/>
          <w:color w:val="000000" w:themeColor="text1"/>
          <w:sz w:val="32"/>
          <w:szCs w:val="32"/>
          <w:highlight w:val="none"/>
          <w14:textFill>
            <w14:solidFill>
              <w14:schemeClr w14:val="tx1"/>
            </w14:solidFill>
          </w14:textFill>
        </w:rPr>
        <w:t>组织盘活存量闲置资产资源，推动集体资产处置规范化，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探索推动农村产权等进入公共资源交易平台交易</w:t>
      </w:r>
      <w:r>
        <w:rPr>
          <w:rFonts w:hint="default" w:ascii="Times New Roman" w:hAnsi="Times New Roman" w:eastAsia="仿宋_GB2312"/>
          <w:color w:val="000000" w:themeColor="text1"/>
          <w:sz w:val="32"/>
          <w:szCs w:val="32"/>
          <w:highlight w:val="none"/>
          <w14:textFill>
            <w14:solidFill>
              <w14:schemeClr w14:val="tx1"/>
            </w14:solidFill>
          </w14:textFill>
        </w:rPr>
        <w:t>。</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严控集体经营风险和债务规模。抓好全国农村固定观察点调查工作。</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333" w:name="_Toc24390"/>
      <w:bookmarkStart w:id="1334" w:name="_Toc26358"/>
      <w:bookmarkStart w:id="1335" w:name="_Toc28064"/>
      <w:bookmarkStart w:id="1336" w:name="_Toc15543"/>
      <w:bookmarkStart w:id="1337" w:name="_Toc13242"/>
      <w:bookmarkStart w:id="1338" w:name="_Toc17327"/>
      <w:bookmarkStart w:id="1339" w:name="_Toc28790"/>
      <w:bookmarkStart w:id="1340" w:name="_Toc32639"/>
      <w:bookmarkStart w:id="1341" w:name="_Toc29034"/>
      <w:bookmarkStart w:id="1342" w:name="_Toc26871"/>
      <w:bookmarkStart w:id="1343" w:name="_Toc3316"/>
      <w:bookmarkStart w:id="1344" w:name="_Toc24475"/>
      <w:bookmarkStart w:id="1345" w:name="_Toc18769"/>
      <w:bookmarkStart w:id="1346" w:name="_Toc17146"/>
      <w:bookmarkStart w:id="1347" w:name="_Toc10765"/>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第三节 推动垦地深度融合发展</w:t>
      </w:r>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14:textFill>
            <w14:solidFill>
              <w14:schemeClr w14:val="tx1"/>
            </w14:solidFill>
          </w14:textFill>
        </w:rPr>
        <w:t>推进垦区民生改善</w:t>
      </w:r>
      <w:r>
        <w:rPr>
          <w:rFonts w:hint="default" w:ascii="Times New Roman" w:hAnsi="Times New Roman" w:eastAsia="仿宋_GB2312" w:cs="Times New Roman"/>
          <w:b/>
          <w:bCs/>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摸清垦区家底，推动垦区发展与国民经济规划、国土空间规划以及专项规划衔接，</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结合垦区搬迁撤并</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按需有序编制</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垦区中心居民点详细规划</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深入推进垦地融合全域土地综合整治，加大垦区未规范管理土地整治力度，稳妥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解决土地历史遗留问题，有序推进农垦土地资本化。</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加快实施垦区更新改造计划，分批有序推进垦区老旧房屋集中连片区域整体改造</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，提升垦区基础设施、公共服务配套和空间风貌。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加大垦区困难群众救助力度</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低收入人口动态监测。</w:t>
      </w:r>
      <w:r>
        <w:rPr>
          <w:rFonts w:hint="default" w:ascii="Times New Roman" w:hAnsi="Times New Roman" w:eastAsia="仿宋_GB2312" w:cs="Times New Roman"/>
          <w:color w:val="000000" w:themeColor="text1"/>
          <w:sz w:val="32"/>
          <w:szCs w:val="32"/>
          <w:highlight w:val="none"/>
          <w:lang w:val="en-US" w:eastAsia="zh"/>
          <w14:textFill>
            <w14:solidFill>
              <w14:schemeClr w14:val="tx1"/>
            </w14:solidFill>
          </w14:textFill>
        </w:rPr>
        <w:t>深化居改社区管理体制改革</w:t>
      </w:r>
      <w:r>
        <w:rPr>
          <w:rFonts w:hint="default" w:ascii="Times New Roman" w:hAnsi="Times New Roman" w:eastAsia="仿宋_GB2312" w:cs="Times New Roman"/>
          <w:color w:val="000000" w:themeColor="text1"/>
          <w:sz w:val="32"/>
          <w:szCs w:val="32"/>
          <w:highlight w:val="none"/>
          <w:lang w:eastAsia="zh"/>
          <w14:textFill>
            <w14:solidFill>
              <w14:schemeClr w14:val="tx1"/>
            </w14:solidFill>
          </w14:textFill>
        </w:rPr>
        <w:t>，推动居管理体制更好融入属地基层管理体系</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90" w:lineRule="exact"/>
        <w:ind w:firstLine="642" w:firstLineChars="200"/>
        <w:textAlignment w:val="auto"/>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highlight w:val="none"/>
          <w:lang w:val="en-US" w:eastAsia="zh-CN"/>
          <w14:textFill>
            <w14:solidFill>
              <w14:schemeClr w14:val="tx1"/>
            </w14:solidFill>
          </w14:textFill>
        </w:rPr>
        <w:t>推动垦地产业融合。</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建立垦区特色与优势产业体系，支持海垦集团</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以“一场一品”为</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抓手，在优种养、强加工、创品牌、当链主、做引领上发力，带动市县特色产业发展。鼓励农垦设立院士工作站，推动农业领域科研成果转化。聚焦向海图强，支持农垦拓展深远海养殖新业态。鼓励农垦发挥资源优势，推进垦地农文旅融合发展。支持农垦谋划和实施一批冷链物流与农产品加工贸易业务，推进垦地农业产业链发展。</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348" w:name="_Toc2234"/>
      <w:bookmarkStart w:id="1349" w:name="_Toc3497"/>
      <w:bookmarkStart w:id="1350" w:name="_Toc16642"/>
      <w:bookmarkStart w:id="1351" w:name="_Toc6847"/>
      <w:bookmarkStart w:id="1352" w:name="_Toc11949"/>
      <w:bookmarkStart w:id="1353" w:name="_Toc697"/>
      <w:bookmarkStart w:id="1354" w:name="_Toc28758"/>
      <w:bookmarkStart w:id="1355" w:name="_Toc13582"/>
      <w:bookmarkStart w:id="1356" w:name="_Toc20451"/>
      <w:bookmarkStart w:id="1357" w:name="_Toc3462"/>
      <w:bookmarkStart w:id="1358" w:name="_Toc15405"/>
      <w:bookmarkStart w:id="1359" w:name="_Toc21648"/>
      <w:bookmarkStart w:id="1360" w:name="_Toc4924"/>
      <w:bookmarkStart w:id="1361" w:name="_Toc13490"/>
      <w:bookmarkStart w:id="1362" w:name="_Toc667"/>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第四节 深化供销合作社综合改革</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支持供销合作社做好农业社会化服务</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布局建设全省供销合作社农业社会化服务网络</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鼓励</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供销合作社持续组织各类农产品产销对接活动，拓宽海南优质特色农产品省外销售渠道。</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支持供销合作社组建新型农业经营主体，</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完善县域农资配送网络，探索打造区域应急保供中心基地。</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加强与邮政、快递、物流等市场主体合作，完善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“一点多能、一网多用”</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综合服务功能，提升供销合作社现代流通服务水平。</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加快社有企业改革发展，完善市场化经营机制</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，建设一批</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联农带农优质项目，形成产业链供应链各环节有效对接。</w:t>
      </w:r>
    </w:p>
    <w:tbl>
      <w:tblPr>
        <w:tblStyle w:val="20"/>
        <w:tblW w:w="884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57" w:type="dxa"/>
          <w:bottom w:w="57" w:type="dxa"/>
          <w:right w:w="57" w:type="dxa"/>
        </w:tblCellMar>
      </w:tblPr>
      <w:tblGrid>
        <w:gridCol w:w="8845"/>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tblHeader/>
          <w:jc w:val="center"/>
        </w:trPr>
        <w:tc>
          <w:tcPr>
            <w:tcW w:w="884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top"/>
          </w:tcPr>
          <w:p>
            <w:pPr>
              <w:widowControl/>
              <w:pBdr>
                <w:top w:val="none" w:color="auto" w:sz="0" w:space="0"/>
                <w:left w:val="none" w:color="auto" w:sz="0" w:space="0"/>
                <w:bottom w:val="none" w:color="auto" w:sz="0" w:space="0"/>
                <w:right w:val="none" w:color="auto" w:sz="0" w:space="0"/>
                <w:between w:val="none" w:color="auto" w:sz="0" w:space="0"/>
              </w:pBdr>
              <w:snapToGrid/>
              <w:spacing w:beforeLines="-2147483648" w:afterLines="-2147483648" w:line="360" w:lineRule="auto"/>
              <w:ind w:firstLine="0" w:firstLineChars="0"/>
              <w:jc w:val="center"/>
              <w:outlineLvl w:val="0"/>
              <w:rPr>
                <w:rFonts w:hint="default" w:ascii="Times New Roman" w:hAnsi="Times New Roman" w:cs="Times New Roman"/>
                <w:b/>
                <w:bCs/>
                <w:color w:val="000000" w:themeColor="text1"/>
                <w:sz w:val="24"/>
                <w:highlight w:val="none"/>
                <w:lang w:val="en-US" w:eastAsia="zh-CN"/>
                <w14:textFill>
                  <w14:solidFill>
                    <w14:schemeClr w14:val="tx1"/>
                  </w14:solidFill>
                </w14:textFill>
              </w:rPr>
            </w:pPr>
            <w:bookmarkStart w:id="1363" w:name="_Toc31773"/>
            <w:bookmarkStart w:id="1364" w:name="_Toc20981"/>
            <w:bookmarkStart w:id="1365" w:name="_Toc26724"/>
            <w:bookmarkStart w:id="1366" w:name="_Toc5980"/>
            <w:bookmarkStart w:id="1367" w:name="_Toc132"/>
            <w:bookmarkStart w:id="1368" w:name="_Toc16424"/>
            <w:bookmarkStart w:id="1369" w:name="_Toc8917"/>
            <w:bookmarkStart w:id="1370" w:name="_Toc5229"/>
            <w:bookmarkStart w:id="1371" w:name="_Toc9262"/>
            <w:bookmarkStart w:id="1372" w:name="_Toc15819"/>
            <w:r>
              <w:rPr>
                <w:rFonts w:hint="eastAsia" w:ascii="楷体" w:hAnsi="楷体" w:eastAsia="楷体" w:cs="楷体"/>
                <w:b w:val="0"/>
                <w:bCs/>
                <w:color w:val="000000"/>
                <w:sz w:val="28"/>
                <w:szCs w:val="28"/>
                <w:highlight w:val="none"/>
                <w:shd w:val="clear" w:color="auto" w:fill="FFFFFF"/>
              </w:rPr>
              <w:t>专栏1</w:t>
            </w:r>
            <w:r>
              <w:rPr>
                <w:rFonts w:hint="eastAsia" w:ascii="楷体" w:hAnsi="楷体" w:eastAsia="楷体" w:cs="楷体"/>
                <w:b w:val="0"/>
                <w:bCs/>
                <w:color w:val="000000"/>
                <w:sz w:val="28"/>
                <w:szCs w:val="28"/>
                <w:highlight w:val="none"/>
                <w:shd w:val="clear" w:color="auto" w:fill="FFFFFF"/>
                <w:lang w:val="en-US" w:eastAsia="zh-CN"/>
              </w:rPr>
              <w:t>1</w:t>
            </w:r>
            <w:r>
              <w:rPr>
                <w:rFonts w:hint="eastAsia" w:ascii="楷体" w:hAnsi="楷体" w:eastAsia="楷体" w:cs="楷体"/>
                <w:b w:val="0"/>
                <w:bCs/>
                <w:color w:val="000000"/>
                <w:sz w:val="28"/>
                <w:szCs w:val="28"/>
                <w:highlight w:val="none"/>
                <w:shd w:val="clear" w:color="auto" w:fill="FFFFFF"/>
              </w:rPr>
              <w:t xml:space="preserve">  进一步深化农村改革工程</w:t>
            </w:r>
            <w:bookmarkEnd w:id="1363"/>
            <w:bookmarkEnd w:id="1364"/>
            <w:bookmarkEnd w:id="1365"/>
            <w:bookmarkEnd w:id="1366"/>
            <w:bookmarkEnd w:id="1367"/>
            <w:bookmarkEnd w:id="1368"/>
            <w:bookmarkEnd w:id="1369"/>
            <w:bookmarkEnd w:id="1370"/>
            <w:bookmarkEnd w:id="1371"/>
            <w:bookmarkEnd w:id="1372"/>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pBdr>
                <w:top w:val="none" w:color="auto" w:sz="0" w:space="0"/>
                <w:left w:val="none" w:color="auto" w:sz="0" w:space="0"/>
                <w:bottom w:val="none" w:color="auto" w:sz="0" w:space="0"/>
                <w:right w:val="none" w:color="auto" w:sz="0" w:space="0"/>
                <w:between w:val="none" w:color="auto" w:sz="0" w:space="0"/>
              </w:pBdr>
              <w:spacing w:line="440" w:lineRule="exact"/>
              <w:ind w:firstLine="0" w:firstLineChars="0"/>
              <w:rPr>
                <w:rFonts w:hint="default" w:ascii="Times New Roman" w:hAnsi="Times New Roman" w:cs="Times New Roman" w:eastAsiaTheme="minorEastAsia"/>
                <w:b/>
                <w:bCs/>
                <w:color w:val="000000" w:themeColor="text1"/>
                <w:sz w:val="24"/>
                <w:szCs w:val="24"/>
                <w:highlight w:val="none"/>
                <w:lang w:val="en-US" w:eastAsia="zh-CN"/>
                <w14:textFill>
                  <w14:solidFill>
                    <w14:schemeClr w14:val="tx1"/>
                  </w14:solidFill>
                </w14:textFill>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01</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统筹推进农村土地制度改革</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auto"/>
                <w:sz w:val="28"/>
                <w:szCs w:val="28"/>
                <w:highlight w:val="none"/>
                <w:u w:val="none"/>
                <w:shd w:val="clear" w:color="auto" w:fill="auto"/>
                <w:lang w:val="en-US" w:eastAsia="zh-CN"/>
              </w:rPr>
              <w:t>完成第二轮土地承包到期后再延长三十年试点任务。有序</w:t>
            </w:r>
            <w:r>
              <w:rPr>
                <w:rFonts w:hint="eastAsia" w:ascii="Times New Roman" w:hAnsi="Times New Roman" w:eastAsia="仿宋_GB2312" w:cs="Times New Roman"/>
                <w:b w:val="0"/>
                <w:bCs w:val="0"/>
                <w:color w:val="auto"/>
                <w:sz w:val="28"/>
                <w:szCs w:val="28"/>
                <w:highlight w:val="none"/>
                <w:u w:val="none"/>
                <w:shd w:val="clear" w:color="auto" w:fill="auto"/>
              </w:rPr>
              <w:t>推进农村集体经营性建设用地入市改革</w:t>
            </w:r>
            <w:r>
              <w:rPr>
                <w:rFonts w:hint="eastAsia" w:ascii="Times New Roman" w:hAnsi="Times New Roman" w:eastAsia="仿宋_GB2312" w:cs="Times New Roman"/>
                <w:b w:val="0"/>
                <w:bCs w:val="0"/>
                <w:color w:val="auto"/>
                <w:sz w:val="28"/>
                <w:szCs w:val="28"/>
                <w:highlight w:val="none"/>
                <w:u w:val="none"/>
                <w:shd w:val="clear" w:color="auto" w:fill="auto"/>
                <w:lang w:eastAsia="zh-CN"/>
              </w:rPr>
              <w:t>。</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0" w:leftChars="0" w:firstLine="0" w:firstLineChars="0"/>
              <w:outlineLvl w:val="9"/>
              <w:rPr>
                <w:rFonts w:hint="default" w:ascii="Times New Roman" w:hAnsi="Times New Roman" w:cs="Times New Roman" w:eastAsiaTheme="minorEastAsia"/>
                <w:b/>
                <w:bCs/>
                <w:color w:val="000000" w:themeColor="text1"/>
                <w:sz w:val="24"/>
                <w:szCs w:val="24"/>
                <w:highlight w:val="none"/>
                <w:lang w:val="en-US" w:eastAsia="zh-CN"/>
                <w14:textFill>
                  <w14:solidFill>
                    <w14:schemeClr w14:val="tx1"/>
                  </w14:solidFill>
                </w14:textFill>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02</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持续发展壮大新型农村集体经济</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color w:val="auto"/>
                <w:sz w:val="28"/>
                <w:szCs w:val="28"/>
                <w:highlight w:val="none"/>
                <w:u w:val="none"/>
                <w:shd w:val="clear" w:color="auto" w:fill="auto"/>
                <w:lang w:eastAsia="zh-CN"/>
              </w:rPr>
              <w:t>持续开展年度农村集体资产清查核资工作</w:t>
            </w:r>
            <w:r>
              <w:rPr>
                <w:rFonts w:hint="eastAsia" w:ascii="Times New Roman" w:hAnsi="Times New Roman" w:eastAsia="仿宋_GB2312" w:cs="Times New Roman"/>
                <w:color w:val="auto"/>
                <w:sz w:val="28"/>
                <w:szCs w:val="28"/>
                <w:highlight w:val="none"/>
                <w:u w:val="none"/>
                <w:shd w:val="clear" w:color="auto" w:fill="auto"/>
                <w:lang w:val="en-US" w:eastAsia="zh-CN"/>
              </w:rPr>
              <w:t>，强化行政村对村小组集体资源资产的监督管理。优化升级“机器管‘三资’”一张网建设。</w:t>
            </w:r>
            <w:r>
              <w:rPr>
                <w:rFonts w:hint="eastAsia" w:ascii="Times New Roman" w:hAnsi="Times New Roman" w:eastAsia="仿宋_GB2312" w:cs="Times New Roman"/>
                <w:color w:val="auto"/>
                <w:sz w:val="28"/>
                <w:szCs w:val="28"/>
                <w:highlight w:val="none"/>
                <w:u w:val="none"/>
                <w:shd w:val="clear" w:color="auto" w:fill="auto"/>
                <w:lang w:eastAsia="zh-CN"/>
              </w:rPr>
              <w:t>鼓励农村集体经济组织“入链、入园、抱团”</w:t>
            </w:r>
            <w:r>
              <w:rPr>
                <w:rFonts w:hint="eastAsia" w:ascii="Times New Roman" w:hAnsi="Times New Roman" w:eastAsia="仿宋_GB2312" w:cs="Times New Roman"/>
                <w:color w:val="auto"/>
                <w:sz w:val="28"/>
                <w:szCs w:val="28"/>
                <w:highlight w:val="none"/>
                <w:u w:val="none"/>
                <w:shd w:val="clear" w:color="auto" w:fill="auto"/>
                <w:lang w:val="en-US" w:eastAsia="zh-CN"/>
              </w:rPr>
              <w:t>。</w:t>
            </w:r>
            <w:r>
              <w:rPr>
                <w:rFonts w:hint="eastAsia" w:ascii="Times New Roman" w:hAnsi="Times New Roman" w:eastAsia="仿宋_GB2312" w:cs="Times New Roman"/>
                <w:color w:val="auto"/>
                <w:sz w:val="28"/>
                <w:szCs w:val="28"/>
                <w:highlight w:val="none"/>
                <w:u w:val="none"/>
                <w:shd w:val="clear" w:color="auto" w:fill="auto"/>
              </w:rPr>
              <w:t>推动</w:t>
            </w:r>
            <w:r>
              <w:rPr>
                <w:rFonts w:hint="eastAsia" w:ascii="Times New Roman" w:hAnsi="Times New Roman" w:eastAsia="仿宋_GB2312" w:cs="Times New Roman"/>
                <w:color w:val="auto"/>
                <w:sz w:val="28"/>
                <w:szCs w:val="28"/>
                <w:highlight w:val="none"/>
                <w:u w:val="none"/>
                <w:shd w:val="clear" w:color="auto" w:fill="auto"/>
                <w:lang w:eastAsia="zh-CN"/>
              </w:rPr>
              <w:t>集体</w:t>
            </w:r>
            <w:r>
              <w:rPr>
                <w:rFonts w:hint="eastAsia" w:ascii="Times New Roman" w:hAnsi="Times New Roman" w:eastAsia="仿宋_GB2312" w:cs="Times New Roman"/>
                <w:color w:val="auto"/>
                <w:sz w:val="28"/>
                <w:szCs w:val="28"/>
                <w:highlight w:val="none"/>
                <w:u w:val="none"/>
                <w:shd w:val="clear" w:color="auto" w:fill="auto"/>
              </w:rPr>
              <w:t>资产处置规范化</w:t>
            </w:r>
            <w:r>
              <w:rPr>
                <w:rFonts w:hint="eastAsia" w:ascii="Times New Roman" w:hAnsi="Times New Roman" w:eastAsia="仿宋_GB2312" w:cs="Times New Roman"/>
                <w:color w:val="auto"/>
                <w:sz w:val="28"/>
                <w:szCs w:val="28"/>
                <w:highlight w:val="none"/>
                <w:u w:val="none"/>
                <w:shd w:val="clear" w:color="auto" w:fill="auto"/>
                <w:lang w:val="en-US" w:eastAsia="zh-CN"/>
              </w:rPr>
              <w:t>。</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left w:val="single" w:color="auto" w:sz="4" w:space="0"/>
              <w:bottom w:val="single" w:color="auto" w:sz="4" w:space="0"/>
              <w:right w:val="single" w:color="auto" w:sz="4" w:space="0"/>
            </w:tcBorders>
            <w:shd w:val="clear" w:color="auto" w:fill="F1F1F1" w:themeFill="background1" w:themeFillShade="F2"/>
            <w:vAlign w:val="top"/>
          </w:tcPr>
          <w:p>
            <w:pPr>
              <w:pBdr>
                <w:top w:val="none" w:color="auto" w:sz="0" w:space="0"/>
                <w:left w:val="none" w:color="auto" w:sz="0" w:space="0"/>
                <w:bottom w:val="none" w:color="auto" w:sz="0" w:space="0"/>
                <w:right w:val="none" w:color="auto" w:sz="0" w:space="0"/>
                <w:between w:val="none" w:color="auto" w:sz="0" w:space="0"/>
              </w:pBdr>
              <w:spacing w:line="440" w:lineRule="exact"/>
              <w:ind w:firstLine="0" w:firstLineChars="0"/>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03</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推动垦地深度融合发展</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支持农垦实施全域土地综合整治“以新补旧”助力耕地“非粮化”整改复耕。</w:t>
            </w:r>
            <w:r>
              <w:rPr>
                <w:rFonts w:hint="eastAsia" w:ascii="Times New Roman" w:hAnsi="Times New Roman" w:eastAsia="仿宋_GB2312" w:cs="Times New Roman"/>
                <w:color w:val="auto"/>
                <w:sz w:val="28"/>
                <w:szCs w:val="28"/>
                <w:highlight w:val="none"/>
                <w:u w:val="none"/>
                <w:shd w:val="clear" w:color="auto" w:fill="auto"/>
              </w:rPr>
              <w:t>建设农垦土地资源“一张图”</w:t>
            </w:r>
            <w:r>
              <w:rPr>
                <w:rFonts w:hint="eastAsia" w:ascii="Times New Roman" w:hAnsi="Times New Roman" w:eastAsia="仿宋_GB2312" w:cs="Times New Roman"/>
                <w:color w:val="auto"/>
                <w:sz w:val="28"/>
                <w:szCs w:val="28"/>
                <w:highlight w:val="none"/>
                <w:u w:val="none"/>
                <w:shd w:val="clear" w:color="auto" w:fill="auto"/>
                <w:lang w:eastAsia="zh-CN"/>
              </w:rPr>
              <w:t>、</w:t>
            </w:r>
            <w:r>
              <w:rPr>
                <w:rFonts w:hint="eastAsia" w:ascii="Times New Roman" w:hAnsi="Times New Roman" w:eastAsia="仿宋_GB2312" w:cs="Times New Roman"/>
                <w:color w:val="auto"/>
                <w:sz w:val="28"/>
                <w:szCs w:val="28"/>
                <w:highlight w:val="none"/>
                <w:u w:val="none"/>
                <w:shd w:val="clear" w:color="auto" w:fill="auto"/>
              </w:rPr>
              <w:t>海南垦区更新项目</w:t>
            </w:r>
            <w:r>
              <w:rPr>
                <w:rFonts w:hint="eastAsia" w:ascii="Times New Roman" w:hAnsi="Times New Roman" w:eastAsia="仿宋_GB2312" w:cs="Times New Roman"/>
                <w:color w:val="auto"/>
                <w:sz w:val="28"/>
                <w:szCs w:val="28"/>
                <w:highlight w:val="none"/>
                <w:u w:val="none"/>
                <w:shd w:val="clear" w:color="auto" w:fill="auto"/>
                <w:lang w:eastAsia="zh-CN"/>
              </w:rPr>
              <w:t>。</w:t>
            </w:r>
            <w:r>
              <w:rPr>
                <w:rFonts w:hint="eastAsia" w:ascii="Times New Roman" w:hAnsi="Times New Roman" w:eastAsia="仿宋_GB2312" w:cs="Times New Roman"/>
                <w:color w:val="auto"/>
                <w:sz w:val="28"/>
                <w:szCs w:val="28"/>
                <w:highlight w:val="none"/>
                <w:u w:val="none"/>
                <w:shd w:val="clear" w:color="auto" w:fill="auto"/>
              </w:rPr>
              <w:t>按照“分类处置、建新拆旧”原则加快推进垦区危房改造。</w:t>
            </w:r>
            <w:r>
              <w:rPr>
                <w:rFonts w:hint="eastAsia" w:ascii="Times New Roman" w:hAnsi="Times New Roman" w:eastAsia="仿宋_GB2312" w:cs="Times New Roman"/>
                <w:b w:val="0"/>
                <w:bCs w:val="0"/>
                <w:color w:val="auto"/>
                <w:sz w:val="28"/>
                <w:szCs w:val="28"/>
                <w:highlight w:val="none"/>
                <w:u w:val="none"/>
                <w:shd w:val="clear" w:color="auto" w:fill="auto"/>
                <w:lang w:val="en-US" w:eastAsia="zh-CN"/>
              </w:rPr>
              <w:t>推动建立垦区特色与优势产业体系</w:t>
            </w:r>
            <w:r>
              <w:rPr>
                <w:rFonts w:hint="eastAsia" w:ascii="Times New Roman" w:hAnsi="Times New Roman" w:eastAsia="仿宋_GB2312" w:cs="Times New Roman"/>
                <w:color w:val="auto"/>
                <w:sz w:val="28"/>
                <w:szCs w:val="28"/>
                <w:highlight w:val="none"/>
                <w:u w:val="none"/>
                <w:shd w:val="clear" w:color="auto" w:fill="auto"/>
                <w:lang w:eastAsia="zh-CN"/>
              </w:rPr>
              <w:t>。</w:t>
            </w:r>
          </w:p>
        </w:tc>
      </w:tr>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57" w:type="dxa"/>
            <w:bottom w:w="57" w:type="dxa"/>
            <w:right w:w="57" w:type="dxa"/>
          </w:tblCellMar>
        </w:tblPrEx>
        <w:trPr>
          <w:jc w:val="center"/>
        </w:trPr>
        <w:tc>
          <w:tcPr>
            <w:tcW w:w="8845" w:type="dxa"/>
            <w:tcBorders>
              <w:top w:val="single" w:color="auto" w:sz="4" w:space="0"/>
            </w:tcBorders>
            <w:shd w:val="clear" w:color="auto" w:fill="F1F1F1" w:themeFill="background1" w:themeFillShade="F2"/>
            <w:vAlign w:val="top"/>
          </w:tcPr>
          <w:p>
            <w:pPr>
              <w:pBdr>
                <w:top w:val="none" w:color="auto" w:sz="0" w:space="0"/>
                <w:left w:val="none" w:color="auto" w:sz="0" w:space="0"/>
                <w:bottom w:val="none" w:color="auto" w:sz="0" w:space="0"/>
                <w:right w:val="none" w:color="auto" w:sz="0" w:space="0"/>
                <w:between w:val="none" w:color="auto" w:sz="0" w:space="0"/>
              </w:pBdr>
              <w:spacing w:line="440" w:lineRule="exact"/>
              <w:ind w:firstLine="0" w:firstLineChars="0"/>
              <w:rPr>
                <w:rFonts w:hint="default" w:ascii="Times New Roman" w:hAnsi="Times New Roman" w:cs="Times New Roman"/>
                <w:b/>
                <w:bCs/>
                <w:color w:val="000000" w:themeColor="text1"/>
                <w:sz w:val="24"/>
                <w:highlight w:val="none"/>
                <w:lang w:val="en-US" w:eastAsia="zh-CN"/>
                <w14:textFill>
                  <w14:solidFill>
                    <w14:schemeClr w14:val="tx1"/>
                  </w14:solidFill>
                </w14:textFill>
              </w:rPr>
            </w:pPr>
            <w:r>
              <w:rPr>
                <w:rFonts w:hint="eastAsia" w:ascii="楷体" w:hAnsi="楷体" w:eastAsia="楷体" w:cs="楷体"/>
                <w:b w:val="0"/>
                <w:bCs w:val="0"/>
                <w:color w:val="auto"/>
                <w:kern w:val="2"/>
                <w:sz w:val="28"/>
                <w:szCs w:val="28"/>
                <w:highlight w:val="none"/>
                <w:u w:val="none"/>
                <w:shd w:val="clear" w:color="auto" w:fill="auto"/>
                <w:lang w:val="en-US" w:eastAsia="zh-CN" w:bidi="ar-SA"/>
              </w:rPr>
              <w:t>04</w:t>
            </w:r>
            <w:r>
              <w:rPr>
                <w:rFonts w:hint="eastAsia" w:ascii="楷体" w:hAnsi="楷体" w:eastAsia="楷体" w:cs="楷体"/>
                <w:b w:val="0"/>
                <w:bCs w:val="0"/>
                <w:i w:val="0"/>
                <w:caps w:val="0"/>
                <w:color w:val="auto"/>
                <w:spacing w:val="0"/>
                <w:kern w:val="2"/>
                <w:sz w:val="28"/>
                <w:szCs w:val="28"/>
                <w:highlight w:val="none"/>
                <w:u w:val="none"/>
                <w:shd w:val="clear" w:color="auto" w:fill="auto"/>
                <w:lang w:val="en-US" w:eastAsia="zh-CN" w:bidi="ar-SA"/>
              </w:rPr>
              <w:t xml:space="preserve">  </w:t>
            </w:r>
            <w:r>
              <w:rPr>
                <w:rFonts w:hint="eastAsia" w:ascii="楷体_GB2312" w:hAnsi="楷体_GB2312" w:eastAsia="楷体_GB2312" w:cs="楷体_GB2312"/>
                <w:b w:val="0"/>
                <w:bCs w:val="0"/>
                <w:color w:val="auto"/>
                <w:sz w:val="28"/>
                <w:szCs w:val="28"/>
                <w:highlight w:val="none"/>
                <w:u w:val="none"/>
                <w:shd w:val="clear" w:color="auto" w:fill="auto"/>
                <w:lang w:val="en-US" w:eastAsia="zh-CN"/>
              </w:rPr>
              <w:t>深化供销合作社综合改革</w:t>
            </w:r>
          </w:p>
          <w:p>
            <w:pPr>
              <w:pBdr>
                <w:top w:val="none" w:color="auto" w:sz="0" w:space="0"/>
                <w:left w:val="none" w:color="auto" w:sz="0" w:space="0"/>
                <w:bottom w:val="none" w:color="auto" w:sz="0" w:space="0"/>
                <w:right w:val="none" w:color="auto" w:sz="0" w:space="0"/>
                <w:between w:val="none" w:color="auto" w:sz="0" w:space="0"/>
              </w:pBdr>
              <w:tabs>
                <w:tab w:val="left" w:pos="960"/>
              </w:tabs>
              <w:spacing w:line="440" w:lineRule="exact"/>
              <w:ind w:left="630" w:leftChars="300" w:firstLine="0" w:firstLineChars="0"/>
              <w:outlineLvl w:val="9"/>
              <w:rPr>
                <w:rFonts w:hint="default" w:ascii="Times New Roman" w:hAnsi="Times New Roman" w:cs="Times New Roman" w:eastAsiaTheme="minorEastAsia"/>
                <w:b w:val="0"/>
                <w:bCs w:val="0"/>
                <w:color w:val="000000" w:themeColor="text1"/>
                <w:sz w:val="24"/>
                <w:highlight w:val="none"/>
                <w:lang w:val="en-US" w:eastAsia="zh-CN"/>
                <w14:textFill>
                  <w14:solidFill>
                    <w14:schemeClr w14:val="tx1"/>
                  </w14:solidFill>
                </w14:textFill>
              </w:rPr>
            </w:pPr>
            <w:r>
              <w:rPr>
                <w:rFonts w:hint="eastAsia" w:ascii="Times New Roman" w:hAnsi="Times New Roman" w:eastAsia="仿宋_GB2312" w:cs="Times New Roman"/>
                <w:b w:val="0"/>
                <w:bCs w:val="0"/>
                <w:color w:val="auto"/>
                <w:sz w:val="28"/>
                <w:szCs w:val="28"/>
                <w:highlight w:val="none"/>
                <w:u w:val="none"/>
                <w:shd w:val="clear" w:color="auto" w:fill="auto"/>
              </w:rPr>
              <w:t>推进</w:t>
            </w:r>
            <w:r>
              <w:rPr>
                <w:rFonts w:hint="eastAsia" w:ascii="Times New Roman" w:hAnsi="Times New Roman" w:eastAsia="仿宋_GB2312" w:cs="Times New Roman"/>
                <w:b w:val="0"/>
                <w:bCs w:val="0"/>
                <w:color w:val="auto"/>
                <w:sz w:val="28"/>
                <w:szCs w:val="28"/>
                <w:highlight w:val="none"/>
                <w:u w:val="none"/>
                <w:shd w:val="clear" w:color="auto" w:fill="auto"/>
                <w:lang w:eastAsia="zh-CN"/>
              </w:rPr>
              <w:t>供销社</w:t>
            </w:r>
            <w:r>
              <w:rPr>
                <w:rFonts w:hint="eastAsia" w:ascii="Times New Roman" w:hAnsi="Times New Roman" w:eastAsia="仿宋_GB2312" w:cs="Times New Roman"/>
                <w:b w:val="0"/>
                <w:bCs w:val="0"/>
                <w:color w:val="auto"/>
                <w:sz w:val="28"/>
                <w:szCs w:val="28"/>
                <w:highlight w:val="none"/>
                <w:u w:val="none"/>
                <w:shd w:val="clear" w:color="auto" w:fill="auto"/>
              </w:rPr>
              <w:t>社</w:t>
            </w:r>
            <w:r>
              <w:rPr>
                <w:rFonts w:hint="eastAsia" w:ascii="Times New Roman" w:hAnsi="Times New Roman" w:eastAsia="仿宋_GB2312" w:cs="Times New Roman"/>
                <w:b w:val="0"/>
                <w:bCs w:val="0"/>
                <w:color w:val="auto"/>
                <w:sz w:val="28"/>
                <w:szCs w:val="28"/>
                <w:highlight w:val="none"/>
                <w:u w:val="none"/>
                <w:shd w:val="clear" w:color="auto" w:fill="auto"/>
                <w:lang w:eastAsia="zh-CN"/>
              </w:rPr>
              <w:t>有</w:t>
            </w:r>
            <w:r>
              <w:rPr>
                <w:rFonts w:hint="eastAsia" w:ascii="Times New Roman" w:hAnsi="Times New Roman" w:eastAsia="仿宋_GB2312" w:cs="Times New Roman"/>
                <w:b w:val="0"/>
                <w:bCs w:val="0"/>
                <w:color w:val="auto"/>
                <w:sz w:val="28"/>
                <w:szCs w:val="28"/>
                <w:highlight w:val="none"/>
                <w:u w:val="none"/>
                <w:shd w:val="clear" w:color="auto" w:fill="auto"/>
              </w:rPr>
              <w:t>企业改制</w:t>
            </w:r>
            <w:r>
              <w:rPr>
                <w:rFonts w:hint="eastAsia" w:ascii="Times New Roman" w:hAnsi="Times New Roman" w:eastAsia="仿宋_GB2312" w:cs="Times New Roman"/>
                <w:b w:val="0"/>
                <w:bCs w:val="0"/>
                <w:color w:val="auto"/>
                <w:sz w:val="28"/>
                <w:szCs w:val="28"/>
                <w:highlight w:val="none"/>
                <w:u w:val="none"/>
                <w:shd w:val="clear" w:color="auto" w:fill="auto"/>
                <w:lang w:eastAsia="zh-CN"/>
              </w:rPr>
              <w:t>，</w:t>
            </w:r>
            <w:r>
              <w:rPr>
                <w:rFonts w:hint="eastAsia" w:ascii="Times New Roman" w:hAnsi="Times New Roman" w:eastAsia="仿宋_GB2312" w:cs="Times New Roman"/>
                <w:b w:val="0"/>
                <w:bCs w:val="0"/>
                <w:color w:val="auto"/>
                <w:sz w:val="28"/>
                <w:szCs w:val="28"/>
                <w:highlight w:val="none"/>
                <w:u w:val="none"/>
                <w:shd w:val="clear" w:color="auto" w:fill="auto"/>
              </w:rPr>
              <w:t>推进基层社改革发展</w:t>
            </w:r>
            <w:r>
              <w:rPr>
                <w:rFonts w:hint="eastAsia" w:ascii="Times New Roman" w:hAnsi="Times New Roman" w:eastAsia="仿宋_GB2312" w:cs="Times New Roman"/>
                <w:b w:val="0"/>
                <w:bCs w:val="0"/>
                <w:color w:val="auto"/>
                <w:sz w:val="28"/>
                <w:szCs w:val="28"/>
                <w:highlight w:val="none"/>
                <w:u w:val="none"/>
                <w:shd w:val="clear" w:color="auto" w:fill="auto"/>
                <w:lang w:eastAsia="zh-CN"/>
              </w:rPr>
              <w:t>，</w:t>
            </w:r>
            <w:r>
              <w:rPr>
                <w:rFonts w:hint="eastAsia" w:ascii="Times New Roman" w:hAnsi="Times New Roman" w:eastAsia="仿宋_GB2312" w:cs="Times New Roman"/>
                <w:color w:val="auto"/>
                <w:sz w:val="28"/>
                <w:szCs w:val="28"/>
                <w:highlight w:val="none"/>
                <w:u w:val="none"/>
                <w:shd w:val="clear" w:color="auto" w:fill="auto"/>
              </w:rPr>
              <w:t>实施供销合作社农产品现代流通服务网络品质化提升工程</w:t>
            </w:r>
            <w:r>
              <w:rPr>
                <w:rFonts w:hint="eastAsia" w:ascii="Times New Roman" w:hAnsi="Times New Roman" w:eastAsia="仿宋_GB2312" w:cs="Times New Roman"/>
                <w:color w:val="auto"/>
                <w:sz w:val="28"/>
                <w:szCs w:val="28"/>
                <w:highlight w:val="none"/>
                <w:u w:val="none"/>
                <w:shd w:val="clear" w:color="auto" w:fill="auto"/>
                <w:lang w:eastAsia="zh-CN"/>
              </w:rPr>
              <w:t>。</w:t>
            </w:r>
            <w:r>
              <w:rPr>
                <w:rFonts w:hint="eastAsia" w:ascii="Times New Roman" w:hAnsi="Times New Roman" w:eastAsia="仿宋_GB2312" w:cs="Times New Roman"/>
                <w:color w:val="auto"/>
                <w:sz w:val="28"/>
                <w:szCs w:val="28"/>
                <w:highlight w:val="none"/>
                <w:u w:val="none"/>
                <w:shd w:val="clear" w:color="auto" w:fill="auto"/>
                <w:lang w:val="en-US" w:eastAsia="zh-CN"/>
              </w:rPr>
              <w:t>推动</w:t>
            </w:r>
            <w:r>
              <w:rPr>
                <w:rFonts w:hint="eastAsia" w:ascii="Times New Roman" w:hAnsi="Times New Roman" w:eastAsia="仿宋_GB2312" w:cs="Times New Roman"/>
                <w:color w:val="auto"/>
                <w:sz w:val="28"/>
                <w:szCs w:val="28"/>
                <w:highlight w:val="none"/>
                <w:u w:val="none"/>
                <w:shd w:val="clear" w:color="auto" w:fill="auto"/>
                <w:lang w:eastAsia="zh-CN"/>
              </w:rPr>
              <w:t>回收点、中转站、分拣中心三级再生资源回收网络</w:t>
            </w:r>
            <w:r>
              <w:rPr>
                <w:rFonts w:hint="eastAsia" w:ascii="Times New Roman" w:hAnsi="Times New Roman" w:eastAsia="仿宋_GB2312" w:cs="Times New Roman"/>
                <w:color w:val="auto"/>
                <w:sz w:val="28"/>
                <w:szCs w:val="28"/>
                <w:highlight w:val="none"/>
                <w:u w:val="none"/>
                <w:shd w:val="clear" w:color="auto" w:fill="auto"/>
                <w:lang w:val="en-US" w:eastAsia="zh-CN"/>
              </w:rPr>
              <w:t>建设</w:t>
            </w:r>
            <w:r>
              <w:rPr>
                <w:rFonts w:hint="eastAsia" w:ascii="Times New Roman" w:hAnsi="Times New Roman" w:eastAsia="仿宋_GB2312" w:cs="Times New Roman"/>
                <w:color w:val="auto"/>
                <w:sz w:val="28"/>
                <w:szCs w:val="28"/>
                <w:highlight w:val="none"/>
                <w:u w:val="none"/>
                <w:shd w:val="clear" w:color="auto" w:fill="auto"/>
                <w:lang w:eastAsia="zh-CN"/>
              </w:rPr>
              <w:t>。</w:t>
            </w:r>
          </w:p>
        </w:tc>
      </w:tr>
    </w:tbl>
    <w:p>
      <w:pPr>
        <w:jc w:val="left"/>
        <w:rPr>
          <w:rFonts w:hint="default" w:ascii="Times New Roman" w:hAnsi="Times New Roman" w:eastAsia="方正小标宋简体" w:cs="Times New Roman"/>
          <w:color w:val="000000" w:themeColor="text1"/>
          <w:sz w:val="36"/>
          <w:szCs w:val="36"/>
          <w:highlight w:val="none"/>
          <w:lang w:val="en-US" w:eastAsia="zh-CN"/>
          <w14:textFill>
            <w14:solidFill>
              <w14:schemeClr w14:val="tx1"/>
            </w14:solidFill>
          </w14:textFill>
        </w:rPr>
      </w:pPr>
      <w:bookmarkStart w:id="1373" w:name="_Toc1823"/>
      <w:bookmarkStart w:id="1374" w:name="_Toc5141"/>
      <w:bookmarkStart w:id="1375" w:name="_Toc8558"/>
      <w:r>
        <w:rPr>
          <w:rFonts w:hint="default" w:ascii="Times New Roman" w:hAnsi="Times New Roman" w:eastAsia="方正小标宋简体" w:cs="Times New Roman"/>
          <w:color w:val="000000" w:themeColor="text1"/>
          <w:sz w:val="36"/>
          <w:szCs w:val="36"/>
          <w:highlight w:val="none"/>
          <w:lang w:val="en-US" w:eastAsia="zh-CN"/>
          <w14:textFill>
            <w14:solidFill>
              <w14:schemeClr w14:val="tx1"/>
            </w14:solidFill>
          </w14:textFill>
        </w:rPr>
        <w:br w:type="page"/>
      </w:r>
    </w:p>
    <w:p>
      <w:pPr>
        <w:jc w:val="center"/>
        <w:outlineLvl w:val="0"/>
        <w:rPr>
          <w:rFonts w:hint="eastAsia" w:ascii="黑体" w:hAnsi="黑体" w:eastAsia="黑体" w:cs="黑体"/>
          <w:color w:val="000000" w:themeColor="text1"/>
          <w:sz w:val="36"/>
          <w:szCs w:val="36"/>
          <w:highlight w:val="none"/>
          <w:lang w:val="en-US" w:eastAsia="zh-CN"/>
          <w14:textFill>
            <w14:solidFill>
              <w14:schemeClr w14:val="tx1"/>
            </w14:solidFill>
          </w14:textFill>
        </w:rPr>
      </w:pPr>
      <w:bookmarkStart w:id="1376" w:name="_Toc23239"/>
      <w:bookmarkStart w:id="1377" w:name="_Toc2633"/>
      <w:bookmarkStart w:id="1378" w:name="_Toc30807"/>
      <w:bookmarkStart w:id="1379" w:name="_Toc17845"/>
      <w:bookmarkStart w:id="1380" w:name="_Toc17876"/>
      <w:bookmarkStart w:id="1381" w:name="_Toc5665"/>
      <w:bookmarkStart w:id="1382" w:name="_Toc6061"/>
      <w:bookmarkStart w:id="1383" w:name="_Toc12472"/>
      <w:bookmarkStart w:id="1384" w:name="_Toc334"/>
      <w:bookmarkStart w:id="1385" w:name="_Toc445"/>
      <w:bookmarkStart w:id="1386" w:name="_Toc27542"/>
      <w:bookmarkStart w:id="1387" w:name="_Toc31431"/>
      <w:r>
        <w:rPr>
          <w:rFonts w:hint="eastAsia" w:ascii="黑体" w:hAnsi="黑体" w:eastAsia="黑体" w:cs="黑体"/>
          <w:color w:val="000000" w:themeColor="text1"/>
          <w:sz w:val="36"/>
          <w:szCs w:val="36"/>
          <w:highlight w:val="none"/>
          <w:lang w:val="en-US" w:eastAsia="zh-CN"/>
          <w14:textFill>
            <w14:solidFill>
              <w14:schemeClr w14:val="tx1"/>
            </w14:solidFill>
          </w14:textFill>
        </w:rPr>
        <w:t>第十章  健全规划实施保障机制</w:t>
      </w:r>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pPr>
        <w:keepNext w:val="0"/>
        <w:keepLines w:val="0"/>
        <w:pageBreakBefore w:val="0"/>
        <w:widowControl w:val="0"/>
        <w:kinsoku/>
        <w:wordWrap/>
        <w:overflowPunct/>
        <w:topLinePunct w:val="0"/>
        <w:autoSpaceDE/>
        <w:autoSpaceDN/>
        <w:bidi w:val="0"/>
        <w:adjustRightInd/>
        <w:snapToGrid w:val="0"/>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坚持和加强党</w:t>
      </w:r>
      <w:r>
        <w:rPr>
          <w:rFonts w:hint="eastAsia" w:ascii="仿宋_GB2312" w:hAnsi="仿宋_GB2312" w:eastAsia="仿宋_GB2312" w:cs="仿宋_GB2312"/>
          <w:color w:val="000000" w:themeColor="text1"/>
          <w:sz w:val="32"/>
          <w:szCs w:val="32"/>
          <w:highlight w:val="none"/>
          <w14:textFill>
            <w14:solidFill>
              <w14:schemeClr w14:val="tx1"/>
            </w14:solidFill>
          </w14:textFill>
        </w:rPr>
        <w:t>对“三农”</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工作的全面领导，健全农村工作领导体制机制，做好规划衔接和部门协调工作，调动各方面积极性，扎实有序推进海南农业农村现代化发展。</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388" w:name="_Toc15106"/>
      <w:bookmarkStart w:id="1389" w:name="_Toc7560"/>
      <w:bookmarkStart w:id="1390" w:name="_Toc22296"/>
      <w:bookmarkStart w:id="1391" w:name="_Toc5637"/>
      <w:bookmarkStart w:id="1392" w:name="_Toc19449"/>
      <w:bookmarkStart w:id="1393" w:name="_Toc15870"/>
      <w:bookmarkStart w:id="1394" w:name="_Toc182"/>
      <w:bookmarkStart w:id="1395" w:name="_Toc22509"/>
      <w:bookmarkStart w:id="1396" w:name="_Toc9602"/>
      <w:bookmarkStart w:id="1397" w:name="_Toc13060"/>
      <w:bookmarkStart w:id="1398" w:name="_Toc4145"/>
      <w:bookmarkStart w:id="1399" w:name="_Toc13032"/>
      <w:bookmarkStart w:id="1400" w:name="_Toc15237"/>
      <w:bookmarkStart w:id="1401" w:name="_Toc7620"/>
      <w:bookmarkStart w:id="1402" w:name="_Toc23403"/>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第一节 加强组织领导</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充分发挥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党总揽全局、协调各方的领导核心作用</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为推进规划实施提供强大动力和根本保障。建立省农业农村厅牵头协调，省级有关部门各负其责，各市县政府落实属地责任，合力推进、上下联动的工作机制。各级党委、政府要定期研究新时</w:t>
      </w:r>
      <w:r>
        <w:rPr>
          <w:rFonts w:hint="eastAsia" w:ascii="仿宋_GB2312" w:hAnsi="仿宋_GB2312" w:eastAsia="仿宋_GB2312" w:cs="仿宋_GB2312"/>
          <w:color w:val="000000" w:themeColor="text1"/>
          <w:sz w:val="32"/>
          <w:szCs w:val="32"/>
          <w:highlight w:val="none"/>
          <w14:textFill>
            <w14:solidFill>
              <w14:schemeClr w14:val="tx1"/>
            </w14:solidFill>
          </w14:textFill>
        </w:rPr>
        <w:t>代“三农”</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工作，将推进农业农村现代化建设列入重要议事日程，纳入国民经济和社会发展规划等，同时部署推动农业农村现代化建设各项目标任务落到实处。</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403" w:name="_Toc6812"/>
      <w:bookmarkStart w:id="1404" w:name="_Toc1561"/>
      <w:bookmarkStart w:id="1405" w:name="_Toc32469"/>
      <w:bookmarkStart w:id="1406" w:name="_Toc1594"/>
      <w:bookmarkStart w:id="1407" w:name="_Toc23401"/>
      <w:bookmarkStart w:id="1408" w:name="_Toc23252"/>
      <w:bookmarkStart w:id="1409" w:name="_Toc11052"/>
      <w:bookmarkStart w:id="1410" w:name="_Toc25279"/>
      <w:bookmarkStart w:id="1411" w:name="_Toc24985"/>
      <w:bookmarkStart w:id="1412" w:name="_Toc2170"/>
      <w:bookmarkStart w:id="1413" w:name="_Toc16646"/>
      <w:bookmarkStart w:id="1414" w:name="_Toc663"/>
      <w:bookmarkStart w:id="1415" w:name="_Toc3950"/>
      <w:bookmarkStart w:id="1416" w:name="_Toc18773"/>
      <w:bookmarkStart w:id="1417" w:name="_Toc8402"/>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第二节 强化政策支持</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用足用好海南自由贸易港系列政策支持农业农村加快发展。健全</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14:textFill>
            <w14:solidFill>
              <w14:schemeClr w14:val="tx1"/>
            </w14:solidFill>
          </w14:textFill>
        </w:rPr>
        <w:t>三农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投入优先保障机制，确保与乡村振兴目标任务相适应。支持行业主管部门逐步完善共享农庄、民宿、房车基地、康养产业等专项规划，并将有关项目纳入乡村振兴产业项目库，做好与国土空间规划的衔接。支持土地复合利用，多门类自然资源资产组合供应。建立健全乡村人才振兴工作体制机制，强化人才振兴保障措施。引导金融机构支持乡村振兴发展</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olor w:val="000000" w:themeColor="text1"/>
          <w:sz w:val="32"/>
          <w:szCs w:val="32"/>
          <w:highlight w:val="none"/>
          <w14:textFill>
            <w14:solidFill>
              <w14:schemeClr w14:val="tx1"/>
            </w14:solidFill>
          </w14:textFill>
        </w:rPr>
        <w:t>建立健全多层次涉农融资担保体系，完善涉农领域融资配套机制建设</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t>进一步完善政策性农业保险体系，推进农业保险</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“扩面、增品、提标”</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418" w:name="_Toc28918"/>
      <w:bookmarkStart w:id="1419" w:name="_Toc31011"/>
      <w:bookmarkStart w:id="1420" w:name="_Toc30820"/>
      <w:bookmarkStart w:id="1421" w:name="_Toc18420"/>
      <w:bookmarkStart w:id="1422" w:name="_Toc25492"/>
      <w:bookmarkStart w:id="1423" w:name="_Toc21586"/>
      <w:bookmarkStart w:id="1424" w:name="_Toc3685"/>
      <w:bookmarkStart w:id="1425" w:name="_Toc27642"/>
      <w:bookmarkStart w:id="1426" w:name="_Toc20155"/>
      <w:bookmarkStart w:id="1427" w:name="_Toc9126"/>
      <w:bookmarkStart w:id="1428" w:name="_Toc15501"/>
      <w:bookmarkStart w:id="1429" w:name="_Toc18292"/>
      <w:bookmarkStart w:id="1430" w:name="_Toc2759"/>
      <w:bookmarkStart w:id="1431" w:name="_Toc28483"/>
      <w:bookmarkStart w:id="1432" w:name="_Toc26373"/>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第三节 加大资金投入</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vertAlign w:val="baseline"/>
          <w:lang w:val="en-US" w:eastAsia="zh-CN"/>
          <w14:textFill>
            <w14:solidFill>
              <w14:schemeClr w14:val="tx1"/>
            </w14:solidFill>
          </w14:textFill>
        </w:rPr>
        <w:t>做好农业农村领域财政投入保障，落实土地出让收入支农政策。加强高质量农业农村项目开发储备，使用地方政府债券支持符合条件的项目建设。发挥财政投入引领作用，撬动更多社会资本投向农业农村。鼓励以市场化方式设立乡村振兴基金</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加强农业信贷担保</w:t>
      </w:r>
      <w:r>
        <w:rPr>
          <w:rFonts w:hint="eastAsia" w:ascii="仿宋_GB2312" w:hAnsi="仿宋_GB2312" w:eastAsia="仿宋_GB2312" w:cs="仿宋_GB2312"/>
          <w:color w:val="000000" w:themeColor="text1"/>
          <w:sz w:val="32"/>
          <w:szCs w:val="32"/>
          <w:highlight w:val="none"/>
          <w14:textFill>
            <w14:solidFill>
              <w14:schemeClr w14:val="tx1"/>
            </w14:solidFill>
          </w14:textFill>
        </w:rPr>
        <w:t>“双控”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业务考核，扩大政策性担保业务规模。</w:t>
      </w:r>
      <w:r>
        <w:rPr>
          <w:rFonts w:ascii="Times New Roman" w:hAnsi="Times New Roman" w:eastAsia="仿宋_GB2312" w:cs="Times New Roman"/>
          <w:i w:val="0"/>
          <w:iCs w:val="0"/>
          <w:caps w:val="0"/>
          <w:color w:val="000000" w:themeColor="text1"/>
          <w:spacing w:val="0"/>
          <w:sz w:val="32"/>
          <w:szCs w:val="32"/>
          <w:highlight w:val="none"/>
          <w14:textFill>
            <w14:solidFill>
              <w14:schemeClr w14:val="tx1"/>
            </w14:solidFill>
          </w14:textFill>
        </w:rPr>
        <w:t>拓宽农业保险服务领域</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，构建省市县农业信贷担保体系</w:t>
      </w:r>
      <w:r>
        <w:rPr>
          <w:rFonts w:hint="eastAsia" w:ascii="仿宋_GB2312" w:hAnsi="仿宋_GB2312" w:eastAsia="仿宋_GB2312" w:cs="仿宋_GB2312"/>
          <w:color w:val="000000" w:themeColor="text1"/>
          <w:sz w:val="32"/>
          <w:szCs w:val="32"/>
          <w:highlight w:val="none"/>
          <w14:textFill>
            <w14:solidFill>
              <w14:schemeClr w14:val="tx1"/>
            </w14:solidFill>
          </w14:textFill>
        </w:rPr>
        <w:t>和“政银担”</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风险分担机制。支持高标准农田建设</w:t>
      </w:r>
      <w:r>
        <w:rPr>
          <w:rFonts w:ascii="Times New Roman" w:hAnsi="Times New Roman" w:eastAsia="仿宋_GB2312" w:cs="Times New Roman"/>
          <w:i w:val="0"/>
          <w:iCs w:val="0"/>
          <w:caps w:val="0"/>
          <w:color w:val="auto"/>
          <w:spacing w:val="0"/>
          <w:sz w:val="32"/>
          <w:szCs w:val="32"/>
          <w:highlight w:val="none"/>
          <w:shd w:val="clear"/>
        </w:rPr>
        <w:t>产生的</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新增耕地</w:t>
      </w:r>
      <w:r>
        <w:rPr>
          <w:rFonts w:ascii="Times New Roman" w:hAnsi="Times New Roman" w:eastAsia="仿宋_GB2312" w:cs="Times New Roman"/>
          <w:i w:val="0"/>
          <w:iCs w:val="0"/>
          <w:caps w:val="0"/>
          <w:color w:val="auto"/>
          <w:spacing w:val="0"/>
          <w:sz w:val="32"/>
          <w:szCs w:val="32"/>
          <w:highlight w:val="none"/>
          <w:shd w:val="clear"/>
        </w:rPr>
        <w:t>指标</w:t>
      </w:r>
      <w:r>
        <w:rPr>
          <w:rFonts w:hint="default" w:ascii="Times New Roman" w:hAnsi="Times New Roman" w:eastAsia="仿宋_GB2312" w:cs="Times New Roman"/>
          <w:color w:val="auto"/>
          <w:sz w:val="32"/>
          <w:szCs w:val="32"/>
          <w:highlight w:val="none"/>
        </w:rPr>
        <w:t>调剂收益</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优先用于农田建设</w:t>
      </w:r>
      <w:r>
        <w:rPr>
          <w:rFonts w:ascii="Times New Roman" w:hAnsi="Times New Roman" w:eastAsia="仿宋_GB2312" w:cs="Times New Roman"/>
          <w:i w:val="0"/>
          <w:iCs w:val="0"/>
          <w:caps w:val="0"/>
          <w:color w:val="auto"/>
          <w:spacing w:val="0"/>
          <w:sz w:val="32"/>
          <w:szCs w:val="32"/>
          <w:highlight w:val="none"/>
          <w:shd w:val="clear"/>
        </w:rPr>
        <w:t>再投入</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433" w:name="_Toc14489"/>
      <w:bookmarkStart w:id="1434" w:name="_Toc8997"/>
      <w:bookmarkStart w:id="1435" w:name="_Toc15552"/>
      <w:bookmarkStart w:id="1436" w:name="_Toc10723"/>
      <w:bookmarkStart w:id="1437" w:name="_Toc25504"/>
      <w:bookmarkStart w:id="1438" w:name="_Toc8834"/>
      <w:bookmarkStart w:id="1439" w:name="_Toc1238"/>
      <w:bookmarkStart w:id="1440" w:name="_Toc29451"/>
      <w:bookmarkStart w:id="1441" w:name="_Toc27703"/>
      <w:bookmarkStart w:id="1442" w:name="_Toc14785"/>
      <w:bookmarkStart w:id="1443" w:name="_Toc28570"/>
      <w:bookmarkStart w:id="1444" w:name="_Toc31395"/>
      <w:bookmarkStart w:id="1445" w:name="_Toc1821"/>
      <w:bookmarkStart w:id="1446" w:name="_Toc16761"/>
      <w:bookmarkStart w:id="1447" w:name="_Toc31952"/>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第四节 筑牢风险防线</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ab/>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牢固树立责任意识、红线意识和底线思维，组织开展农业农村领域平安建设系列活动。健全</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农业农村领域各类突发事件</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政策风险、产业竞争与市场风险、生物安全风险的预防预警和应急处置体系，推动风险监测与行政监管联动衔接。扩大农业保险覆盖面并优化产品设计，将台风、病虫害及市场价格波动等风险纳入保障范围</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落实农村重大决策事项风险评估机制，建立各类风险监测信息和重要监督抽检结果向同级政府报送制度，健全横向到边、纵向到底的责任链条。</w:t>
      </w:r>
    </w:p>
    <w:p>
      <w:pPr>
        <w:keepNext w:val="0"/>
        <w:keepLines w:val="0"/>
        <w:pageBreakBefore w:val="0"/>
        <w:widowControl w:val="0"/>
        <w:kinsoku/>
        <w:wordWrap/>
        <w:overflowPunct/>
        <w:topLinePunct w:val="0"/>
        <w:autoSpaceDE/>
        <w:autoSpaceDN/>
        <w:bidi w:val="0"/>
        <w:adjustRightInd/>
        <w:snapToGrid/>
        <w:spacing w:before="255" w:beforeLines="80" w:after="255" w:afterLines="80" w:line="590" w:lineRule="exact"/>
        <w:jc w:val="center"/>
        <w:textAlignment w:val="auto"/>
        <w:outlineLvl w:val="1"/>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pPr>
      <w:bookmarkStart w:id="1448" w:name="_Toc27680"/>
      <w:bookmarkStart w:id="1449" w:name="_Toc30227"/>
      <w:bookmarkStart w:id="1450" w:name="_Toc26829"/>
      <w:bookmarkStart w:id="1451" w:name="_Toc3409"/>
      <w:bookmarkStart w:id="1452" w:name="_Toc29745"/>
      <w:bookmarkStart w:id="1453" w:name="_Toc29851"/>
      <w:bookmarkStart w:id="1454" w:name="_Toc31419"/>
      <w:bookmarkStart w:id="1455" w:name="_Toc18971"/>
      <w:bookmarkStart w:id="1456" w:name="_Toc20082"/>
      <w:bookmarkStart w:id="1457" w:name="_Toc22824"/>
      <w:bookmarkStart w:id="1458" w:name="_Toc18488"/>
      <w:bookmarkStart w:id="1459" w:name="_Toc6656"/>
      <w:bookmarkStart w:id="1460" w:name="_Toc22891"/>
      <w:bookmarkStart w:id="1461" w:name="_Toc6612"/>
      <w:bookmarkStart w:id="1462" w:name="_Toc16369"/>
      <w:r>
        <w:rPr>
          <w:rFonts w:hint="default" w:ascii="Times New Roman" w:hAnsi="Times New Roman" w:eastAsia="黑体" w:cs="Times New Roman"/>
          <w:color w:val="000000" w:themeColor="text1"/>
          <w:sz w:val="32"/>
          <w:szCs w:val="32"/>
          <w:highlight w:val="none"/>
          <w:lang w:val="en-US" w:eastAsia="zh-CN"/>
          <w14:textFill>
            <w14:solidFill>
              <w14:schemeClr w14:val="tx1"/>
            </w14:solidFill>
          </w14:textFill>
        </w:rPr>
        <w:t>第五节 开展评估考核</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建立规划实施监测评价制度，组织中期评估和总结评估，监测评价规划实施情况。各市县要以本规划为依据，科学编制</w:t>
      </w:r>
      <w:r>
        <w:rPr>
          <w:rFonts w:ascii="Times New Roman" w:hAnsi="Times New Roman" w:eastAsia="仿宋_GB2312" w:cs="Times New Roman"/>
          <w:color w:val="auto"/>
          <w:sz w:val="32"/>
          <w:szCs w:val="32"/>
          <w:highlight w:val="none"/>
        </w:rPr>
        <w:t>本级</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农业农村现代化规划。各级党委、政府和有关部门要</w:t>
      </w:r>
      <w:r>
        <w:rPr>
          <w:rFonts w:ascii="Times New Roman" w:hAnsi="Times New Roman" w:eastAsia="仿宋_GB2312" w:cs="Times New Roman"/>
          <w:color w:val="auto"/>
          <w:sz w:val="32"/>
          <w:szCs w:val="32"/>
          <w:highlight w:val="none"/>
        </w:rPr>
        <w:t>细化分解本规划确定的主要指标与重点任务，明确责任分工，层层压实责任，确保各项工作落地见效</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健全</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规划实施监督考核</w:t>
      </w:r>
      <w:r>
        <w:rPr>
          <w:rFonts w:hint="eastAsia" w:ascii="Times New Roman" w:hAnsi="Times New Roman" w:eastAsia="仿宋_GB2312" w:cs="Times New Roman"/>
          <w:color w:val="000000" w:themeColor="text1"/>
          <w:sz w:val="32"/>
          <w:szCs w:val="32"/>
          <w:highlight w:val="none"/>
          <w:lang w:eastAsia="zh-CN"/>
          <w14:textFill>
            <w14:solidFill>
              <w14:schemeClr w14:val="tx1"/>
            </w14:solidFill>
          </w14:textFill>
        </w:rPr>
        <w:t>体系</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，将规划有关指标落实情况纳入市县党政领导班子和领导干部推进乡村振兴战略实绩考核评价范围，</w:t>
      </w:r>
      <w:r>
        <w:rPr>
          <w:rFonts w:ascii="Times New Roman" w:hAnsi="Times New Roman" w:eastAsia="仿宋_GB2312" w:cs="Times New Roman"/>
          <w:color w:val="auto"/>
          <w:sz w:val="32"/>
          <w:szCs w:val="32"/>
          <w:highlight w:val="none"/>
        </w:rPr>
        <w:t>探索建立规划实施考核结果与责任主体绩效评价相挂钩的激励约束机制</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rPr>
          <w:rFonts w:hint="default" w:ascii="Times New Roman" w:hAnsi="Times New Roman" w:cs="Times New Roman"/>
          <w:color w:val="000000" w:themeColor="text1"/>
          <w:highlight w:val="none"/>
          <w:lang w:val="en-US" w:eastAsia="zh-CN"/>
          <w14:textFill>
            <w14:solidFill>
              <w14:schemeClr w14:val="tx1"/>
            </w14:solidFill>
          </w14:textFill>
        </w:rPr>
      </w:pPr>
    </w:p>
    <w:p>
      <w:pPr>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ind w:firstLine="640" w:firstLineChars="200"/>
        <w:rPr>
          <w:rFonts w:hint="default" w:ascii="Times New Roman" w:hAnsi="Times New Roman" w:eastAsia="仿宋_GB2312" w:cs="Times New Roman"/>
          <w:color w:val="000000" w:themeColor="text1"/>
          <w:sz w:val="32"/>
          <w:szCs w:val="32"/>
          <w:highlight w:val="none"/>
          <w14:textFill>
            <w14:solidFill>
              <w14:schemeClr w14:val="tx1"/>
            </w14:solidFill>
          </w14:textFill>
        </w:rPr>
      </w:pPr>
    </w:p>
    <w:p>
      <w:pPr>
        <w:ind w:firstLine="0" w:firstLineChars="0"/>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br w:type="page"/>
      </w:r>
    </w:p>
    <w:p>
      <w:pPr>
        <w:pStyle w:val="30"/>
        <w:rPr>
          <w:rFonts w:hint="default" w:ascii="Times New Roman" w:hAnsi="Times New Roman" w:cs="Times New Roman"/>
          <w:color w:val="000000" w:themeColor="text1"/>
          <w:highlight w:val="none"/>
          <w:lang w:eastAsia="zh-CN"/>
          <w14:textFill>
            <w14:solidFill>
              <w14:schemeClr w14:val="tx1"/>
            </w14:solidFill>
          </w14:textFill>
        </w:rPr>
        <w:sectPr>
          <w:pgSz w:w="11906" w:h="16838"/>
          <w:pgMar w:top="2024" w:right="1406" w:bottom="1559" w:left="1576" w:header="851" w:footer="992" w:gutter="0"/>
          <w:pgBorders>
            <w:top w:val="none" w:sz="0" w:space="0"/>
            <w:left w:val="none" w:sz="0" w:space="0"/>
            <w:bottom w:val="none" w:sz="0" w:space="0"/>
            <w:right w:val="none" w:sz="0" w:space="0"/>
          </w:pgBorders>
          <w:pgNumType w:fmt="decimal"/>
          <w:cols w:space="0" w:num="1"/>
          <w:rtlGutter w:val="0"/>
          <w:docGrid w:type="lines" w:linePitch="318" w:charSpace="0"/>
        </w:sectPr>
      </w:pPr>
    </w:p>
    <w:p>
      <w:pPr>
        <w:pStyle w:val="30"/>
        <w:ind w:firstLine="0"/>
        <w:jc w:val="center"/>
        <w:rPr>
          <w:rFonts w:hint="default" w:ascii="Times New Roman" w:hAnsi="Times New Roman" w:eastAsia="方正小标宋简体" w:cs="Times New Roman"/>
          <w:color w:val="000000" w:themeColor="text1"/>
          <w:kern w:val="2"/>
          <w:sz w:val="36"/>
          <w:szCs w:val="36"/>
          <w:highlight w:val="none"/>
          <w:lang w:val="en-US" w:eastAsia="zh-CN"/>
          <w14:textFill>
            <w14:solidFill>
              <w14:schemeClr w14:val="tx1"/>
            </w14:solidFill>
          </w14:textFill>
        </w:rPr>
      </w:pPr>
      <w:r>
        <w:rPr>
          <w:rFonts w:hint="default" w:eastAsia="方正小标宋简体"/>
          <w:color w:val="000000" w:themeColor="text1"/>
          <w:kern w:val="2"/>
          <w:sz w:val="36"/>
          <w:szCs w:val="36"/>
          <w:highlight w:val="none"/>
          <w:lang w:val="en-US" w:eastAsia="zh-CN"/>
          <w14:textFill>
            <w14:solidFill>
              <w14:schemeClr w14:val="tx1"/>
            </w14:solidFill>
          </w14:textFill>
        </w:rPr>
        <w:t>名词解释</w:t>
      </w:r>
    </w:p>
    <w:p>
      <w:pPr>
        <w:pStyle w:val="30"/>
        <w:spacing w:line="400" w:lineRule="exact"/>
        <w:ind w:firstLine="640" w:firstLineChars="200"/>
        <w:rPr>
          <w:rFonts w:hint="default" w:ascii="Times New Roman" w:hAnsi="Times New Roman" w:eastAsia="仿宋_GB2312" w:cs="Times New Roman"/>
          <w:color w:val="000000" w:themeColor="text1"/>
          <w:kern w:val="2"/>
          <w:sz w:val="32"/>
          <w:szCs w:val="32"/>
          <w:highlight w:val="none"/>
          <w:lang w:val="en-US" w:eastAsia="zh-CN"/>
          <w14:textFill>
            <w14:solidFill>
              <w14:schemeClr w14:val="tx1"/>
            </w14:solidFill>
          </w14:textFill>
        </w:rPr>
      </w:pPr>
    </w:p>
    <w:p>
      <w:pPr>
        <w:pStyle w:val="30"/>
        <w:spacing w:line="590" w:lineRule="exact"/>
        <w:ind w:firstLine="642" w:firstLineChars="200"/>
        <w:rPr>
          <w:rFonts w:hint="default" w:ascii="Times New Roman" w:hAnsi="Times New Roman" w:eastAsia="仿宋_GB2312" w:cs="Times New Roman"/>
          <w:color w:val="000000" w:themeColor="text1"/>
          <w:kern w:val="2"/>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14:textFill>
            <w14:solidFill>
              <w14:schemeClr w14:val="tx1"/>
            </w14:solidFill>
          </w14:textFill>
        </w:rPr>
        <w:t>1.三极一带一区：</w:t>
      </w: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海口经济圈、三亚经济圈、儋洋经济圈，滨海城市带，中部山区生态保育区</w:t>
      </w:r>
      <w:r>
        <w:rPr>
          <w:rFonts w:hint="default" w:ascii="Times New Roman" w:hAnsi="Times New Roman" w:eastAsia="仿宋_GB2312" w:cs="Times New Roman"/>
          <w:color w:val="000000" w:themeColor="text1"/>
          <w:kern w:val="2"/>
          <w:sz w:val="32"/>
          <w:szCs w:val="32"/>
          <w:highlight w:val="none"/>
          <w:lang w:eastAsia="zh-CN"/>
          <w14:textFill>
            <w14:solidFill>
              <w14:schemeClr w14:val="tx1"/>
            </w14:solidFill>
          </w14:textFill>
        </w:rPr>
        <w:t>。</w:t>
      </w:r>
    </w:p>
    <w:p>
      <w:pPr>
        <w:pStyle w:val="30"/>
        <w:spacing w:line="590" w:lineRule="exact"/>
        <w:ind w:firstLine="642" w:firstLineChars="200"/>
        <w:rPr>
          <w:rFonts w:hint="default" w:ascii="Times New Roman" w:hAnsi="Times New Roman" w:eastAsia="仿宋_GB2312" w:cs="Times New Roman"/>
          <w:color w:val="000000" w:themeColor="text1"/>
          <w:kern w:val="2"/>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14:textFill>
            <w14:solidFill>
              <w14:schemeClr w14:val="tx1"/>
            </w14:solidFill>
          </w14:textFill>
        </w:rPr>
        <w:t>2.</w:t>
      </w:r>
      <w:r>
        <w:rPr>
          <w:rFonts w:hint="eastAsia" w:ascii="仿宋_GB2312" w:hAnsi="仿宋_GB2312" w:eastAsia="仿宋_GB2312" w:cs="仿宋_GB2312"/>
          <w:b/>
          <w:bCs/>
          <w:color w:val="000000" w:themeColor="text1"/>
          <w:kern w:val="2"/>
          <w:sz w:val="32"/>
          <w:szCs w:val="32"/>
          <w:highlight w:val="none"/>
          <w14:textFill>
            <w14:solidFill>
              <w14:schemeClr w14:val="tx1"/>
            </w14:solidFill>
          </w14:textFill>
        </w:rPr>
        <w:t>“双环”</w:t>
      </w:r>
      <w:r>
        <w:rPr>
          <w:rFonts w:hint="default" w:ascii="Times New Roman" w:hAnsi="Times New Roman" w:eastAsia="仿宋_GB2312" w:cs="Times New Roman"/>
          <w:b/>
          <w:bCs/>
          <w:color w:val="000000" w:themeColor="text1"/>
          <w:kern w:val="2"/>
          <w:sz w:val="32"/>
          <w:szCs w:val="32"/>
          <w:highlight w:val="none"/>
          <w14:textFill>
            <w14:solidFill>
              <w14:schemeClr w14:val="tx1"/>
            </w14:solidFill>
          </w14:textFill>
        </w:rPr>
        <w:t>旅游公路</w:t>
      </w: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“外环”</w:t>
      </w: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是环岛旅游公路，全长988公里，向海而建，有50%以上的见海率；</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“内环”</w:t>
      </w: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是环海南热带雨林国家公园旅游公路，全长466公里，依山而行，串起文旅新的图景</w:t>
      </w:r>
      <w:r>
        <w:rPr>
          <w:rFonts w:hint="default" w:ascii="Times New Roman" w:hAnsi="Times New Roman" w:eastAsia="仿宋_GB2312" w:cs="Times New Roman"/>
          <w:color w:val="000000" w:themeColor="text1"/>
          <w:kern w:val="2"/>
          <w:sz w:val="32"/>
          <w:szCs w:val="32"/>
          <w:highlight w:val="none"/>
          <w:lang w:eastAsia="zh-CN"/>
          <w14:textFill>
            <w14:solidFill>
              <w14:schemeClr w14:val="tx1"/>
            </w14:solidFill>
          </w14:textFill>
        </w:rPr>
        <w:t>。</w:t>
      </w:r>
    </w:p>
    <w:p>
      <w:pPr>
        <w:pStyle w:val="30"/>
        <w:spacing w:line="590" w:lineRule="exact"/>
        <w:ind w:firstLine="642" w:firstLineChars="200"/>
        <w:rPr>
          <w:rFonts w:hint="default" w:ascii="Times New Roman" w:hAnsi="Times New Roman" w:eastAsia="仿宋_GB2312" w:cs="Times New Roman"/>
          <w:color w:val="000000" w:themeColor="text1"/>
          <w:kern w:val="2"/>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14:textFill>
            <w14:solidFill>
              <w14:schemeClr w14:val="tx1"/>
            </w14:solidFill>
          </w14:textFill>
        </w:rPr>
        <w:t>3.</w:t>
      </w:r>
      <w:r>
        <w:rPr>
          <w:rFonts w:hint="eastAsia" w:ascii="仿宋_GB2312" w:hAnsi="仿宋_GB2312" w:eastAsia="仿宋_GB2312" w:cs="仿宋_GB2312"/>
          <w:b/>
          <w:bCs/>
          <w:color w:val="000000" w:themeColor="text1"/>
          <w:kern w:val="2"/>
          <w:sz w:val="32"/>
          <w:szCs w:val="32"/>
          <w:highlight w:val="none"/>
          <w14:textFill>
            <w14:solidFill>
              <w14:schemeClr w14:val="tx1"/>
            </w14:solidFill>
          </w14:textFill>
        </w:rPr>
        <w:t>“两个基地”“两个枢纽”“两个网络”</w:t>
      </w: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：中国企业走向国际市场的总部基地和境外企业进入中国市场的总部基地；西部陆海新通道国际航运枢纽和面向太平洋、印度洋的航空区域门户枢纽；国际经贸合作网络和国际人文交流合作网络</w:t>
      </w:r>
      <w:r>
        <w:rPr>
          <w:rFonts w:hint="default" w:ascii="Times New Roman" w:hAnsi="Times New Roman" w:eastAsia="仿宋_GB2312" w:cs="Times New Roman"/>
          <w:color w:val="000000" w:themeColor="text1"/>
          <w:kern w:val="2"/>
          <w:sz w:val="32"/>
          <w:szCs w:val="32"/>
          <w:highlight w:val="none"/>
          <w:lang w:eastAsia="zh-CN"/>
          <w14:textFill>
            <w14:solidFill>
              <w14:schemeClr w14:val="tx1"/>
            </w14:solidFill>
          </w14:textFill>
        </w:rPr>
        <w:t>。</w:t>
      </w:r>
    </w:p>
    <w:p>
      <w:pPr>
        <w:pStyle w:val="30"/>
        <w:spacing w:line="590" w:lineRule="exact"/>
        <w:ind w:firstLine="642" w:firstLineChars="200"/>
        <w:rPr>
          <w:rFonts w:hint="default" w:ascii="Times New Roman" w:hAnsi="Times New Roman" w:eastAsia="仿宋_GB2312" w:cs="Times New Roman"/>
          <w:b w:val="0"/>
          <w:bCs w:val="0"/>
          <w:color w:val="000000" w:themeColor="text1"/>
          <w:kern w:val="2"/>
          <w:sz w:val="32"/>
          <w:szCs w:val="32"/>
          <w:highlight w:val="none"/>
          <w:lang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14:textFill>
            <w14:solidFill>
              <w14:schemeClr w14:val="tx1"/>
            </w14:solidFill>
          </w14:textFill>
        </w:rPr>
        <w:t>4.</w:t>
      </w:r>
      <w:r>
        <w:rPr>
          <w:rFonts w:hint="eastAsia" w:ascii="仿宋_GB2312" w:hAnsi="仿宋_GB2312" w:eastAsia="仿宋_GB2312" w:cs="仿宋_GB2312"/>
          <w:b/>
          <w:bCs/>
          <w:color w:val="000000" w:themeColor="text1"/>
          <w:kern w:val="2"/>
          <w:sz w:val="32"/>
          <w:szCs w:val="32"/>
          <w:highlight w:val="none"/>
          <w:lang w:eastAsia="zh-CN"/>
          <w14:textFill>
            <w14:solidFill>
              <w14:schemeClr w14:val="tx1"/>
            </w14:solidFill>
          </w14:textFill>
        </w:rPr>
        <w:t>“五社联动”</w:t>
      </w:r>
      <w:r>
        <w:rPr>
          <w:rFonts w:hint="default" w:ascii="Times New Roman" w:hAnsi="Times New Roman" w:eastAsia="仿宋_GB2312" w:cs="Times New Roman"/>
          <w:color w:val="000000" w:themeColor="text1"/>
          <w:kern w:val="2"/>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以社区为平台、社会组织为载体、社工为支撑、社区志愿者为依托、社会慈善资源为助力</w:t>
      </w:r>
      <w:r>
        <w:rPr>
          <w:rFonts w:hint="eastAsia" w:ascii="仿宋_GB2312" w:hAnsi="仿宋_GB2312" w:eastAsia="仿宋_GB2312" w:cs="仿宋_GB2312"/>
          <w:color w:val="000000" w:themeColor="text1"/>
          <w:kern w:val="2"/>
          <w:sz w:val="32"/>
          <w:szCs w:val="32"/>
          <w:highlight w:val="none"/>
          <w14:textFill>
            <w14:solidFill>
              <w14:schemeClr w14:val="tx1"/>
            </w14:solidFill>
          </w14:textFill>
        </w:rPr>
        <w:t>的“五社联动”</w:t>
      </w:r>
      <w:r>
        <w:rPr>
          <w:rFonts w:hint="default" w:ascii="Times New Roman" w:hAnsi="Times New Roman" w:eastAsia="仿宋_GB2312" w:cs="Times New Roman"/>
          <w:color w:val="000000" w:themeColor="text1"/>
          <w:kern w:val="2"/>
          <w:sz w:val="32"/>
          <w:szCs w:val="32"/>
          <w:highlight w:val="none"/>
          <w14:textFill>
            <w14:solidFill>
              <w14:schemeClr w14:val="tx1"/>
            </w14:solidFill>
          </w14:textFill>
        </w:rPr>
        <w:t>治理模式</w:t>
      </w:r>
      <w:r>
        <w:rPr>
          <w:rFonts w:hint="default" w:ascii="Times New Roman" w:hAnsi="Times New Roman" w:eastAsia="仿宋_GB2312" w:cs="Times New Roman"/>
          <w:color w:val="000000" w:themeColor="text1"/>
          <w:kern w:val="2"/>
          <w:sz w:val="32"/>
          <w:szCs w:val="32"/>
          <w:highlight w:val="none"/>
          <w:lang w:eastAsia="zh-CN"/>
          <w14:textFill>
            <w14:solidFill>
              <w14:schemeClr w14:val="tx1"/>
            </w14:solidFill>
          </w14:textFill>
        </w:rPr>
        <w:t>。</w:t>
      </w:r>
    </w:p>
    <w:p>
      <w:pPr>
        <w:pStyle w:val="30"/>
        <w:spacing w:line="590" w:lineRule="exact"/>
        <w:ind w:firstLine="642" w:firstLineChars="200"/>
        <w:rPr>
          <w:rFonts w:hint="default" w:ascii="Times New Roman" w:hAnsi="Times New Roman" w:eastAsia="仿宋_GB2312" w:cs="Times New Roman"/>
          <w:color w:val="000000" w:themeColor="text1"/>
          <w:kern w:val="2"/>
          <w:sz w:val="32"/>
          <w:szCs w:val="32"/>
          <w:highlight w:val="none"/>
          <w:lang w:val="en-US" w:eastAsia="zh-CN"/>
          <w14:textFill>
            <w14:solidFill>
              <w14:schemeClr w14:val="tx1"/>
            </w14:solidFill>
          </w14:textFill>
        </w:rPr>
      </w:pPr>
      <w:r>
        <w:rPr>
          <w:rFonts w:hint="default" w:ascii="Times New Roman" w:hAnsi="Times New Roman" w:eastAsia="仿宋_GB2312" w:cs="Times New Roman"/>
          <w:b/>
          <w:bCs/>
          <w:color w:val="000000" w:themeColor="text1"/>
          <w:kern w:val="2"/>
          <w:sz w:val="32"/>
          <w:szCs w:val="32"/>
          <w:highlight w:val="none"/>
          <w:lang w:val="en-US" w:eastAsia="zh-CN"/>
          <w14:textFill>
            <w14:solidFill>
              <w14:schemeClr w14:val="tx1"/>
            </w14:solidFill>
          </w14:textFill>
        </w:rPr>
        <w:t>5.四个面向</w:t>
      </w:r>
      <w:r>
        <w:rPr>
          <w:rFonts w:hint="default" w:ascii="Times New Roman" w:hAnsi="Times New Roman" w:eastAsia="仿宋_GB2312" w:cs="Times New Roman"/>
          <w:color w:val="000000" w:themeColor="text1"/>
          <w:kern w:val="2"/>
          <w:sz w:val="32"/>
          <w:szCs w:val="32"/>
          <w:highlight w:val="none"/>
          <w:lang w:val="en-US" w:eastAsia="zh-CN"/>
          <w14:textFill>
            <w14:solidFill>
              <w14:schemeClr w14:val="tx1"/>
            </w14:solidFill>
          </w14:textFill>
        </w:rPr>
        <w:t>：面向世界科技前沿、面向经济主战场、面向国家重大需求、面向人民生命健康。</w:t>
      </w:r>
    </w:p>
    <w:p>
      <w:pPr>
        <w:pStyle w:val="30"/>
        <w:spacing w:line="590" w:lineRule="exact"/>
        <w:ind w:firstLine="642" w:firstLineChars="200"/>
        <w:rPr>
          <w:rFonts w:hint="eastAsia" w:eastAsia="仿宋_GB2312"/>
          <w:color w:val="000000" w:themeColor="text1"/>
          <w:kern w:val="2"/>
          <w:sz w:val="32"/>
          <w:szCs w:val="32"/>
          <w:highlight w:val="none"/>
          <w:lang w:val="en-US" w:eastAsia="zh-CN"/>
          <w14:textFill>
            <w14:solidFill>
              <w14:schemeClr w14:val="tx1"/>
            </w14:solidFill>
          </w14:textFill>
        </w:rPr>
      </w:pPr>
      <w:r>
        <w:rPr>
          <w:rFonts w:hint="eastAsia" w:eastAsia="仿宋_GB2312"/>
          <w:b/>
          <w:bCs/>
          <w:color w:val="000000" w:themeColor="text1"/>
          <w:kern w:val="2"/>
          <w:sz w:val="32"/>
          <w:szCs w:val="32"/>
          <w:highlight w:val="none"/>
          <w:lang w:val="en-US" w:eastAsia="zh-CN"/>
          <w14:textFill>
            <w14:solidFill>
              <w14:schemeClr w14:val="tx1"/>
            </w14:solidFill>
          </w14:textFill>
        </w:rPr>
        <w:t>6.</w:t>
      </w:r>
      <w:r>
        <w:rPr>
          <w:rFonts w:hint="eastAsia" w:ascii="仿宋_GB2312" w:hAnsi="仿宋_GB2312" w:eastAsia="仿宋_GB2312" w:cs="仿宋_GB2312"/>
          <w:b/>
          <w:bCs/>
          <w:color w:val="000000" w:themeColor="text1"/>
          <w:kern w:val="2"/>
          <w:sz w:val="32"/>
          <w:szCs w:val="32"/>
          <w:highlight w:val="none"/>
          <w14:textFill>
            <w14:solidFill>
              <w14:schemeClr w14:val="tx1"/>
            </w14:solidFill>
          </w14:textFill>
        </w:rPr>
        <w:t>“</w:t>
      </w:r>
      <w:r>
        <w:rPr>
          <w:rFonts w:hint="default" w:ascii="Times New Roman" w:hAnsi="Times New Roman" w:eastAsia="仿宋_GB2312"/>
          <w:b/>
          <w:bCs/>
          <w:color w:val="000000" w:themeColor="text1"/>
          <w:kern w:val="2"/>
          <w:sz w:val="32"/>
          <w:szCs w:val="32"/>
          <w:highlight w:val="none"/>
          <w14:textFill>
            <w14:solidFill>
              <w14:schemeClr w14:val="tx1"/>
            </w14:solidFill>
          </w14:textFill>
        </w:rPr>
        <w:t>6+3</w:t>
      </w:r>
      <w:r>
        <w:rPr>
          <w:rFonts w:hint="eastAsia" w:ascii="仿宋_GB2312" w:hAnsi="仿宋_GB2312" w:eastAsia="仿宋_GB2312" w:cs="仿宋_GB2312"/>
          <w:b/>
          <w:bCs/>
          <w:color w:val="000000" w:themeColor="text1"/>
          <w:kern w:val="2"/>
          <w:sz w:val="32"/>
          <w:szCs w:val="32"/>
          <w:highlight w:val="none"/>
          <w14:textFill>
            <w14:solidFill>
              <w14:schemeClr w14:val="tx1"/>
            </w14:solidFill>
          </w14:textFill>
        </w:rPr>
        <w:t>”</w:t>
      </w:r>
      <w:r>
        <w:rPr>
          <w:rFonts w:hint="default" w:ascii="Times New Roman" w:hAnsi="Times New Roman" w:eastAsia="仿宋_GB2312"/>
          <w:b/>
          <w:bCs/>
          <w:color w:val="000000" w:themeColor="text1"/>
          <w:kern w:val="2"/>
          <w:sz w:val="32"/>
          <w:szCs w:val="32"/>
          <w:highlight w:val="none"/>
          <w14:textFill>
            <w14:solidFill>
              <w14:schemeClr w14:val="tx1"/>
            </w14:solidFill>
          </w14:textFill>
        </w:rPr>
        <w:t>现代林业产业体系</w:t>
      </w:r>
      <w:r>
        <w:rPr>
          <w:rFonts w:hint="eastAsia" w:eastAsia="仿宋_GB2312"/>
          <w:b/>
          <w:bCs/>
          <w:color w:val="000000" w:themeColor="text1"/>
          <w:kern w:val="2"/>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Fonts w:hint="default" w:eastAsia="仿宋_GB2312"/>
          <w:b w:val="0"/>
          <w:bCs w:val="0"/>
          <w:color w:val="000000" w:themeColor="text1"/>
          <w:kern w:val="2"/>
          <w:sz w:val="32"/>
          <w:szCs w:val="32"/>
          <w:highlight w:val="none"/>
          <w:lang w:eastAsia="zh-CN"/>
          <w14:textFill>
            <w14:solidFill>
              <w14:schemeClr w14:val="tx1"/>
            </w14:solidFill>
          </w14:textFill>
        </w:rPr>
        <w:t>6</w:t>
      </w:r>
      <w:r>
        <w:rPr>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Fonts w:hint="default" w:eastAsia="仿宋_GB2312"/>
          <w:b w:val="0"/>
          <w:bCs w:val="0"/>
          <w:color w:val="000000" w:themeColor="text1"/>
          <w:kern w:val="2"/>
          <w:sz w:val="32"/>
          <w:szCs w:val="32"/>
          <w:highlight w:val="none"/>
          <w:lang w:eastAsia="zh-CN"/>
          <w14:textFill>
            <w14:solidFill>
              <w14:schemeClr w14:val="tx1"/>
            </w14:solidFill>
          </w14:textFill>
        </w:rPr>
        <w:t>即六大特色花卉产业，具体为海口鲜切叶和观赏苗木、三亚玫瑰和热带兰花、东方菊花、乐东金钱树、昌江木棉、白沙热带兰花；</w:t>
      </w:r>
      <w:r>
        <w:rPr>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Fonts w:hint="default" w:eastAsia="仿宋_GB2312"/>
          <w:b w:val="0"/>
          <w:bCs w:val="0"/>
          <w:color w:val="000000" w:themeColor="text1"/>
          <w:kern w:val="2"/>
          <w:sz w:val="32"/>
          <w:szCs w:val="32"/>
          <w:highlight w:val="none"/>
          <w:lang w:eastAsia="zh-CN"/>
          <w14:textFill>
            <w14:solidFill>
              <w14:schemeClr w14:val="tx1"/>
            </w14:solidFill>
          </w14:textFill>
        </w:rPr>
        <w:t>3</w:t>
      </w:r>
      <w:r>
        <w:rPr>
          <w:rFonts w:hint="eastAsia" w:ascii="仿宋_GB2312" w:hAnsi="仿宋_GB2312" w:eastAsia="仿宋_GB2312" w:cs="仿宋_GB2312"/>
          <w:b w:val="0"/>
          <w:bCs w:val="0"/>
          <w:color w:val="000000" w:themeColor="text1"/>
          <w:kern w:val="2"/>
          <w:sz w:val="32"/>
          <w:szCs w:val="32"/>
          <w:highlight w:val="none"/>
          <w:lang w:eastAsia="zh-CN"/>
          <w14:textFill>
            <w14:solidFill>
              <w14:schemeClr w14:val="tx1"/>
            </w14:solidFill>
          </w14:textFill>
        </w:rPr>
        <w:t>”</w:t>
      </w:r>
      <w:r>
        <w:rPr>
          <w:rFonts w:hint="default" w:eastAsia="仿宋_GB2312"/>
          <w:b w:val="0"/>
          <w:bCs w:val="0"/>
          <w:color w:val="000000" w:themeColor="text1"/>
          <w:kern w:val="2"/>
          <w:sz w:val="32"/>
          <w:szCs w:val="32"/>
          <w:highlight w:val="none"/>
          <w:lang w:eastAsia="zh-CN"/>
          <w14:textFill>
            <w14:solidFill>
              <w14:schemeClr w14:val="tx1"/>
            </w14:solidFill>
          </w14:textFill>
        </w:rPr>
        <w:t>即三大林下经济业态，具体为油茶、橡胶、槟榔林下经济。</w:t>
      </w:r>
    </w:p>
    <w:p>
      <w:pPr>
        <w:rPr>
          <w:rFonts w:hint="default" w:ascii="Times New Roman" w:hAnsi="Times New Roman" w:cs="Times New Roman"/>
          <w:color w:val="000000" w:themeColor="text1"/>
          <w:highlight w:val="none"/>
          <w14:textFill>
            <w14:solidFill>
              <w14:schemeClr w14:val="tx1"/>
            </w14:solidFill>
          </w14:textFill>
        </w:rPr>
      </w:pPr>
    </w:p>
    <w:p>
      <w:pPr>
        <w:rPr>
          <w:rFonts w:hint="default" w:ascii="Times New Roman" w:hAnsi="Times New Roman" w:cs="Times New Roman"/>
          <w:color w:val="000000" w:themeColor="text1"/>
          <w:highlight w:val="none"/>
          <w:lang w:eastAsia="zh-CN"/>
          <w14:textFill>
            <w14:solidFill>
              <w14:schemeClr w14:val="tx1"/>
            </w14:solidFill>
          </w14:textFill>
        </w:rPr>
      </w:pPr>
    </w:p>
    <w:sectPr>
      <w:pgSz w:w="11906" w:h="16838"/>
      <w:pgMar w:top="2024" w:right="1406" w:bottom="1559" w:left="1576" w:header="851" w:footer="992" w:gutter="0"/>
      <w:pgBorders>
        <w:top w:val="none" w:sz="0" w:space="0"/>
        <w:left w:val="none" w:sz="0" w:space="0"/>
        <w:bottom w:val="none" w:sz="0" w:space="0"/>
        <w:right w:val="none" w:sz="0" w:space="0"/>
      </w:pgBorders>
      <w:pgNumType w:fmt="decimal"/>
      <w:cols w:space="0" w:num="1"/>
      <w:rtlGutter w:val="0"/>
      <w:docGrid w:type="lines" w:linePitch="31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I</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I</w:t>
                    </w:r>
                    <w:r>
                      <w:rPr>
                        <w:rFonts w:hint="eastAsia" w:ascii="宋体" w:hAnsi="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ind w:left="0" w:leftChars="0" w:firstLine="0"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I</w:t>
                          </w:r>
                          <w:r>
                            <w:rPr>
                              <w:rFonts w:hint="eastAsia" w:ascii="宋体" w:hAnsi="宋体" w:cs="宋体"/>
                              <w:sz w:val="28"/>
                              <w:szCs w:val="28"/>
                            </w:rPr>
                            <w:fldChar w:fldCharType="end"/>
                          </w:r>
                          <w:r>
                            <w:rPr>
                              <w:rFonts w:hint="default" w:ascii="Times New Roman" w:hAnsi="Times New Roman" w:cs="Times New Roman"/>
                              <w:sz w:val="28"/>
                              <w:szCs w:val="28"/>
                            </w:rPr>
                            <w:t xml:space="preserve"> —</w:t>
                          </w:r>
                        </w:p>
                        <w:p>
                          <w:pPr>
                            <w:pStyle w:val="11"/>
                            <w:rPr>
                              <w:rFonts w:hint="eastAsia" w:ascii="宋体" w:hAnsi="宋体" w:eastAsia="宋体" w:cs="宋体"/>
                              <w:sz w:val="28"/>
                              <w:szCs w:val="28"/>
                            </w:rPr>
                          </w:pP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11"/>
                      <w:ind w:left="0" w:leftChars="0" w:firstLine="0" w:firstLineChars="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I</w:t>
                    </w:r>
                    <w:r>
                      <w:rPr>
                        <w:rFonts w:hint="eastAsia" w:ascii="宋体" w:hAnsi="宋体" w:cs="宋体"/>
                        <w:sz w:val="28"/>
                        <w:szCs w:val="28"/>
                      </w:rPr>
                      <w:fldChar w:fldCharType="end"/>
                    </w:r>
                    <w:r>
                      <w:rPr>
                        <w:rFonts w:hint="default" w:ascii="Times New Roman" w:hAnsi="Times New Roman" w:cs="Times New Roman"/>
                        <w:sz w:val="28"/>
                        <w:szCs w:val="28"/>
                      </w:rPr>
                      <w:t xml:space="preserve"> —</w:t>
                    </w:r>
                  </w:p>
                  <w:p>
                    <w:pPr>
                      <w:pStyle w:val="11"/>
                      <w:rPr>
                        <w:rFonts w:hint="eastAsia" w:ascii="宋体" w:hAnsi="宋体" w:eastAsia="宋体" w:cs="宋体"/>
                        <w:sz w:val="28"/>
                        <w:szCs w:val="28"/>
                      </w:rPr>
                    </w:pPr>
                    <w:r>
                      <w:rPr>
                        <w:rFonts w:hint="default" w:ascii="Times New Roman" w:hAnsi="Times New Roman" w:cs="Times New Roman"/>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rPr>
                          </w:pPr>
                          <w:r>
                            <w:rPr>
                              <w:rFonts w:hint="default" w:ascii="Times New Roman" w:hAnsi="Times New Roman" w:cs="Times New Roman"/>
                              <w:sz w:val="28"/>
                              <w:szCs w:val="28"/>
                            </w:rPr>
                            <w:t>—</w:t>
                          </w: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XIV</w:t>
                          </w:r>
                          <w:r>
                            <w:rPr>
                              <w:rFonts w:hint="eastAsia" w:ascii="宋体" w:hAnsi="宋体" w:cs="宋体"/>
                              <w:sz w:val="28"/>
                              <w:szCs w:val="28"/>
                            </w:rPr>
                            <w:fldChar w:fldCharType="end"/>
                          </w:r>
                          <w:r>
                            <w:rPr>
                              <w:rFonts w:hint="eastAsia" w:ascii="宋体" w:hAnsi="宋体" w:cs="宋体"/>
                              <w:sz w:val="28"/>
                              <w:szCs w:val="28"/>
                            </w:rPr>
                            <w:t xml:space="preserve"> </w:t>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A8TPSHQIAACk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IDxM9IdAgAAKQQAAA4AAAAAAAAAAQAgAAAANQEAAGRycy9lMm9Eb2MueG1sUEsF&#10;BgAAAAAGAAYAWQEAAMQFA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rPr>
                    </w:pPr>
                    <w:r>
                      <w:rPr>
                        <w:rFonts w:hint="default" w:ascii="Times New Roman" w:hAnsi="Times New Roman" w:cs="Times New Roman"/>
                        <w:sz w:val="28"/>
                        <w:szCs w:val="28"/>
                      </w:rPr>
                      <w:t>—</w:t>
                    </w: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XIV</w:t>
                    </w:r>
                    <w:r>
                      <w:rPr>
                        <w:rFonts w:hint="eastAsia" w:ascii="宋体" w:hAnsi="宋体" w:cs="宋体"/>
                        <w:sz w:val="28"/>
                        <w:szCs w:val="28"/>
                      </w:rPr>
                      <w:fldChar w:fldCharType="end"/>
                    </w:r>
                    <w:r>
                      <w:rPr>
                        <w:rFonts w:hint="eastAsia" w:ascii="宋体" w:hAnsi="宋体" w:cs="宋体"/>
                        <w:sz w:val="28"/>
                        <w:szCs w:val="28"/>
                      </w:rPr>
                      <w:t xml:space="preserve"> </w:t>
                    </w:r>
                    <w:r>
                      <w:rPr>
                        <w:rFonts w:hint="default" w:ascii="Times New Roman" w:hAnsi="Times New Roman" w:cs="Times New Roman"/>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宋体" w:hAnsi="宋体" w:eastAsia="宋体" w:cs="宋体"/>
                              <w:sz w:val="28"/>
                              <w:szCs w:val="28"/>
                            </w:rPr>
                          </w:pPr>
                          <w:r>
                            <w:rPr>
                              <w:rFonts w:hint="default" w:ascii="Times New Roman" w:hAnsi="Times New Roman" w:cs="Times New Roman"/>
                              <w:sz w:val="28"/>
                              <w:szCs w:val="28"/>
                            </w:rPr>
                            <w:t>—</w:t>
                          </w: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XLI</w:t>
                          </w:r>
                          <w:r>
                            <w:rPr>
                              <w:rFonts w:hint="eastAsia" w:ascii="宋体" w:hAnsi="宋体" w:cs="宋体"/>
                              <w:sz w:val="28"/>
                              <w:szCs w:val="28"/>
                            </w:rPr>
                            <w:fldChar w:fldCharType="end"/>
                          </w:r>
                          <w:r>
                            <w:rPr>
                              <w:rFonts w:hint="eastAsia" w:ascii="宋体" w:hAnsi="宋体" w:cs="宋体"/>
                              <w:sz w:val="28"/>
                              <w:szCs w:val="28"/>
                            </w:rPr>
                            <w:t xml:space="preserve"> </w:t>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11"/>
                      <w:rPr>
                        <w:rFonts w:hint="eastAsia" w:ascii="宋体" w:hAnsi="宋体" w:eastAsia="宋体" w:cs="宋体"/>
                        <w:sz w:val="28"/>
                        <w:szCs w:val="28"/>
                      </w:rPr>
                    </w:pPr>
                    <w:r>
                      <w:rPr>
                        <w:rFonts w:hint="default" w:ascii="Times New Roman" w:hAnsi="Times New Roman" w:cs="Times New Roman"/>
                        <w:sz w:val="28"/>
                        <w:szCs w:val="28"/>
                      </w:rPr>
                      <w:t>—</w:t>
                    </w: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XLI</w:t>
                    </w:r>
                    <w:r>
                      <w:rPr>
                        <w:rFonts w:hint="eastAsia" w:ascii="宋体" w:hAnsi="宋体" w:cs="宋体"/>
                        <w:sz w:val="28"/>
                        <w:szCs w:val="28"/>
                      </w:rPr>
                      <w:fldChar w:fldCharType="end"/>
                    </w:r>
                    <w:r>
                      <w:rPr>
                        <w:rFonts w:hint="eastAsia" w:ascii="宋体" w:hAnsi="宋体" w:cs="宋体"/>
                        <w:sz w:val="28"/>
                        <w:szCs w:val="28"/>
                      </w:rPr>
                      <w:t xml:space="preserve"> </w:t>
                    </w:r>
                    <w:r>
                      <w:rPr>
                        <w:rFonts w:hint="default" w:ascii="Times New Roman" w:hAnsi="Times New Roman" w:cs="Times New Roman"/>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false"/>
  <w:bordersDoNotSurroundFooter w:val="false"/>
  <w:documentProtection w:enforcement="0"/>
  <w:defaultTabStop w:val="420"/>
  <w:drawingGridVerticalSpacing w:val="159"/>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312"/>
    <w:rsid w:val="000125B9"/>
    <w:rsid w:val="000C6894"/>
    <w:rsid w:val="000E3369"/>
    <w:rsid w:val="001F1D2C"/>
    <w:rsid w:val="0057084C"/>
    <w:rsid w:val="006B42E1"/>
    <w:rsid w:val="006D6F3B"/>
    <w:rsid w:val="007F27CB"/>
    <w:rsid w:val="009A6226"/>
    <w:rsid w:val="009F51FB"/>
    <w:rsid w:val="00A130B5"/>
    <w:rsid w:val="00AA5EE7"/>
    <w:rsid w:val="00AF3AF4"/>
    <w:rsid w:val="00B00014"/>
    <w:rsid w:val="00B269F2"/>
    <w:rsid w:val="00B559E6"/>
    <w:rsid w:val="00C31DB4"/>
    <w:rsid w:val="00D24B9B"/>
    <w:rsid w:val="00D9637F"/>
    <w:rsid w:val="00EF7B14"/>
    <w:rsid w:val="00F50F64"/>
    <w:rsid w:val="00F72D49"/>
    <w:rsid w:val="010F1DA1"/>
    <w:rsid w:val="010F3B4F"/>
    <w:rsid w:val="0123584C"/>
    <w:rsid w:val="01255120"/>
    <w:rsid w:val="012C2953"/>
    <w:rsid w:val="012D66CB"/>
    <w:rsid w:val="01303AC5"/>
    <w:rsid w:val="0136732D"/>
    <w:rsid w:val="013E2686"/>
    <w:rsid w:val="0160084E"/>
    <w:rsid w:val="0179546C"/>
    <w:rsid w:val="017B11E4"/>
    <w:rsid w:val="01805583"/>
    <w:rsid w:val="01945D0C"/>
    <w:rsid w:val="01A249C3"/>
    <w:rsid w:val="01BC39E6"/>
    <w:rsid w:val="01BD35AB"/>
    <w:rsid w:val="01C34939"/>
    <w:rsid w:val="01CF0D89"/>
    <w:rsid w:val="01CF7648"/>
    <w:rsid w:val="01D9281E"/>
    <w:rsid w:val="01D97F8C"/>
    <w:rsid w:val="01DF4FC3"/>
    <w:rsid w:val="01F937FD"/>
    <w:rsid w:val="020479C8"/>
    <w:rsid w:val="020D728E"/>
    <w:rsid w:val="02104DC9"/>
    <w:rsid w:val="02105017"/>
    <w:rsid w:val="02223D56"/>
    <w:rsid w:val="022B2C0A"/>
    <w:rsid w:val="022E1342"/>
    <w:rsid w:val="023F42AD"/>
    <w:rsid w:val="023F66B6"/>
    <w:rsid w:val="024155AC"/>
    <w:rsid w:val="02444EA7"/>
    <w:rsid w:val="025F4662"/>
    <w:rsid w:val="027619AC"/>
    <w:rsid w:val="02786B12"/>
    <w:rsid w:val="02935C8C"/>
    <w:rsid w:val="02954528"/>
    <w:rsid w:val="02A37C07"/>
    <w:rsid w:val="02AD7AC3"/>
    <w:rsid w:val="02B20C36"/>
    <w:rsid w:val="02C32E43"/>
    <w:rsid w:val="02D212D8"/>
    <w:rsid w:val="02DB2E36"/>
    <w:rsid w:val="02E10AC7"/>
    <w:rsid w:val="02FE3E7B"/>
    <w:rsid w:val="030342BE"/>
    <w:rsid w:val="0306625F"/>
    <w:rsid w:val="03155792"/>
    <w:rsid w:val="03160B08"/>
    <w:rsid w:val="03442DC8"/>
    <w:rsid w:val="034D4E02"/>
    <w:rsid w:val="037C7591"/>
    <w:rsid w:val="037E6D6A"/>
    <w:rsid w:val="03830BB5"/>
    <w:rsid w:val="038827BB"/>
    <w:rsid w:val="038C76D9"/>
    <w:rsid w:val="03993A4F"/>
    <w:rsid w:val="03CC32AF"/>
    <w:rsid w:val="03DC0818"/>
    <w:rsid w:val="03DC7A5C"/>
    <w:rsid w:val="03E95241"/>
    <w:rsid w:val="03F02558"/>
    <w:rsid w:val="03F07A89"/>
    <w:rsid w:val="040D1264"/>
    <w:rsid w:val="040E6681"/>
    <w:rsid w:val="0415254A"/>
    <w:rsid w:val="041D33B9"/>
    <w:rsid w:val="042A6EF2"/>
    <w:rsid w:val="043511B3"/>
    <w:rsid w:val="044C664D"/>
    <w:rsid w:val="045A77D7"/>
    <w:rsid w:val="045B52FD"/>
    <w:rsid w:val="04651CD8"/>
    <w:rsid w:val="046A44ED"/>
    <w:rsid w:val="046E0A4F"/>
    <w:rsid w:val="04700DA8"/>
    <w:rsid w:val="047508A2"/>
    <w:rsid w:val="047E7EEC"/>
    <w:rsid w:val="048B7990"/>
    <w:rsid w:val="049B69AA"/>
    <w:rsid w:val="049C1B9D"/>
    <w:rsid w:val="04A974C6"/>
    <w:rsid w:val="04C80BE4"/>
    <w:rsid w:val="04D56E5D"/>
    <w:rsid w:val="04DC52CD"/>
    <w:rsid w:val="04F84687"/>
    <w:rsid w:val="050532C9"/>
    <w:rsid w:val="05102A7C"/>
    <w:rsid w:val="05121E5F"/>
    <w:rsid w:val="051C101F"/>
    <w:rsid w:val="05216546"/>
    <w:rsid w:val="05277AB9"/>
    <w:rsid w:val="052D1AD4"/>
    <w:rsid w:val="052D4EEB"/>
    <w:rsid w:val="05300538"/>
    <w:rsid w:val="0534627A"/>
    <w:rsid w:val="05383DBD"/>
    <w:rsid w:val="05465FAD"/>
    <w:rsid w:val="054F4E62"/>
    <w:rsid w:val="055004AD"/>
    <w:rsid w:val="05527330"/>
    <w:rsid w:val="055B3806"/>
    <w:rsid w:val="05646FDA"/>
    <w:rsid w:val="0570087F"/>
    <w:rsid w:val="05740424"/>
    <w:rsid w:val="0578335C"/>
    <w:rsid w:val="05783427"/>
    <w:rsid w:val="057A49F4"/>
    <w:rsid w:val="058102E9"/>
    <w:rsid w:val="05D832E5"/>
    <w:rsid w:val="05E03D0C"/>
    <w:rsid w:val="05EA2DDC"/>
    <w:rsid w:val="05F22FFD"/>
    <w:rsid w:val="05FC4432"/>
    <w:rsid w:val="0604693C"/>
    <w:rsid w:val="06135E8F"/>
    <w:rsid w:val="061834A6"/>
    <w:rsid w:val="061961F8"/>
    <w:rsid w:val="061B278F"/>
    <w:rsid w:val="061D6E58"/>
    <w:rsid w:val="06233BF8"/>
    <w:rsid w:val="06292F10"/>
    <w:rsid w:val="062E4A77"/>
    <w:rsid w:val="063B0E9D"/>
    <w:rsid w:val="06473D8B"/>
    <w:rsid w:val="06532730"/>
    <w:rsid w:val="065E4C1C"/>
    <w:rsid w:val="066B5544"/>
    <w:rsid w:val="066B5CCB"/>
    <w:rsid w:val="06795FAF"/>
    <w:rsid w:val="067A137F"/>
    <w:rsid w:val="067F4416"/>
    <w:rsid w:val="068428E9"/>
    <w:rsid w:val="06874187"/>
    <w:rsid w:val="06AB60C8"/>
    <w:rsid w:val="06AF067A"/>
    <w:rsid w:val="06B106C0"/>
    <w:rsid w:val="06B238FA"/>
    <w:rsid w:val="06BD0CAC"/>
    <w:rsid w:val="06C47189"/>
    <w:rsid w:val="06CA5DF8"/>
    <w:rsid w:val="06CF7C57"/>
    <w:rsid w:val="06D6021A"/>
    <w:rsid w:val="06DA075B"/>
    <w:rsid w:val="06E17D3B"/>
    <w:rsid w:val="06EC66E0"/>
    <w:rsid w:val="06F7130D"/>
    <w:rsid w:val="070D4F0F"/>
    <w:rsid w:val="07163DF5"/>
    <w:rsid w:val="071841B8"/>
    <w:rsid w:val="07233A70"/>
    <w:rsid w:val="072D659E"/>
    <w:rsid w:val="07410B07"/>
    <w:rsid w:val="0742634C"/>
    <w:rsid w:val="07500A1D"/>
    <w:rsid w:val="07577003"/>
    <w:rsid w:val="075E5B53"/>
    <w:rsid w:val="077A4EC2"/>
    <w:rsid w:val="07886409"/>
    <w:rsid w:val="079E5B2A"/>
    <w:rsid w:val="07BA2AC5"/>
    <w:rsid w:val="07C02047"/>
    <w:rsid w:val="07C12195"/>
    <w:rsid w:val="07CF1513"/>
    <w:rsid w:val="07FB495C"/>
    <w:rsid w:val="07FC66E6"/>
    <w:rsid w:val="08002443"/>
    <w:rsid w:val="08240515"/>
    <w:rsid w:val="0825634E"/>
    <w:rsid w:val="082D72D2"/>
    <w:rsid w:val="08471E20"/>
    <w:rsid w:val="08517143"/>
    <w:rsid w:val="0854140A"/>
    <w:rsid w:val="08652D8D"/>
    <w:rsid w:val="08662BC9"/>
    <w:rsid w:val="086724C2"/>
    <w:rsid w:val="086A1FB2"/>
    <w:rsid w:val="087A0447"/>
    <w:rsid w:val="0889068B"/>
    <w:rsid w:val="088C1F29"/>
    <w:rsid w:val="08937E7C"/>
    <w:rsid w:val="08997829"/>
    <w:rsid w:val="089E3E17"/>
    <w:rsid w:val="08A059D4"/>
    <w:rsid w:val="08A96637"/>
    <w:rsid w:val="08C276F9"/>
    <w:rsid w:val="08ED6E6B"/>
    <w:rsid w:val="08F60013"/>
    <w:rsid w:val="08F97134"/>
    <w:rsid w:val="090D12BC"/>
    <w:rsid w:val="0910531E"/>
    <w:rsid w:val="09173EE8"/>
    <w:rsid w:val="092B7077"/>
    <w:rsid w:val="092C0E55"/>
    <w:rsid w:val="093645B1"/>
    <w:rsid w:val="0946032A"/>
    <w:rsid w:val="096114AF"/>
    <w:rsid w:val="09612AD0"/>
    <w:rsid w:val="09774987"/>
    <w:rsid w:val="09837A31"/>
    <w:rsid w:val="09934350"/>
    <w:rsid w:val="0995239B"/>
    <w:rsid w:val="099F674F"/>
    <w:rsid w:val="09AB4631"/>
    <w:rsid w:val="09B1597C"/>
    <w:rsid w:val="09B2776D"/>
    <w:rsid w:val="09B63701"/>
    <w:rsid w:val="09D258EE"/>
    <w:rsid w:val="0A033C45"/>
    <w:rsid w:val="0A0C3321"/>
    <w:rsid w:val="0A120031"/>
    <w:rsid w:val="0A13455E"/>
    <w:rsid w:val="0A1B17B6"/>
    <w:rsid w:val="0A305D6B"/>
    <w:rsid w:val="0A383C6C"/>
    <w:rsid w:val="0A3B7763"/>
    <w:rsid w:val="0A576F20"/>
    <w:rsid w:val="0A6C0264"/>
    <w:rsid w:val="0A6E0DEB"/>
    <w:rsid w:val="0A79028B"/>
    <w:rsid w:val="0A84735B"/>
    <w:rsid w:val="0AA01CBB"/>
    <w:rsid w:val="0AAB0D8C"/>
    <w:rsid w:val="0ABA1B63"/>
    <w:rsid w:val="0ABD7054"/>
    <w:rsid w:val="0AC27FEC"/>
    <w:rsid w:val="0AD23ADB"/>
    <w:rsid w:val="0AD552DB"/>
    <w:rsid w:val="0AD6392F"/>
    <w:rsid w:val="0AD823B8"/>
    <w:rsid w:val="0ADA51CD"/>
    <w:rsid w:val="0AE0030A"/>
    <w:rsid w:val="0AE0732E"/>
    <w:rsid w:val="0AFB1076"/>
    <w:rsid w:val="0AFB5144"/>
    <w:rsid w:val="0AFD3352"/>
    <w:rsid w:val="0B043FF8"/>
    <w:rsid w:val="0B093D05"/>
    <w:rsid w:val="0B0F299D"/>
    <w:rsid w:val="0B227147"/>
    <w:rsid w:val="0B2D1E85"/>
    <w:rsid w:val="0B2E5519"/>
    <w:rsid w:val="0B35347C"/>
    <w:rsid w:val="0B3A2110"/>
    <w:rsid w:val="0B412664"/>
    <w:rsid w:val="0B44362E"/>
    <w:rsid w:val="0B4644D6"/>
    <w:rsid w:val="0B4B6D5E"/>
    <w:rsid w:val="0B680A2B"/>
    <w:rsid w:val="0B683BB7"/>
    <w:rsid w:val="0B6B4077"/>
    <w:rsid w:val="0B7E024F"/>
    <w:rsid w:val="0B813DCE"/>
    <w:rsid w:val="0B8F08F0"/>
    <w:rsid w:val="0BA021A6"/>
    <w:rsid w:val="0BA56018"/>
    <w:rsid w:val="0BAD643E"/>
    <w:rsid w:val="0BB04180"/>
    <w:rsid w:val="0BBC16DD"/>
    <w:rsid w:val="0BC67F78"/>
    <w:rsid w:val="0BD7170D"/>
    <w:rsid w:val="0BD77C61"/>
    <w:rsid w:val="0BE43E2A"/>
    <w:rsid w:val="0BE502CE"/>
    <w:rsid w:val="0BEF4CA9"/>
    <w:rsid w:val="0BFA0120"/>
    <w:rsid w:val="0BFB5CEE"/>
    <w:rsid w:val="0BFE313E"/>
    <w:rsid w:val="0C01625D"/>
    <w:rsid w:val="0C073460"/>
    <w:rsid w:val="0C170FFA"/>
    <w:rsid w:val="0C232BA4"/>
    <w:rsid w:val="0C322DE7"/>
    <w:rsid w:val="0C3F11F9"/>
    <w:rsid w:val="0C47587E"/>
    <w:rsid w:val="0C480B20"/>
    <w:rsid w:val="0C496234"/>
    <w:rsid w:val="0C5D21DE"/>
    <w:rsid w:val="0C6F5DE9"/>
    <w:rsid w:val="0C741652"/>
    <w:rsid w:val="0C7E602C"/>
    <w:rsid w:val="0C882A07"/>
    <w:rsid w:val="0C8F7540"/>
    <w:rsid w:val="0C945A00"/>
    <w:rsid w:val="0C9A1439"/>
    <w:rsid w:val="0CA05FA3"/>
    <w:rsid w:val="0CA61B23"/>
    <w:rsid w:val="0CB13FF3"/>
    <w:rsid w:val="0CB87790"/>
    <w:rsid w:val="0CD0425C"/>
    <w:rsid w:val="0CF00706"/>
    <w:rsid w:val="0CFB58CF"/>
    <w:rsid w:val="0CFF53BF"/>
    <w:rsid w:val="0D054058"/>
    <w:rsid w:val="0D0869A0"/>
    <w:rsid w:val="0D092822"/>
    <w:rsid w:val="0D1E1C7A"/>
    <w:rsid w:val="0D3764E2"/>
    <w:rsid w:val="0D4A624D"/>
    <w:rsid w:val="0D5F27A6"/>
    <w:rsid w:val="0D690A8B"/>
    <w:rsid w:val="0D6E006D"/>
    <w:rsid w:val="0D710CA8"/>
    <w:rsid w:val="0D775A76"/>
    <w:rsid w:val="0D7C07BE"/>
    <w:rsid w:val="0D824822"/>
    <w:rsid w:val="0D8B4057"/>
    <w:rsid w:val="0D8E229F"/>
    <w:rsid w:val="0DBC0BBA"/>
    <w:rsid w:val="0DCB704F"/>
    <w:rsid w:val="0DD56EE8"/>
    <w:rsid w:val="0DE23351"/>
    <w:rsid w:val="0DE567E1"/>
    <w:rsid w:val="0DFB63AE"/>
    <w:rsid w:val="0DFC6BD2"/>
    <w:rsid w:val="0E082052"/>
    <w:rsid w:val="0E0C23C9"/>
    <w:rsid w:val="0E15322B"/>
    <w:rsid w:val="0E230C39"/>
    <w:rsid w:val="0E2F75DE"/>
    <w:rsid w:val="0E3865AC"/>
    <w:rsid w:val="0E3A1CFF"/>
    <w:rsid w:val="0E5274BB"/>
    <w:rsid w:val="0E58435D"/>
    <w:rsid w:val="0E5B4EA0"/>
    <w:rsid w:val="0E5C414B"/>
    <w:rsid w:val="0E5D6FB7"/>
    <w:rsid w:val="0E773CA7"/>
    <w:rsid w:val="0E843F62"/>
    <w:rsid w:val="0E8A6F0A"/>
    <w:rsid w:val="0E925DBF"/>
    <w:rsid w:val="0E99714E"/>
    <w:rsid w:val="0E9D7796"/>
    <w:rsid w:val="0EAB7768"/>
    <w:rsid w:val="0EAD0E5C"/>
    <w:rsid w:val="0EAF02BA"/>
    <w:rsid w:val="0EAF6971"/>
    <w:rsid w:val="0EB16245"/>
    <w:rsid w:val="0EBB384D"/>
    <w:rsid w:val="0ECC12D1"/>
    <w:rsid w:val="0ECD0E2A"/>
    <w:rsid w:val="0ECF0DC1"/>
    <w:rsid w:val="0ED9579C"/>
    <w:rsid w:val="0EE02FCE"/>
    <w:rsid w:val="0EE27CEB"/>
    <w:rsid w:val="0EFB1BB6"/>
    <w:rsid w:val="0EFD2395"/>
    <w:rsid w:val="0F0D5446"/>
    <w:rsid w:val="0F234C69"/>
    <w:rsid w:val="0F395350"/>
    <w:rsid w:val="0F542884"/>
    <w:rsid w:val="0F58441F"/>
    <w:rsid w:val="0F59068B"/>
    <w:rsid w:val="0F64150A"/>
    <w:rsid w:val="0F6950DE"/>
    <w:rsid w:val="0F6C6610"/>
    <w:rsid w:val="0F76123D"/>
    <w:rsid w:val="0F76748F"/>
    <w:rsid w:val="0F781459"/>
    <w:rsid w:val="0F7B6853"/>
    <w:rsid w:val="0F900A8A"/>
    <w:rsid w:val="0F900C4F"/>
    <w:rsid w:val="0FAD1102"/>
    <w:rsid w:val="0FB51D65"/>
    <w:rsid w:val="0FB71F81"/>
    <w:rsid w:val="0FB83603"/>
    <w:rsid w:val="0FBA737B"/>
    <w:rsid w:val="0FBD0C1A"/>
    <w:rsid w:val="0FCB3F1F"/>
    <w:rsid w:val="0FD06B9F"/>
    <w:rsid w:val="0FD541B5"/>
    <w:rsid w:val="0FDA2B9A"/>
    <w:rsid w:val="0FDA7A1E"/>
    <w:rsid w:val="0FEE5277"/>
    <w:rsid w:val="100B407B"/>
    <w:rsid w:val="101D3FC2"/>
    <w:rsid w:val="102173FB"/>
    <w:rsid w:val="10261BFA"/>
    <w:rsid w:val="102852E9"/>
    <w:rsid w:val="102B4C43"/>
    <w:rsid w:val="103518B5"/>
    <w:rsid w:val="10480E2B"/>
    <w:rsid w:val="105554D9"/>
    <w:rsid w:val="10740C17"/>
    <w:rsid w:val="107667FB"/>
    <w:rsid w:val="108411F1"/>
    <w:rsid w:val="108B0D18"/>
    <w:rsid w:val="108C6184"/>
    <w:rsid w:val="1090632E"/>
    <w:rsid w:val="10933197"/>
    <w:rsid w:val="10993435"/>
    <w:rsid w:val="10A2678D"/>
    <w:rsid w:val="10AA08EC"/>
    <w:rsid w:val="10B247FF"/>
    <w:rsid w:val="10C2298C"/>
    <w:rsid w:val="10C61D50"/>
    <w:rsid w:val="10C77FA2"/>
    <w:rsid w:val="10D1490E"/>
    <w:rsid w:val="10D56FDC"/>
    <w:rsid w:val="10DA1F09"/>
    <w:rsid w:val="10F82348"/>
    <w:rsid w:val="11033E82"/>
    <w:rsid w:val="11034D52"/>
    <w:rsid w:val="110C3C07"/>
    <w:rsid w:val="11124F95"/>
    <w:rsid w:val="111451B1"/>
    <w:rsid w:val="112F5B47"/>
    <w:rsid w:val="11313184"/>
    <w:rsid w:val="11342C8E"/>
    <w:rsid w:val="115E7078"/>
    <w:rsid w:val="11672891"/>
    <w:rsid w:val="11691059"/>
    <w:rsid w:val="11746D37"/>
    <w:rsid w:val="117479FE"/>
    <w:rsid w:val="117A5014"/>
    <w:rsid w:val="11800151"/>
    <w:rsid w:val="11810B4A"/>
    <w:rsid w:val="11812847"/>
    <w:rsid w:val="118539B9"/>
    <w:rsid w:val="11867E5D"/>
    <w:rsid w:val="11991213"/>
    <w:rsid w:val="119A3908"/>
    <w:rsid w:val="119F0F1F"/>
    <w:rsid w:val="11A2456B"/>
    <w:rsid w:val="11B524F0"/>
    <w:rsid w:val="11CF5E2C"/>
    <w:rsid w:val="11EB7CC0"/>
    <w:rsid w:val="11F37030"/>
    <w:rsid w:val="11F8098F"/>
    <w:rsid w:val="11FB0C16"/>
    <w:rsid w:val="11FF551A"/>
    <w:rsid w:val="12031C73"/>
    <w:rsid w:val="120B3EBE"/>
    <w:rsid w:val="120D5E88"/>
    <w:rsid w:val="121A6C9D"/>
    <w:rsid w:val="12266F4A"/>
    <w:rsid w:val="12274A70"/>
    <w:rsid w:val="123E4294"/>
    <w:rsid w:val="123F625E"/>
    <w:rsid w:val="124E64C3"/>
    <w:rsid w:val="12525F91"/>
    <w:rsid w:val="125C471A"/>
    <w:rsid w:val="12617BBB"/>
    <w:rsid w:val="127557DC"/>
    <w:rsid w:val="127952CC"/>
    <w:rsid w:val="12866DA3"/>
    <w:rsid w:val="12957C2C"/>
    <w:rsid w:val="12996242"/>
    <w:rsid w:val="129B61A1"/>
    <w:rsid w:val="12A12A75"/>
    <w:rsid w:val="12AF3299"/>
    <w:rsid w:val="12F34B5E"/>
    <w:rsid w:val="13003824"/>
    <w:rsid w:val="130059ED"/>
    <w:rsid w:val="133D1120"/>
    <w:rsid w:val="13426006"/>
    <w:rsid w:val="13456871"/>
    <w:rsid w:val="13573133"/>
    <w:rsid w:val="136046DE"/>
    <w:rsid w:val="13870AF5"/>
    <w:rsid w:val="138A3509"/>
    <w:rsid w:val="13910C41"/>
    <w:rsid w:val="139D4FEA"/>
    <w:rsid w:val="13AB09AA"/>
    <w:rsid w:val="13CB7DA9"/>
    <w:rsid w:val="13D7569A"/>
    <w:rsid w:val="13D76B63"/>
    <w:rsid w:val="13DA2E84"/>
    <w:rsid w:val="13DB43FE"/>
    <w:rsid w:val="13DB47B6"/>
    <w:rsid w:val="13DE4224"/>
    <w:rsid w:val="13F015BE"/>
    <w:rsid w:val="13FF7A53"/>
    <w:rsid w:val="140432BB"/>
    <w:rsid w:val="14186D40"/>
    <w:rsid w:val="14292D22"/>
    <w:rsid w:val="142B0848"/>
    <w:rsid w:val="1432607A"/>
    <w:rsid w:val="1440211B"/>
    <w:rsid w:val="145407C4"/>
    <w:rsid w:val="145713E4"/>
    <w:rsid w:val="145C6C53"/>
    <w:rsid w:val="14681A9C"/>
    <w:rsid w:val="147C5547"/>
    <w:rsid w:val="147F0B94"/>
    <w:rsid w:val="147F6DE6"/>
    <w:rsid w:val="148203E5"/>
    <w:rsid w:val="14877FF9"/>
    <w:rsid w:val="149933ED"/>
    <w:rsid w:val="149F2FE4"/>
    <w:rsid w:val="14A405FA"/>
    <w:rsid w:val="14C33176"/>
    <w:rsid w:val="14C77F6D"/>
    <w:rsid w:val="14CD3D4D"/>
    <w:rsid w:val="14D36945"/>
    <w:rsid w:val="14DF0BF0"/>
    <w:rsid w:val="14E32ED1"/>
    <w:rsid w:val="14E5085A"/>
    <w:rsid w:val="14E86F37"/>
    <w:rsid w:val="14EA45CC"/>
    <w:rsid w:val="14EF5D19"/>
    <w:rsid w:val="14F0527E"/>
    <w:rsid w:val="14F60745"/>
    <w:rsid w:val="14F7697C"/>
    <w:rsid w:val="15033573"/>
    <w:rsid w:val="15086354"/>
    <w:rsid w:val="150878D9"/>
    <w:rsid w:val="152D239E"/>
    <w:rsid w:val="15383FDD"/>
    <w:rsid w:val="153E069C"/>
    <w:rsid w:val="15474D46"/>
    <w:rsid w:val="155D783B"/>
    <w:rsid w:val="159B3B44"/>
    <w:rsid w:val="15A00DC2"/>
    <w:rsid w:val="15A07153"/>
    <w:rsid w:val="15A95495"/>
    <w:rsid w:val="15B004BE"/>
    <w:rsid w:val="15E50ECA"/>
    <w:rsid w:val="15E74C42"/>
    <w:rsid w:val="15EA41AF"/>
    <w:rsid w:val="160B31B5"/>
    <w:rsid w:val="16113A6D"/>
    <w:rsid w:val="161812A0"/>
    <w:rsid w:val="16290DB7"/>
    <w:rsid w:val="1635775C"/>
    <w:rsid w:val="1637336C"/>
    <w:rsid w:val="1649793A"/>
    <w:rsid w:val="16563C07"/>
    <w:rsid w:val="166B13D0"/>
    <w:rsid w:val="16796819"/>
    <w:rsid w:val="1686445B"/>
    <w:rsid w:val="1695644C"/>
    <w:rsid w:val="169E17A5"/>
    <w:rsid w:val="16A918E4"/>
    <w:rsid w:val="16AD43D6"/>
    <w:rsid w:val="16B04812"/>
    <w:rsid w:val="16CA259A"/>
    <w:rsid w:val="16D52CED"/>
    <w:rsid w:val="16EA1D6E"/>
    <w:rsid w:val="16FE7FF8"/>
    <w:rsid w:val="17057BF5"/>
    <w:rsid w:val="170B670F"/>
    <w:rsid w:val="171959AE"/>
    <w:rsid w:val="171E3CF0"/>
    <w:rsid w:val="172123D6"/>
    <w:rsid w:val="173C0FBE"/>
    <w:rsid w:val="17454196"/>
    <w:rsid w:val="175B4A9A"/>
    <w:rsid w:val="17825409"/>
    <w:rsid w:val="17936E30"/>
    <w:rsid w:val="179E7583"/>
    <w:rsid w:val="17A0154D"/>
    <w:rsid w:val="17D16C96"/>
    <w:rsid w:val="17D42FA4"/>
    <w:rsid w:val="17DD454F"/>
    <w:rsid w:val="17E256C1"/>
    <w:rsid w:val="180404D5"/>
    <w:rsid w:val="180424E4"/>
    <w:rsid w:val="183A3210"/>
    <w:rsid w:val="184F4A8A"/>
    <w:rsid w:val="18516A31"/>
    <w:rsid w:val="18637686"/>
    <w:rsid w:val="18811E6E"/>
    <w:rsid w:val="18925339"/>
    <w:rsid w:val="189270E7"/>
    <w:rsid w:val="18932754"/>
    <w:rsid w:val="18995FEE"/>
    <w:rsid w:val="18C66D91"/>
    <w:rsid w:val="18D01F80"/>
    <w:rsid w:val="18D45952"/>
    <w:rsid w:val="18F365C9"/>
    <w:rsid w:val="18F46799"/>
    <w:rsid w:val="18F54B5F"/>
    <w:rsid w:val="190D44B0"/>
    <w:rsid w:val="19132822"/>
    <w:rsid w:val="19197809"/>
    <w:rsid w:val="19240BBF"/>
    <w:rsid w:val="193321B6"/>
    <w:rsid w:val="1933607B"/>
    <w:rsid w:val="19397563"/>
    <w:rsid w:val="194276D1"/>
    <w:rsid w:val="19433732"/>
    <w:rsid w:val="194505FE"/>
    <w:rsid w:val="19563C55"/>
    <w:rsid w:val="19600F94"/>
    <w:rsid w:val="19623A5D"/>
    <w:rsid w:val="19691FDF"/>
    <w:rsid w:val="19697345"/>
    <w:rsid w:val="197113F3"/>
    <w:rsid w:val="1996115B"/>
    <w:rsid w:val="19A8293B"/>
    <w:rsid w:val="19B337B9"/>
    <w:rsid w:val="19BF7459"/>
    <w:rsid w:val="19D66369"/>
    <w:rsid w:val="19E971DB"/>
    <w:rsid w:val="19EC025E"/>
    <w:rsid w:val="19F63D63"/>
    <w:rsid w:val="19FD0C3C"/>
    <w:rsid w:val="1A0A7151"/>
    <w:rsid w:val="1A0F6516"/>
    <w:rsid w:val="1A275DDC"/>
    <w:rsid w:val="1A446E0F"/>
    <w:rsid w:val="1A4C1518"/>
    <w:rsid w:val="1A5403CD"/>
    <w:rsid w:val="1A5B1B46"/>
    <w:rsid w:val="1A606947"/>
    <w:rsid w:val="1A68623D"/>
    <w:rsid w:val="1A7867B1"/>
    <w:rsid w:val="1AA2382E"/>
    <w:rsid w:val="1AA5589C"/>
    <w:rsid w:val="1AAA22BB"/>
    <w:rsid w:val="1AB05F4B"/>
    <w:rsid w:val="1AB81402"/>
    <w:rsid w:val="1AB85B2E"/>
    <w:rsid w:val="1AB86BAD"/>
    <w:rsid w:val="1ABA286E"/>
    <w:rsid w:val="1AC35E60"/>
    <w:rsid w:val="1AC60952"/>
    <w:rsid w:val="1AC83294"/>
    <w:rsid w:val="1ACD2659"/>
    <w:rsid w:val="1AE94FBE"/>
    <w:rsid w:val="1AEB35C0"/>
    <w:rsid w:val="1AF000F5"/>
    <w:rsid w:val="1AF0484A"/>
    <w:rsid w:val="1B1913CD"/>
    <w:rsid w:val="1B252495"/>
    <w:rsid w:val="1B2558AF"/>
    <w:rsid w:val="1B3A75C2"/>
    <w:rsid w:val="1B3F1F8D"/>
    <w:rsid w:val="1B4504E9"/>
    <w:rsid w:val="1B586769"/>
    <w:rsid w:val="1B5B5EB7"/>
    <w:rsid w:val="1B617181"/>
    <w:rsid w:val="1B64563C"/>
    <w:rsid w:val="1B652214"/>
    <w:rsid w:val="1B656D35"/>
    <w:rsid w:val="1B6E578D"/>
    <w:rsid w:val="1B723200"/>
    <w:rsid w:val="1B79458F"/>
    <w:rsid w:val="1B795796"/>
    <w:rsid w:val="1B7C5E2D"/>
    <w:rsid w:val="1B8076CB"/>
    <w:rsid w:val="1B882A24"/>
    <w:rsid w:val="1B8C1FFC"/>
    <w:rsid w:val="1B8D2864"/>
    <w:rsid w:val="1B944F25"/>
    <w:rsid w:val="1B9B4FD0"/>
    <w:rsid w:val="1BA333BA"/>
    <w:rsid w:val="1BA86C22"/>
    <w:rsid w:val="1BA965D2"/>
    <w:rsid w:val="1BB671FC"/>
    <w:rsid w:val="1BBC447B"/>
    <w:rsid w:val="1BBD659D"/>
    <w:rsid w:val="1BDB6FF7"/>
    <w:rsid w:val="1BDF021A"/>
    <w:rsid w:val="1BF03704"/>
    <w:rsid w:val="1C0F04F3"/>
    <w:rsid w:val="1C183DA8"/>
    <w:rsid w:val="1C253579"/>
    <w:rsid w:val="1C493F61"/>
    <w:rsid w:val="1C6B375A"/>
    <w:rsid w:val="1C6C298A"/>
    <w:rsid w:val="1C6E271C"/>
    <w:rsid w:val="1C7D00AF"/>
    <w:rsid w:val="1C7F3E27"/>
    <w:rsid w:val="1C816AA4"/>
    <w:rsid w:val="1C82472F"/>
    <w:rsid w:val="1C9A0F05"/>
    <w:rsid w:val="1CAC629E"/>
    <w:rsid w:val="1CB12C4E"/>
    <w:rsid w:val="1CB533A4"/>
    <w:rsid w:val="1CB5632E"/>
    <w:rsid w:val="1CBB4733"/>
    <w:rsid w:val="1CBF06C7"/>
    <w:rsid w:val="1CC96E50"/>
    <w:rsid w:val="1CE4737F"/>
    <w:rsid w:val="1CE852A3"/>
    <w:rsid w:val="1CEE6A7A"/>
    <w:rsid w:val="1CF859BF"/>
    <w:rsid w:val="1D0A1B72"/>
    <w:rsid w:val="1D0C64DC"/>
    <w:rsid w:val="1D102CD1"/>
    <w:rsid w:val="1D175E0D"/>
    <w:rsid w:val="1D2B3667"/>
    <w:rsid w:val="1D413C15"/>
    <w:rsid w:val="1D4151CB"/>
    <w:rsid w:val="1D557F70"/>
    <w:rsid w:val="1D565C56"/>
    <w:rsid w:val="1D6C6151"/>
    <w:rsid w:val="1D6E17A5"/>
    <w:rsid w:val="1D832CE9"/>
    <w:rsid w:val="1D840FC9"/>
    <w:rsid w:val="1D8F0BDD"/>
    <w:rsid w:val="1D9B7158"/>
    <w:rsid w:val="1DA14C66"/>
    <w:rsid w:val="1DA90A2F"/>
    <w:rsid w:val="1DBA3732"/>
    <w:rsid w:val="1DE008F5"/>
    <w:rsid w:val="1DE444E2"/>
    <w:rsid w:val="1DFE0F43"/>
    <w:rsid w:val="1E01628E"/>
    <w:rsid w:val="1E027EAD"/>
    <w:rsid w:val="1E067C30"/>
    <w:rsid w:val="1E0F0C19"/>
    <w:rsid w:val="1E2C7696"/>
    <w:rsid w:val="1E3B1FCF"/>
    <w:rsid w:val="1E3F28E8"/>
    <w:rsid w:val="1E466713"/>
    <w:rsid w:val="1E480248"/>
    <w:rsid w:val="1E676E01"/>
    <w:rsid w:val="1E853C68"/>
    <w:rsid w:val="1E854FF8"/>
    <w:rsid w:val="1E902326"/>
    <w:rsid w:val="1E96026F"/>
    <w:rsid w:val="1E996D73"/>
    <w:rsid w:val="1EA47BDC"/>
    <w:rsid w:val="1EA5569B"/>
    <w:rsid w:val="1EAC03AA"/>
    <w:rsid w:val="1ED33FB6"/>
    <w:rsid w:val="1EDF2C39"/>
    <w:rsid w:val="1EE461C3"/>
    <w:rsid w:val="1EED74F5"/>
    <w:rsid w:val="1EF67CA4"/>
    <w:rsid w:val="1EFC62AD"/>
    <w:rsid w:val="1EFD121E"/>
    <w:rsid w:val="1F02489B"/>
    <w:rsid w:val="1F050AA0"/>
    <w:rsid w:val="1F066139"/>
    <w:rsid w:val="1F0A4C39"/>
    <w:rsid w:val="1F1840BF"/>
    <w:rsid w:val="1F240CB5"/>
    <w:rsid w:val="1F354C71"/>
    <w:rsid w:val="1F364180"/>
    <w:rsid w:val="1F3A4035"/>
    <w:rsid w:val="1F3F164B"/>
    <w:rsid w:val="1F4E7296"/>
    <w:rsid w:val="1F5321E4"/>
    <w:rsid w:val="1F5B0159"/>
    <w:rsid w:val="1F6A3BED"/>
    <w:rsid w:val="1F758A26"/>
    <w:rsid w:val="1F775289"/>
    <w:rsid w:val="1F840D33"/>
    <w:rsid w:val="1F8452B0"/>
    <w:rsid w:val="1F8D29A8"/>
    <w:rsid w:val="1F8E05B1"/>
    <w:rsid w:val="1F8F4381"/>
    <w:rsid w:val="1FA37E2C"/>
    <w:rsid w:val="1FAF67D1"/>
    <w:rsid w:val="1FB361D8"/>
    <w:rsid w:val="1FC14756"/>
    <w:rsid w:val="1FC3227C"/>
    <w:rsid w:val="1FF44172"/>
    <w:rsid w:val="20041C8A"/>
    <w:rsid w:val="20087CAB"/>
    <w:rsid w:val="200D1A05"/>
    <w:rsid w:val="20144886"/>
    <w:rsid w:val="201B4EAC"/>
    <w:rsid w:val="201E1588"/>
    <w:rsid w:val="201E255B"/>
    <w:rsid w:val="202645B9"/>
    <w:rsid w:val="20390790"/>
    <w:rsid w:val="204213F3"/>
    <w:rsid w:val="204646AF"/>
    <w:rsid w:val="2048066F"/>
    <w:rsid w:val="205002CA"/>
    <w:rsid w:val="2053733A"/>
    <w:rsid w:val="206261AF"/>
    <w:rsid w:val="206F7D0E"/>
    <w:rsid w:val="208166C3"/>
    <w:rsid w:val="20862C66"/>
    <w:rsid w:val="20947775"/>
    <w:rsid w:val="20992FDD"/>
    <w:rsid w:val="20A12544"/>
    <w:rsid w:val="20A43E5C"/>
    <w:rsid w:val="20A7394C"/>
    <w:rsid w:val="20B6191C"/>
    <w:rsid w:val="20C8111F"/>
    <w:rsid w:val="20D51287"/>
    <w:rsid w:val="20DB53A4"/>
    <w:rsid w:val="20E56222"/>
    <w:rsid w:val="20EB4A5B"/>
    <w:rsid w:val="20F473E1"/>
    <w:rsid w:val="210A7A37"/>
    <w:rsid w:val="211A411E"/>
    <w:rsid w:val="211D3C0E"/>
    <w:rsid w:val="212841AD"/>
    <w:rsid w:val="212F3354"/>
    <w:rsid w:val="21352D06"/>
    <w:rsid w:val="213D1BBA"/>
    <w:rsid w:val="21472A39"/>
    <w:rsid w:val="21486EDD"/>
    <w:rsid w:val="21515666"/>
    <w:rsid w:val="215313DE"/>
    <w:rsid w:val="215E489D"/>
    <w:rsid w:val="216A2B48"/>
    <w:rsid w:val="218477E9"/>
    <w:rsid w:val="21884C03"/>
    <w:rsid w:val="218E547E"/>
    <w:rsid w:val="21921F06"/>
    <w:rsid w:val="21937A2C"/>
    <w:rsid w:val="21A43EBE"/>
    <w:rsid w:val="21B06830"/>
    <w:rsid w:val="21B518DD"/>
    <w:rsid w:val="21DC13D3"/>
    <w:rsid w:val="21E16C53"/>
    <w:rsid w:val="21E834B8"/>
    <w:rsid w:val="21F53BBD"/>
    <w:rsid w:val="21F8789E"/>
    <w:rsid w:val="21FA58BD"/>
    <w:rsid w:val="22012302"/>
    <w:rsid w:val="2215580C"/>
    <w:rsid w:val="2233152C"/>
    <w:rsid w:val="22475A2C"/>
    <w:rsid w:val="22492D00"/>
    <w:rsid w:val="224F6049"/>
    <w:rsid w:val="22896798"/>
    <w:rsid w:val="229D6258"/>
    <w:rsid w:val="22AC263C"/>
    <w:rsid w:val="22B83BEE"/>
    <w:rsid w:val="22BA4E19"/>
    <w:rsid w:val="22BF6927"/>
    <w:rsid w:val="22C73E32"/>
    <w:rsid w:val="22CC31F6"/>
    <w:rsid w:val="22CC769A"/>
    <w:rsid w:val="22DC273F"/>
    <w:rsid w:val="22E06CA1"/>
    <w:rsid w:val="22F83FEB"/>
    <w:rsid w:val="230E380E"/>
    <w:rsid w:val="2310441E"/>
    <w:rsid w:val="231235E4"/>
    <w:rsid w:val="2318643B"/>
    <w:rsid w:val="231D1CA3"/>
    <w:rsid w:val="23224EA4"/>
    <w:rsid w:val="23264FFC"/>
    <w:rsid w:val="232A0FFB"/>
    <w:rsid w:val="232E2103"/>
    <w:rsid w:val="23333275"/>
    <w:rsid w:val="233D0C38"/>
    <w:rsid w:val="233F7E6C"/>
    <w:rsid w:val="23531B69"/>
    <w:rsid w:val="235C2297"/>
    <w:rsid w:val="235D6C64"/>
    <w:rsid w:val="235F2713"/>
    <w:rsid w:val="235F5C11"/>
    <w:rsid w:val="23627FFE"/>
    <w:rsid w:val="23641680"/>
    <w:rsid w:val="236B0C61"/>
    <w:rsid w:val="236B7007"/>
    <w:rsid w:val="23721387"/>
    <w:rsid w:val="2378512C"/>
    <w:rsid w:val="239F377F"/>
    <w:rsid w:val="23A21A79"/>
    <w:rsid w:val="23AC7E3D"/>
    <w:rsid w:val="23BB5E80"/>
    <w:rsid w:val="23BD7773"/>
    <w:rsid w:val="23C6058D"/>
    <w:rsid w:val="23D20AF9"/>
    <w:rsid w:val="23E27291"/>
    <w:rsid w:val="23F30C56"/>
    <w:rsid w:val="23F52C20"/>
    <w:rsid w:val="23FD73E0"/>
    <w:rsid w:val="2409047A"/>
    <w:rsid w:val="241C01AD"/>
    <w:rsid w:val="241F37F9"/>
    <w:rsid w:val="24217571"/>
    <w:rsid w:val="242F76CD"/>
    <w:rsid w:val="243E0123"/>
    <w:rsid w:val="24487A08"/>
    <w:rsid w:val="244D11A3"/>
    <w:rsid w:val="2451627C"/>
    <w:rsid w:val="245301AB"/>
    <w:rsid w:val="245C2244"/>
    <w:rsid w:val="24613E12"/>
    <w:rsid w:val="247B2F09"/>
    <w:rsid w:val="24855D52"/>
    <w:rsid w:val="24887132"/>
    <w:rsid w:val="249275B8"/>
    <w:rsid w:val="249B0281"/>
    <w:rsid w:val="24A90952"/>
    <w:rsid w:val="24BF6EEE"/>
    <w:rsid w:val="24C20D54"/>
    <w:rsid w:val="24D64800"/>
    <w:rsid w:val="24E4783E"/>
    <w:rsid w:val="24E862E1"/>
    <w:rsid w:val="24E93A3E"/>
    <w:rsid w:val="24F74B6B"/>
    <w:rsid w:val="25096031"/>
    <w:rsid w:val="250A6B79"/>
    <w:rsid w:val="250C0222"/>
    <w:rsid w:val="250E3F9A"/>
    <w:rsid w:val="251D242F"/>
    <w:rsid w:val="25257535"/>
    <w:rsid w:val="25283964"/>
    <w:rsid w:val="252E1F46"/>
    <w:rsid w:val="2536529E"/>
    <w:rsid w:val="25441769"/>
    <w:rsid w:val="254B6F9C"/>
    <w:rsid w:val="25627E42"/>
    <w:rsid w:val="257B37D1"/>
    <w:rsid w:val="257D5B8F"/>
    <w:rsid w:val="2580476C"/>
    <w:rsid w:val="25817DB1"/>
    <w:rsid w:val="25850D9A"/>
    <w:rsid w:val="259E1A69"/>
    <w:rsid w:val="25A246E2"/>
    <w:rsid w:val="25A308EE"/>
    <w:rsid w:val="25A55F80"/>
    <w:rsid w:val="25B52667"/>
    <w:rsid w:val="25CD2F0B"/>
    <w:rsid w:val="25CD79B1"/>
    <w:rsid w:val="25D02FFD"/>
    <w:rsid w:val="25DE1BBE"/>
    <w:rsid w:val="25F413E1"/>
    <w:rsid w:val="2606448B"/>
    <w:rsid w:val="26094761"/>
    <w:rsid w:val="260F0BB1"/>
    <w:rsid w:val="26141E39"/>
    <w:rsid w:val="26143832"/>
    <w:rsid w:val="26154EB4"/>
    <w:rsid w:val="2617492B"/>
    <w:rsid w:val="261E4BF4"/>
    <w:rsid w:val="26233A75"/>
    <w:rsid w:val="264458DF"/>
    <w:rsid w:val="264832EC"/>
    <w:rsid w:val="264A1B0E"/>
    <w:rsid w:val="264E63DA"/>
    <w:rsid w:val="2650413E"/>
    <w:rsid w:val="265B5FD7"/>
    <w:rsid w:val="26633AD1"/>
    <w:rsid w:val="266B0F78"/>
    <w:rsid w:val="26864004"/>
    <w:rsid w:val="268877A1"/>
    <w:rsid w:val="268F2EB8"/>
    <w:rsid w:val="26AA212A"/>
    <w:rsid w:val="26B13ED6"/>
    <w:rsid w:val="26C03072"/>
    <w:rsid w:val="26C41C94"/>
    <w:rsid w:val="26C77064"/>
    <w:rsid w:val="26CB1A16"/>
    <w:rsid w:val="26D7660D"/>
    <w:rsid w:val="26E2748C"/>
    <w:rsid w:val="26E3709B"/>
    <w:rsid w:val="26F43183"/>
    <w:rsid w:val="26F64CE5"/>
    <w:rsid w:val="26F772BA"/>
    <w:rsid w:val="27152A79"/>
    <w:rsid w:val="271B5B06"/>
    <w:rsid w:val="27383550"/>
    <w:rsid w:val="2743440C"/>
    <w:rsid w:val="27475541"/>
    <w:rsid w:val="27664A12"/>
    <w:rsid w:val="277976C4"/>
    <w:rsid w:val="278B097D"/>
    <w:rsid w:val="279F424E"/>
    <w:rsid w:val="27B8715C"/>
    <w:rsid w:val="27BE33FC"/>
    <w:rsid w:val="27BFF30E"/>
    <w:rsid w:val="27C7477A"/>
    <w:rsid w:val="27C923FA"/>
    <w:rsid w:val="27CA55C7"/>
    <w:rsid w:val="27D05536"/>
    <w:rsid w:val="27FC0558"/>
    <w:rsid w:val="280C4E96"/>
    <w:rsid w:val="28155093"/>
    <w:rsid w:val="281A0EA7"/>
    <w:rsid w:val="28247630"/>
    <w:rsid w:val="28296FEE"/>
    <w:rsid w:val="28304227"/>
    <w:rsid w:val="28321D4D"/>
    <w:rsid w:val="28392BBA"/>
    <w:rsid w:val="28425D08"/>
    <w:rsid w:val="28461C9C"/>
    <w:rsid w:val="28480BD5"/>
    <w:rsid w:val="286033BB"/>
    <w:rsid w:val="28657C92"/>
    <w:rsid w:val="28683B83"/>
    <w:rsid w:val="28702875"/>
    <w:rsid w:val="287404A3"/>
    <w:rsid w:val="287853E1"/>
    <w:rsid w:val="28845444"/>
    <w:rsid w:val="28957928"/>
    <w:rsid w:val="28A54C15"/>
    <w:rsid w:val="28AA3FD9"/>
    <w:rsid w:val="28BA5566"/>
    <w:rsid w:val="28C64B8B"/>
    <w:rsid w:val="28CB28EA"/>
    <w:rsid w:val="28DF17A9"/>
    <w:rsid w:val="28F11C08"/>
    <w:rsid w:val="28F22A1C"/>
    <w:rsid w:val="28F64515"/>
    <w:rsid w:val="291157CB"/>
    <w:rsid w:val="291F20B8"/>
    <w:rsid w:val="292813D7"/>
    <w:rsid w:val="292F44DF"/>
    <w:rsid w:val="29397A8B"/>
    <w:rsid w:val="29453D02"/>
    <w:rsid w:val="29484157"/>
    <w:rsid w:val="29491A44"/>
    <w:rsid w:val="295B5A84"/>
    <w:rsid w:val="296F6AEF"/>
    <w:rsid w:val="29704031"/>
    <w:rsid w:val="297138F2"/>
    <w:rsid w:val="29773C02"/>
    <w:rsid w:val="298A5BB9"/>
    <w:rsid w:val="298C36DF"/>
    <w:rsid w:val="29A2748E"/>
    <w:rsid w:val="29A547A1"/>
    <w:rsid w:val="29A7621B"/>
    <w:rsid w:val="29AE2ACE"/>
    <w:rsid w:val="29B41284"/>
    <w:rsid w:val="29B870BE"/>
    <w:rsid w:val="29C323D4"/>
    <w:rsid w:val="29C4095E"/>
    <w:rsid w:val="29C70BBB"/>
    <w:rsid w:val="29CA2459"/>
    <w:rsid w:val="29CC5B2C"/>
    <w:rsid w:val="29D02628"/>
    <w:rsid w:val="29D04B68"/>
    <w:rsid w:val="29D82DC8"/>
    <w:rsid w:val="29E22822"/>
    <w:rsid w:val="29E928DF"/>
    <w:rsid w:val="29EE09E7"/>
    <w:rsid w:val="29F20749"/>
    <w:rsid w:val="2A0F4386"/>
    <w:rsid w:val="2A16744D"/>
    <w:rsid w:val="2A5616C2"/>
    <w:rsid w:val="2A6308E4"/>
    <w:rsid w:val="2A697EC4"/>
    <w:rsid w:val="2A6D3510"/>
    <w:rsid w:val="2A70409E"/>
    <w:rsid w:val="2A7744A6"/>
    <w:rsid w:val="2A78018B"/>
    <w:rsid w:val="2A783C63"/>
    <w:rsid w:val="2A810D6A"/>
    <w:rsid w:val="2A8244FE"/>
    <w:rsid w:val="2A832B5A"/>
    <w:rsid w:val="2A895E70"/>
    <w:rsid w:val="2A9035D6"/>
    <w:rsid w:val="2A9071FF"/>
    <w:rsid w:val="2AA955C1"/>
    <w:rsid w:val="2AAF1930"/>
    <w:rsid w:val="2ABC2E19"/>
    <w:rsid w:val="2AF52D90"/>
    <w:rsid w:val="2AF94DA4"/>
    <w:rsid w:val="2AFC19DE"/>
    <w:rsid w:val="2AFC6642"/>
    <w:rsid w:val="2B114468"/>
    <w:rsid w:val="2B1B38D1"/>
    <w:rsid w:val="2B1C4F36"/>
    <w:rsid w:val="2B2344CB"/>
    <w:rsid w:val="2B2362C5"/>
    <w:rsid w:val="2B30453E"/>
    <w:rsid w:val="2B327E0B"/>
    <w:rsid w:val="2B346682"/>
    <w:rsid w:val="2B3C2EE3"/>
    <w:rsid w:val="2B3D76C9"/>
    <w:rsid w:val="2B522706"/>
    <w:rsid w:val="2B542F94"/>
    <w:rsid w:val="2B570625"/>
    <w:rsid w:val="2B5D6C50"/>
    <w:rsid w:val="2B662A4C"/>
    <w:rsid w:val="2B783975"/>
    <w:rsid w:val="2B7B7EAF"/>
    <w:rsid w:val="2B7D1E25"/>
    <w:rsid w:val="2BC2163A"/>
    <w:rsid w:val="2BC70BD5"/>
    <w:rsid w:val="2BE066E3"/>
    <w:rsid w:val="2BE36401"/>
    <w:rsid w:val="2BF35C97"/>
    <w:rsid w:val="2BF770A9"/>
    <w:rsid w:val="2BF9798B"/>
    <w:rsid w:val="2C0C6228"/>
    <w:rsid w:val="2C0D10B0"/>
    <w:rsid w:val="2C0D4645"/>
    <w:rsid w:val="2C1233DB"/>
    <w:rsid w:val="2C2063A3"/>
    <w:rsid w:val="2C2E3173"/>
    <w:rsid w:val="2C3806EC"/>
    <w:rsid w:val="2C4A1610"/>
    <w:rsid w:val="2C575A56"/>
    <w:rsid w:val="2C7E7C57"/>
    <w:rsid w:val="2C7F4FF3"/>
    <w:rsid w:val="2C826E48"/>
    <w:rsid w:val="2C8B2EA7"/>
    <w:rsid w:val="2CAB3EFE"/>
    <w:rsid w:val="2CCF533F"/>
    <w:rsid w:val="2CDA3F6E"/>
    <w:rsid w:val="2CDE06F5"/>
    <w:rsid w:val="2CDE5F59"/>
    <w:rsid w:val="2CE22857"/>
    <w:rsid w:val="2CE96994"/>
    <w:rsid w:val="2CEB49B0"/>
    <w:rsid w:val="2CF92C60"/>
    <w:rsid w:val="2D067C4C"/>
    <w:rsid w:val="2D0D46A7"/>
    <w:rsid w:val="2D245207"/>
    <w:rsid w:val="2D2E62D8"/>
    <w:rsid w:val="2D3617F0"/>
    <w:rsid w:val="2D495B38"/>
    <w:rsid w:val="2D6B3570"/>
    <w:rsid w:val="2D6E6F07"/>
    <w:rsid w:val="2D700EA4"/>
    <w:rsid w:val="2D71511A"/>
    <w:rsid w:val="2D802AB3"/>
    <w:rsid w:val="2D834DF9"/>
    <w:rsid w:val="2D885192"/>
    <w:rsid w:val="2D8D7A26"/>
    <w:rsid w:val="2D9C3E18"/>
    <w:rsid w:val="2D9E60D7"/>
    <w:rsid w:val="2DA23821"/>
    <w:rsid w:val="2DBD655D"/>
    <w:rsid w:val="2DC07893"/>
    <w:rsid w:val="2DC23B73"/>
    <w:rsid w:val="2DC45B3D"/>
    <w:rsid w:val="2DC60A70"/>
    <w:rsid w:val="2E00644A"/>
    <w:rsid w:val="2E021F01"/>
    <w:rsid w:val="2E054178"/>
    <w:rsid w:val="2E0E0B66"/>
    <w:rsid w:val="2E19750B"/>
    <w:rsid w:val="2E1E0DDF"/>
    <w:rsid w:val="2E277E7A"/>
    <w:rsid w:val="2E3511E0"/>
    <w:rsid w:val="2E374561"/>
    <w:rsid w:val="2E395265"/>
    <w:rsid w:val="2E3B52CA"/>
    <w:rsid w:val="2E567479"/>
    <w:rsid w:val="2E691FF5"/>
    <w:rsid w:val="2E695315"/>
    <w:rsid w:val="2E7763D7"/>
    <w:rsid w:val="2E943846"/>
    <w:rsid w:val="2E954DE4"/>
    <w:rsid w:val="2E975000"/>
    <w:rsid w:val="2E9B5E89"/>
    <w:rsid w:val="2EA27A9D"/>
    <w:rsid w:val="2EAA38DB"/>
    <w:rsid w:val="2EB49165"/>
    <w:rsid w:val="2EBA6EE4"/>
    <w:rsid w:val="2EC83775"/>
    <w:rsid w:val="2ED00512"/>
    <w:rsid w:val="2ED732BB"/>
    <w:rsid w:val="2EDB1BAF"/>
    <w:rsid w:val="2F087CAC"/>
    <w:rsid w:val="2F0D0E1E"/>
    <w:rsid w:val="2F124686"/>
    <w:rsid w:val="2F2C593F"/>
    <w:rsid w:val="2F414F6C"/>
    <w:rsid w:val="2F4607D4"/>
    <w:rsid w:val="2F483567"/>
    <w:rsid w:val="2F526AE0"/>
    <w:rsid w:val="2F53251C"/>
    <w:rsid w:val="2F5C7FF7"/>
    <w:rsid w:val="2F791CE5"/>
    <w:rsid w:val="2F8514E7"/>
    <w:rsid w:val="2F9652B7"/>
    <w:rsid w:val="2F9C7739"/>
    <w:rsid w:val="2FA01827"/>
    <w:rsid w:val="2FA77853"/>
    <w:rsid w:val="2FBD58EB"/>
    <w:rsid w:val="2FC736C3"/>
    <w:rsid w:val="2FC85303"/>
    <w:rsid w:val="2FD341CA"/>
    <w:rsid w:val="2FD83DF3"/>
    <w:rsid w:val="2FDF6C0C"/>
    <w:rsid w:val="2FE73D65"/>
    <w:rsid w:val="2FE95FD9"/>
    <w:rsid w:val="2FEF2ACF"/>
    <w:rsid w:val="2FF31F91"/>
    <w:rsid w:val="300A35B0"/>
    <w:rsid w:val="300F0BC6"/>
    <w:rsid w:val="3010501E"/>
    <w:rsid w:val="30134B9E"/>
    <w:rsid w:val="30224D9D"/>
    <w:rsid w:val="30445E62"/>
    <w:rsid w:val="30466CDD"/>
    <w:rsid w:val="304B0EBF"/>
    <w:rsid w:val="305F7D9F"/>
    <w:rsid w:val="306C0F96"/>
    <w:rsid w:val="306C4479"/>
    <w:rsid w:val="30711881"/>
    <w:rsid w:val="30730E37"/>
    <w:rsid w:val="307F5D4C"/>
    <w:rsid w:val="30803872"/>
    <w:rsid w:val="308A7A18"/>
    <w:rsid w:val="30915A7F"/>
    <w:rsid w:val="309335A5"/>
    <w:rsid w:val="30A04BF1"/>
    <w:rsid w:val="30A2641A"/>
    <w:rsid w:val="30BC70F0"/>
    <w:rsid w:val="30CC1D29"/>
    <w:rsid w:val="30CC4D09"/>
    <w:rsid w:val="30D8545C"/>
    <w:rsid w:val="30DB2905"/>
    <w:rsid w:val="30E34DAE"/>
    <w:rsid w:val="30F32074"/>
    <w:rsid w:val="31010E56"/>
    <w:rsid w:val="31071BD3"/>
    <w:rsid w:val="311741D6"/>
    <w:rsid w:val="31174ECF"/>
    <w:rsid w:val="3125509A"/>
    <w:rsid w:val="31273AFE"/>
    <w:rsid w:val="312B174B"/>
    <w:rsid w:val="31312EFC"/>
    <w:rsid w:val="313C794F"/>
    <w:rsid w:val="31450962"/>
    <w:rsid w:val="31475F32"/>
    <w:rsid w:val="315471D8"/>
    <w:rsid w:val="31586DC1"/>
    <w:rsid w:val="316E7B6E"/>
    <w:rsid w:val="31722460"/>
    <w:rsid w:val="31801D4F"/>
    <w:rsid w:val="31833F85"/>
    <w:rsid w:val="31883793"/>
    <w:rsid w:val="31927ECA"/>
    <w:rsid w:val="3195334D"/>
    <w:rsid w:val="319921D8"/>
    <w:rsid w:val="31B81B83"/>
    <w:rsid w:val="31C34EA9"/>
    <w:rsid w:val="31E0281A"/>
    <w:rsid w:val="31F26845"/>
    <w:rsid w:val="31FE5396"/>
    <w:rsid w:val="320E29DF"/>
    <w:rsid w:val="3210328B"/>
    <w:rsid w:val="32130F67"/>
    <w:rsid w:val="32157FFC"/>
    <w:rsid w:val="3216623C"/>
    <w:rsid w:val="321C6AE7"/>
    <w:rsid w:val="321F121D"/>
    <w:rsid w:val="32211104"/>
    <w:rsid w:val="322F08F2"/>
    <w:rsid w:val="322F2A2C"/>
    <w:rsid w:val="32342B66"/>
    <w:rsid w:val="323644E2"/>
    <w:rsid w:val="3239017C"/>
    <w:rsid w:val="323A4620"/>
    <w:rsid w:val="323A6E2B"/>
    <w:rsid w:val="323B363E"/>
    <w:rsid w:val="323D5EBE"/>
    <w:rsid w:val="324E1E79"/>
    <w:rsid w:val="32591540"/>
    <w:rsid w:val="3263637B"/>
    <w:rsid w:val="326A6A13"/>
    <w:rsid w:val="327076D5"/>
    <w:rsid w:val="32735B0E"/>
    <w:rsid w:val="32792DC0"/>
    <w:rsid w:val="32A221C5"/>
    <w:rsid w:val="32A23A72"/>
    <w:rsid w:val="32A40871"/>
    <w:rsid w:val="32AB107A"/>
    <w:rsid w:val="32B50494"/>
    <w:rsid w:val="32C0264B"/>
    <w:rsid w:val="32D239F9"/>
    <w:rsid w:val="32E12CEE"/>
    <w:rsid w:val="32FE4E31"/>
    <w:rsid w:val="33051197"/>
    <w:rsid w:val="33180BF7"/>
    <w:rsid w:val="331D7A9E"/>
    <w:rsid w:val="332B1B27"/>
    <w:rsid w:val="333252F7"/>
    <w:rsid w:val="333746BC"/>
    <w:rsid w:val="3339785E"/>
    <w:rsid w:val="333F2A42"/>
    <w:rsid w:val="334677A5"/>
    <w:rsid w:val="3350577D"/>
    <w:rsid w:val="336773E8"/>
    <w:rsid w:val="336D27D3"/>
    <w:rsid w:val="33750D70"/>
    <w:rsid w:val="337F6F04"/>
    <w:rsid w:val="3381002D"/>
    <w:rsid w:val="33866FA8"/>
    <w:rsid w:val="338A1758"/>
    <w:rsid w:val="338C3EE8"/>
    <w:rsid w:val="338F5449"/>
    <w:rsid w:val="33923FE8"/>
    <w:rsid w:val="33940C5C"/>
    <w:rsid w:val="33961D22"/>
    <w:rsid w:val="33BE4DDD"/>
    <w:rsid w:val="33BF64F3"/>
    <w:rsid w:val="33D05DC4"/>
    <w:rsid w:val="33D939C5"/>
    <w:rsid w:val="33E86ECF"/>
    <w:rsid w:val="33F94067"/>
    <w:rsid w:val="33FD4231"/>
    <w:rsid w:val="34024644"/>
    <w:rsid w:val="340E30B5"/>
    <w:rsid w:val="341B48A9"/>
    <w:rsid w:val="341C35CE"/>
    <w:rsid w:val="34265765"/>
    <w:rsid w:val="34303A60"/>
    <w:rsid w:val="34390907"/>
    <w:rsid w:val="34566DA2"/>
    <w:rsid w:val="3474193F"/>
    <w:rsid w:val="347D3C45"/>
    <w:rsid w:val="347E456C"/>
    <w:rsid w:val="348203CC"/>
    <w:rsid w:val="34852425"/>
    <w:rsid w:val="34902367"/>
    <w:rsid w:val="3493058E"/>
    <w:rsid w:val="34993154"/>
    <w:rsid w:val="34B1049E"/>
    <w:rsid w:val="34D2072D"/>
    <w:rsid w:val="34D553A2"/>
    <w:rsid w:val="34DF500B"/>
    <w:rsid w:val="34EE524E"/>
    <w:rsid w:val="34F153C4"/>
    <w:rsid w:val="34F57563"/>
    <w:rsid w:val="34FA1E45"/>
    <w:rsid w:val="34FC0BAF"/>
    <w:rsid w:val="3502519D"/>
    <w:rsid w:val="350607E9"/>
    <w:rsid w:val="351B2D98"/>
    <w:rsid w:val="352167CF"/>
    <w:rsid w:val="35245113"/>
    <w:rsid w:val="35370D67"/>
    <w:rsid w:val="353C6F42"/>
    <w:rsid w:val="354C01C6"/>
    <w:rsid w:val="3555351F"/>
    <w:rsid w:val="355F7EFA"/>
    <w:rsid w:val="356509D4"/>
    <w:rsid w:val="356E7C5B"/>
    <w:rsid w:val="357B23B5"/>
    <w:rsid w:val="357F234A"/>
    <w:rsid w:val="35864C4C"/>
    <w:rsid w:val="358D0F0B"/>
    <w:rsid w:val="35957DBF"/>
    <w:rsid w:val="35A804C7"/>
    <w:rsid w:val="35B31AE5"/>
    <w:rsid w:val="35D137EC"/>
    <w:rsid w:val="35D83F6D"/>
    <w:rsid w:val="35DB7EC8"/>
    <w:rsid w:val="35DF46B8"/>
    <w:rsid w:val="35E86141"/>
    <w:rsid w:val="35EF127D"/>
    <w:rsid w:val="35F607FE"/>
    <w:rsid w:val="35F611A6"/>
    <w:rsid w:val="35FC1729"/>
    <w:rsid w:val="36070CBD"/>
    <w:rsid w:val="360F1920"/>
    <w:rsid w:val="36150CA4"/>
    <w:rsid w:val="3628761B"/>
    <w:rsid w:val="362A49AB"/>
    <w:rsid w:val="36301896"/>
    <w:rsid w:val="36356EAC"/>
    <w:rsid w:val="36472244"/>
    <w:rsid w:val="364B7538"/>
    <w:rsid w:val="364D069A"/>
    <w:rsid w:val="3676445F"/>
    <w:rsid w:val="36783969"/>
    <w:rsid w:val="36892F21"/>
    <w:rsid w:val="369405F0"/>
    <w:rsid w:val="36AA57C0"/>
    <w:rsid w:val="36B1281A"/>
    <w:rsid w:val="36BA580E"/>
    <w:rsid w:val="36C43710"/>
    <w:rsid w:val="36C559EF"/>
    <w:rsid w:val="36CC4D48"/>
    <w:rsid w:val="36DB1DE2"/>
    <w:rsid w:val="36FC3BFF"/>
    <w:rsid w:val="36FF3742"/>
    <w:rsid w:val="3716138B"/>
    <w:rsid w:val="371B60A2"/>
    <w:rsid w:val="371E6308"/>
    <w:rsid w:val="37272367"/>
    <w:rsid w:val="37321D6A"/>
    <w:rsid w:val="3732299E"/>
    <w:rsid w:val="373B14E6"/>
    <w:rsid w:val="37476E97"/>
    <w:rsid w:val="376C3C86"/>
    <w:rsid w:val="37751C56"/>
    <w:rsid w:val="377624A8"/>
    <w:rsid w:val="378D37F0"/>
    <w:rsid w:val="378E0F6A"/>
    <w:rsid w:val="378F84DD"/>
    <w:rsid w:val="379C086E"/>
    <w:rsid w:val="379F64BF"/>
    <w:rsid w:val="37A378D7"/>
    <w:rsid w:val="37AD48A6"/>
    <w:rsid w:val="37BA58BB"/>
    <w:rsid w:val="37BC1633"/>
    <w:rsid w:val="37BF43D9"/>
    <w:rsid w:val="37C342D7"/>
    <w:rsid w:val="37CA01F4"/>
    <w:rsid w:val="37D20543"/>
    <w:rsid w:val="37DC64FB"/>
    <w:rsid w:val="37F731B1"/>
    <w:rsid w:val="37F81A2C"/>
    <w:rsid w:val="381B27FE"/>
    <w:rsid w:val="381F0AE3"/>
    <w:rsid w:val="38265D91"/>
    <w:rsid w:val="382903DD"/>
    <w:rsid w:val="382C4A0B"/>
    <w:rsid w:val="382F62A9"/>
    <w:rsid w:val="383B2EA0"/>
    <w:rsid w:val="383E473E"/>
    <w:rsid w:val="38433B03"/>
    <w:rsid w:val="384D61D4"/>
    <w:rsid w:val="385775AE"/>
    <w:rsid w:val="386C187C"/>
    <w:rsid w:val="38795776"/>
    <w:rsid w:val="3880525D"/>
    <w:rsid w:val="38A20DF8"/>
    <w:rsid w:val="38A421A6"/>
    <w:rsid w:val="38A65E3F"/>
    <w:rsid w:val="38C04BF5"/>
    <w:rsid w:val="38C26637"/>
    <w:rsid w:val="38D4373C"/>
    <w:rsid w:val="38DB3179"/>
    <w:rsid w:val="38E7718C"/>
    <w:rsid w:val="38EE1CC0"/>
    <w:rsid w:val="38EF5A38"/>
    <w:rsid w:val="38F24E5A"/>
    <w:rsid w:val="390F4B99"/>
    <w:rsid w:val="39241B86"/>
    <w:rsid w:val="392C0A3B"/>
    <w:rsid w:val="393022D9"/>
    <w:rsid w:val="3931203C"/>
    <w:rsid w:val="39321C5E"/>
    <w:rsid w:val="39495149"/>
    <w:rsid w:val="394F3325"/>
    <w:rsid w:val="39503F01"/>
    <w:rsid w:val="3954623F"/>
    <w:rsid w:val="39690366"/>
    <w:rsid w:val="398C7EF4"/>
    <w:rsid w:val="398E5251"/>
    <w:rsid w:val="399719B9"/>
    <w:rsid w:val="39A16D33"/>
    <w:rsid w:val="39A700C1"/>
    <w:rsid w:val="39AB1FFB"/>
    <w:rsid w:val="39B5736D"/>
    <w:rsid w:val="39C02B76"/>
    <w:rsid w:val="39C66799"/>
    <w:rsid w:val="39E3734B"/>
    <w:rsid w:val="39E42667"/>
    <w:rsid w:val="39EA0508"/>
    <w:rsid w:val="39ED7076"/>
    <w:rsid w:val="39F350B4"/>
    <w:rsid w:val="39F60B1B"/>
    <w:rsid w:val="39F634E7"/>
    <w:rsid w:val="39F65E57"/>
    <w:rsid w:val="3A066A99"/>
    <w:rsid w:val="3A105C66"/>
    <w:rsid w:val="3A2160C5"/>
    <w:rsid w:val="3A2D18E3"/>
    <w:rsid w:val="3A3E0A25"/>
    <w:rsid w:val="3A483652"/>
    <w:rsid w:val="3A490B50"/>
    <w:rsid w:val="3A797CAF"/>
    <w:rsid w:val="3A7D2E26"/>
    <w:rsid w:val="3A7D77A0"/>
    <w:rsid w:val="3A850402"/>
    <w:rsid w:val="3A865F28"/>
    <w:rsid w:val="3A8D7037"/>
    <w:rsid w:val="3A98618C"/>
    <w:rsid w:val="3A992100"/>
    <w:rsid w:val="3AA96F21"/>
    <w:rsid w:val="3AB56515"/>
    <w:rsid w:val="3AB66351"/>
    <w:rsid w:val="3ABA66ED"/>
    <w:rsid w:val="3AC25DC3"/>
    <w:rsid w:val="3AD153F6"/>
    <w:rsid w:val="3AD21934"/>
    <w:rsid w:val="3AD92313"/>
    <w:rsid w:val="3AEB2DFF"/>
    <w:rsid w:val="3AF64E5C"/>
    <w:rsid w:val="3B0C59F9"/>
    <w:rsid w:val="3B0F5F1E"/>
    <w:rsid w:val="3B116E52"/>
    <w:rsid w:val="3B46613E"/>
    <w:rsid w:val="3B471B5C"/>
    <w:rsid w:val="3B4F27BE"/>
    <w:rsid w:val="3B576EDA"/>
    <w:rsid w:val="3B60677A"/>
    <w:rsid w:val="3B663B78"/>
    <w:rsid w:val="3B820DE6"/>
    <w:rsid w:val="3B9B7FE9"/>
    <w:rsid w:val="3BA7084C"/>
    <w:rsid w:val="3BA96372"/>
    <w:rsid w:val="3BAC7C11"/>
    <w:rsid w:val="3BBC5D4F"/>
    <w:rsid w:val="3BDD2304"/>
    <w:rsid w:val="3BE33C81"/>
    <w:rsid w:val="3BED0FD1"/>
    <w:rsid w:val="3BF37E36"/>
    <w:rsid w:val="3BFB763B"/>
    <w:rsid w:val="3BFF0215"/>
    <w:rsid w:val="3C073099"/>
    <w:rsid w:val="3C096E11"/>
    <w:rsid w:val="3C0D06AF"/>
    <w:rsid w:val="3C1455BB"/>
    <w:rsid w:val="3C157564"/>
    <w:rsid w:val="3C1A7270"/>
    <w:rsid w:val="3C1B0A1F"/>
    <w:rsid w:val="3C1F6D4B"/>
    <w:rsid w:val="3C4A17B1"/>
    <w:rsid w:val="3C5B0CDE"/>
    <w:rsid w:val="3C6127A9"/>
    <w:rsid w:val="3C6319C5"/>
    <w:rsid w:val="3C677EC4"/>
    <w:rsid w:val="3C700C3E"/>
    <w:rsid w:val="3C7F76A5"/>
    <w:rsid w:val="3C922D8F"/>
    <w:rsid w:val="3C96112F"/>
    <w:rsid w:val="3CA165B6"/>
    <w:rsid w:val="3CA2064A"/>
    <w:rsid w:val="3CB66F99"/>
    <w:rsid w:val="3CBF0783"/>
    <w:rsid w:val="3CBF7BE4"/>
    <w:rsid w:val="3D0D2931"/>
    <w:rsid w:val="3D130357"/>
    <w:rsid w:val="3D2F5158"/>
    <w:rsid w:val="3D365393"/>
    <w:rsid w:val="3D3B4325"/>
    <w:rsid w:val="3D3F6F8E"/>
    <w:rsid w:val="3D4F538F"/>
    <w:rsid w:val="3D544C63"/>
    <w:rsid w:val="3D7A7FC6"/>
    <w:rsid w:val="3D832166"/>
    <w:rsid w:val="3D8C3FBC"/>
    <w:rsid w:val="3D8C49FE"/>
    <w:rsid w:val="3DA34770"/>
    <w:rsid w:val="3DB86D2C"/>
    <w:rsid w:val="3DBD7EB3"/>
    <w:rsid w:val="3DBF20F5"/>
    <w:rsid w:val="3DC01877"/>
    <w:rsid w:val="3DC22DC5"/>
    <w:rsid w:val="3DC41242"/>
    <w:rsid w:val="3DCF744B"/>
    <w:rsid w:val="3DD51DE0"/>
    <w:rsid w:val="3DEC6B1F"/>
    <w:rsid w:val="3DF062BF"/>
    <w:rsid w:val="3DF0662A"/>
    <w:rsid w:val="3E0702B8"/>
    <w:rsid w:val="3E0930F8"/>
    <w:rsid w:val="3E0C0386"/>
    <w:rsid w:val="3E0E4BB3"/>
    <w:rsid w:val="3E10092B"/>
    <w:rsid w:val="3E247F32"/>
    <w:rsid w:val="3E4B3711"/>
    <w:rsid w:val="3E5942AD"/>
    <w:rsid w:val="3E5C7540"/>
    <w:rsid w:val="3E6671E3"/>
    <w:rsid w:val="3E6B1F14"/>
    <w:rsid w:val="3E7147C4"/>
    <w:rsid w:val="3E720316"/>
    <w:rsid w:val="3E7569E0"/>
    <w:rsid w:val="3E817133"/>
    <w:rsid w:val="3E907A7A"/>
    <w:rsid w:val="3E9E1036"/>
    <w:rsid w:val="3EAD5564"/>
    <w:rsid w:val="3EAF3CA0"/>
    <w:rsid w:val="3EB11761"/>
    <w:rsid w:val="3EBE2135"/>
    <w:rsid w:val="3EC6723B"/>
    <w:rsid w:val="3ED81ECA"/>
    <w:rsid w:val="3EDA3AA2"/>
    <w:rsid w:val="3EF65BD6"/>
    <w:rsid w:val="3EF773F5"/>
    <w:rsid w:val="3F0062A9"/>
    <w:rsid w:val="3F04284B"/>
    <w:rsid w:val="3F0529BF"/>
    <w:rsid w:val="3F253F62"/>
    <w:rsid w:val="3F306D25"/>
    <w:rsid w:val="3F32553B"/>
    <w:rsid w:val="3F3466AB"/>
    <w:rsid w:val="3F3E1142"/>
    <w:rsid w:val="3F4409C6"/>
    <w:rsid w:val="3F494DF5"/>
    <w:rsid w:val="3F5B2E5D"/>
    <w:rsid w:val="3F5FF82E"/>
    <w:rsid w:val="3F6754EF"/>
    <w:rsid w:val="3F7A391A"/>
    <w:rsid w:val="3F7B6278"/>
    <w:rsid w:val="3F8E7964"/>
    <w:rsid w:val="3F8F5219"/>
    <w:rsid w:val="3F961673"/>
    <w:rsid w:val="3F977E85"/>
    <w:rsid w:val="3F9B4224"/>
    <w:rsid w:val="3FA90E1E"/>
    <w:rsid w:val="3FBE0A07"/>
    <w:rsid w:val="3FC963B4"/>
    <w:rsid w:val="3FCE6ABE"/>
    <w:rsid w:val="3FD31C10"/>
    <w:rsid w:val="3FDD483D"/>
    <w:rsid w:val="3FE51248"/>
    <w:rsid w:val="3FE95B83"/>
    <w:rsid w:val="3FF34F74"/>
    <w:rsid w:val="3FF67C80"/>
    <w:rsid w:val="3FFF1C55"/>
    <w:rsid w:val="3FFF4483"/>
    <w:rsid w:val="3FFFD49A"/>
    <w:rsid w:val="400E0E9A"/>
    <w:rsid w:val="40112738"/>
    <w:rsid w:val="401144E6"/>
    <w:rsid w:val="40133775"/>
    <w:rsid w:val="401421C6"/>
    <w:rsid w:val="4041251B"/>
    <w:rsid w:val="40447056"/>
    <w:rsid w:val="404623E2"/>
    <w:rsid w:val="40464190"/>
    <w:rsid w:val="40475EE5"/>
    <w:rsid w:val="404A7290"/>
    <w:rsid w:val="4061721C"/>
    <w:rsid w:val="40786F2E"/>
    <w:rsid w:val="407B1C4F"/>
    <w:rsid w:val="40AE4353"/>
    <w:rsid w:val="40B43CE8"/>
    <w:rsid w:val="40DF6A92"/>
    <w:rsid w:val="40E16D7E"/>
    <w:rsid w:val="40E22EDE"/>
    <w:rsid w:val="40E65423"/>
    <w:rsid w:val="40EA23FC"/>
    <w:rsid w:val="40EE3D1C"/>
    <w:rsid w:val="40F00033"/>
    <w:rsid w:val="40F515D5"/>
    <w:rsid w:val="40F55BB6"/>
    <w:rsid w:val="40FC39DD"/>
    <w:rsid w:val="41031D06"/>
    <w:rsid w:val="41051B49"/>
    <w:rsid w:val="410764A6"/>
    <w:rsid w:val="412937F1"/>
    <w:rsid w:val="4142704D"/>
    <w:rsid w:val="414601C0"/>
    <w:rsid w:val="414E4F67"/>
    <w:rsid w:val="414F176A"/>
    <w:rsid w:val="41594397"/>
    <w:rsid w:val="416C40CA"/>
    <w:rsid w:val="41775363"/>
    <w:rsid w:val="41866ACB"/>
    <w:rsid w:val="41970A1B"/>
    <w:rsid w:val="41A47AEC"/>
    <w:rsid w:val="41A955EA"/>
    <w:rsid w:val="41BD2B78"/>
    <w:rsid w:val="41BF1749"/>
    <w:rsid w:val="41DB455B"/>
    <w:rsid w:val="4202058A"/>
    <w:rsid w:val="42034279"/>
    <w:rsid w:val="421B33FA"/>
    <w:rsid w:val="4225542A"/>
    <w:rsid w:val="423E2FB8"/>
    <w:rsid w:val="42443EAC"/>
    <w:rsid w:val="42510733"/>
    <w:rsid w:val="4255690C"/>
    <w:rsid w:val="42596356"/>
    <w:rsid w:val="425F778B"/>
    <w:rsid w:val="42622396"/>
    <w:rsid w:val="42666D6B"/>
    <w:rsid w:val="42736B1C"/>
    <w:rsid w:val="427B2100"/>
    <w:rsid w:val="42A00DC0"/>
    <w:rsid w:val="42AC26C9"/>
    <w:rsid w:val="42BB1A88"/>
    <w:rsid w:val="42D11AFA"/>
    <w:rsid w:val="42D85DE8"/>
    <w:rsid w:val="42ED670B"/>
    <w:rsid w:val="42F35C5E"/>
    <w:rsid w:val="42FB6DBC"/>
    <w:rsid w:val="430417B4"/>
    <w:rsid w:val="43217136"/>
    <w:rsid w:val="432B1C3A"/>
    <w:rsid w:val="432E715D"/>
    <w:rsid w:val="43361F5E"/>
    <w:rsid w:val="433A7C0B"/>
    <w:rsid w:val="433C5D1E"/>
    <w:rsid w:val="435B611E"/>
    <w:rsid w:val="435C37A9"/>
    <w:rsid w:val="43654272"/>
    <w:rsid w:val="43674505"/>
    <w:rsid w:val="436B215F"/>
    <w:rsid w:val="437C611B"/>
    <w:rsid w:val="43800213"/>
    <w:rsid w:val="43943464"/>
    <w:rsid w:val="43A2548F"/>
    <w:rsid w:val="43AB62C1"/>
    <w:rsid w:val="43AF5C05"/>
    <w:rsid w:val="43B02317"/>
    <w:rsid w:val="43B655DB"/>
    <w:rsid w:val="43C57AC2"/>
    <w:rsid w:val="43CE724D"/>
    <w:rsid w:val="43E47750"/>
    <w:rsid w:val="43F913D7"/>
    <w:rsid w:val="43FA18BD"/>
    <w:rsid w:val="44050F9E"/>
    <w:rsid w:val="44093F6D"/>
    <w:rsid w:val="440950CF"/>
    <w:rsid w:val="441A592C"/>
    <w:rsid w:val="44231F81"/>
    <w:rsid w:val="44246EDE"/>
    <w:rsid w:val="44384737"/>
    <w:rsid w:val="443C7F5E"/>
    <w:rsid w:val="4440539A"/>
    <w:rsid w:val="44426CAB"/>
    <w:rsid w:val="44454F51"/>
    <w:rsid w:val="444F55DD"/>
    <w:rsid w:val="44507CD3"/>
    <w:rsid w:val="44537C9D"/>
    <w:rsid w:val="44555025"/>
    <w:rsid w:val="44586BC5"/>
    <w:rsid w:val="445F60A7"/>
    <w:rsid w:val="447514E8"/>
    <w:rsid w:val="447D65EE"/>
    <w:rsid w:val="448269E3"/>
    <w:rsid w:val="448715A5"/>
    <w:rsid w:val="4499005A"/>
    <w:rsid w:val="449D473B"/>
    <w:rsid w:val="44AB4F09"/>
    <w:rsid w:val="44D910CB"/>
    <w:rsid w:val="44E46BD9"/>
    <w:rsid w:val="44EC46E6"/>
    <w:rsid w:val="450B1E4C"/>
    <w:rsid w:val="450D5D1D"/>
    <w:rsid w:val="452F40CC"/>
    <w:rsid w:val="453665B4"/>
    <w:rsid w:val="453C2005"/>
    <w:rsid w:val="45677001"/>
    <w:rsid w:val="456926CF"/>
    <w:rsid w:val="4577128F"/>
    <w:rsid w:val="45795008"/>
    <w:rsid w:val="457E3A30"/>
    <w:rsid w:val="458714DE"/>
    <w:rsid w:val="458B6AE9"/>
    <w:rsid w:val="458D0AB3"/>
    <w:rsid w:val="458D460F"/>
    <w:rsid w:val="45956823"/>
    <w:rsid w:val="45B222C8"/>
    <w:rsid w:val="45B30423"/>
    <w:rsid w:val="45C23304"/>
    <w:rsid w:val="45C87587"/>
    <w:rsid w:val="45CE76E4"/>
    <w:rsid w:val="45DD7344"/>
    <w:rsid w:val="45E00128"/>
    <w:rsid w:val="45EA1A61"/>
    <w:rsid w:val="46064DC8"/>
    <w:rsid w:val="46067FA8"/>
    <w:rsid w:val="46116FEE"/>
    <w:rsid w:val="46144D30"/>
    <w:rsid w:val="462E0362"/>
    <w:rsid w:val="46307669"/>
    <w:rsid w:val="4631143E"/>
    <w:rsid w:val="4632349B"/>
    <w:rsid w:val="463F7FFF"/>
    <w:rsid w:val="464C44CA"/>
    <w:rsid w:val="46652A90"/>
    <w:rsid w:val="466C06C8"/>
    <w:rsid w:val="466F7C52"/>
    <w:rsid w:val="468477C0"/>
    <w:rsid w:val="468718FC"/>
    <w:rsid w:val="469356EE"/>
    <w:rsid w:val="469F284C"/>
    <w:rsid w:val="46AC10B2"/>
    <w:rsid w:val="46C329DE"/>
    <w:rsid w:val="46D52711"/>
    <w:rsid w:val="46E47F48"/>
    <w:rsid w:val="46E748D4"/>
    <w:rsid w:val="46E82445"/>
    <w:rsid w:val="46EC35B7"/>
    <w:rsid w:val="46F32B98"/>
    <w:rsid w:val="46F661E4"/>
    <w:rsid w:val="46F96400"/>
    <w:rsid w:val="46FA5CD4"/>
    <w:rsid w:val="470152B5"/>
    <w:rsid w:val="470C3787"/>
    <w:rsid w:val="471945A7"/>
    <w:rsid w:val="472105DD"/>
    <w:rsid w:val="472E3DA6"/>
    <w:rsid w:val="47486A40"/>
    <w:rsid w:val="474B293D"/>
    <w:rsid w:val="475278BE"/>
    <w:rsid w:val="475353E4"/>
    <w:rsid w:val="47596E9F"/>
    <w:rsid w:val="47767A51"/>
    <w:rsid w:val="47773A5B"/>
    <w:rsid w:val="477E0A07"/>
    <w:rsid w:val="47855EE6"/>
    <w:rsid w:val="47887784"/>
    <w:rsid w:val="479651D9"/>
    <w:rsid w:val="479B74B7"/>
    <w:rsid w:val="479E0D55"/>
    <w:rsid w:val="47A619B8"/>
    <w:rsid w:val="47B42327"/>
    <w:rsid w:val="47BB1907"/>
    <w:rsid w:val="47CD5197"/>
    <w:rsid w:val="47D15BA1"/>
    <w:rsid w:val="47D33004"/>
    <w:rsid w:val="47DA3FD8"/>
    <w:rsid w:val="47E524E0"/>
    <w:rsid w:val="47EC7D13"/>
    <w:rsid w:val="47F210A1"/>
    <w:rsid w:val="47FA1658"/>
    <w:rsid w:val="48030BB8"/>
    <w:rsid w:val="480C40F9"/>
    <w:rsid w:val="48111527"/>
    <w:rsid w:val="481212B8"/>
    <w:rsid w:val="48122FD8"/>
    <w:rsid w:val="48166B3E"/>
    <w:rsid w:val="482C3A7F"/>
    <w:rsid w:val="483E6094"/>
    <w:rsid w:val="485860E9"/>
    <w:rsid w:val="4859110F"/>
    <w:rsid w:val="485A1B16"/>
    <w:rsid w:val="48671147"/>
    <w:rsid w:val="486A50DB"/>
    <w:rsid w:val="48713324"/>
    <w:rsid w:val="488D0581"/>
    <w:rsid w:val="48917477"/>
    <w:rsid w:val="48A763C9"/>
    <w:rsid w:val="48B667FD"/>
    <w:rsid w:val="48B77523"/>
    <w:rsid w:val="48BD16AF"/>
    <w:rsid w:val="48C540C0"/>
    <w:rsid w:val="48C77E38"/>
    <w:rsid w:val="48CA4CE9"/>
    <w:rsid w:val="48CF053E"/>
    <w:rsid w:val="4924069D"/>
    <w:rsid w:val="492B03C7"/>
    <w:rsid w:val="493279A7"/>
    <w:rsid w:val="49370970"/>
    <w:rsid w:val="493951AB"/>
    <w:rsid w:val="493B1763"/>
    <w:rsid w:val="493F3E51"/>
    <w:rsid w:val="4940006F"/>
    <w:rsid w:val="494818E7"/>
    <w:rsid w:val="494B14D5"/>
    <w:rsid w:val="495913D8"/>
    <w:rsid w:val="4972249A"/>
    <w:rsid w:val="497E78FD"/>
    <w:rsid w:val="49891591"/>
    <w:rsid w:val="498D2E30"/>
    <w:rsid w:val="49970D05"/>
    <w:rsid w:val="49997A26"/>
    <w:rsid w:val="499A379E"/>
    <w:rsid w:val="499A6022"/>
    <w:rsid w:val="49A01180"/>
    <w:rsid w:val="49B14465"/>
    <w:rsid w:val="49B4660E"/>
    <w:rsid w:val="49B77EAC"/>
    <w:rsid w:val="49BA510F"/>
    <w:rsid w:val="49BA5D7F"/>
    <w:rsid w:val="49C35954"/>
    <w:rsid w:val="49CA56EA"/>
    <w:rsid w:val="49D048BC"/>
    <w:rsid w:val="49D24CE6"/>
    <w:rsid w:val="49E2520F"/>
    <w:rsid w:val="49E30CA1"/>
    <w:rsid w:val="49E93902"/>
    <w:rsid w:val="49ED6E15"/>
    <w:rsid w:val="49ED7F9F"/>
    <w:rsid w:val="49EE6156"/>
    <w:rsid w:val="4A007AA5"/>
    <w:rsid w:val="4A0C4AF8"/>
    <w:rsid w:val="4A174DEF"/>
    <w:rsid w:val="4A201EF6"/>
    <w:rsid w:val="4A3F02E2"/>
    <w:rsid w:val="4A4372FC"/>
    <w:rsid w:val="4A4A2ACF"/>
    <w:rsid w:val="4A5566CE"/>
    <w:rsid w:val="4A5B576E"/>
    <w:rsid w:val="4A5D6CA6"/>
    <w:rsid w:val="4A612BBA"/>
    <w:rsid w:val="4A6F0787"/>
    <w:rsid w:val="4A8139D1"/>
    <w:rsid w:val="4A847833"/>
    <w:rsid w:val="4A855C25"/>
    <w:rsid w:val="4A8A736F"/>
    <w:rsid w:val="4A9401EE"/>
    <w:rsid w:val="4AA33679"/>
    <w:rsid w:val="4AA85A47"/>
    <w:rsid w:val="4AAE5753"/>
    <w:rsid w:val="4AB92DEE"/>
    <w:rsid w:val="4ABC313C"/>
    <w:rsid w:val="4ABF522E"/>
    <w:rsid w:val="4AD02480"/>
    <w:rsid w:val="4AD40B2D"/>
    <w:rsid w:val="4AD87FA4"/>
    <w:rsid w:val="4ADF3B5F"/>
    <w:rsid w:val="4AE92C11"/>
    <w:rsid w:val="4AED118A"/>
    <w:rsid w:val="4AF43817"/>
    <w:rsid w:val="4AF75215"/>
    <w:rsid w:val="4B000DAB"/>
    <w:rsid w:val="4B1650A7"/>
    <w:rsid w:val="4B1B26BD"/>
    <w:rsid w:val="4B1D4687"/>
    <w:rsid w:val="4B232109"/>
    <w:rsid w:val="4B3317B5"/>
    <w:rsid w:val="4B3337B7"/>
    <w:rsid w:val="4B3A2B43"/>
    <w:rsid w:val="4B4D6D1A"/>
    <w:rsid w:val="4B59658C"/>
    <w:rsid w:val="4B5B2D3B"/>
    <w:rsid w:val="4B635E4C"/>
    <w:rsid w:val="4B6D5208"/>
    <w:rsid w:val="4B6D570B"/>
    <w:rsid w:val="4B83098E"/>
    <w:rsid w:val="4B8A27AF"/>
    <w:rsid w:val="4B8D35BB"/>
    <w:rsid w:val="4B9776B9"/>
    <w:rsid w:val="4BA6642B"/>
    <w:rsid w:val="4BBB3745"/>
    <w:rsid w:val="4BEA27BB"/>
    <w:rsid w:val="4BEE4070"/>
    <w:rsid w:val="4BF2341E"/>
    <w:rsid w:val="4BF44CFB"/>
    <w:rsid w:val="4BF52F0E"/>
    <w:rsid w:val="4C020F00"/>
    <w:rsid w:val="4C0A1816"/>
    <w:rsid w:val="4C1D131C"/>
    <w:rsid w:val="4C2278DD"/>
    <w:rsid w:val="4C2A508C"/>
    <w:rsid w:val="4C2D7932"/>
    <w:rsid w:val="4C3158E2"/>
    <w:rsid w:val="4C424A06"/>
    <w:rsid w:val="4C43011D"/>
    <w:rsid w:val="4C491C30"/>
    <w:rsid w:val="4C5E4F57"/>
    <w:rsid w:val="4C6B4F7E"/>
    <w:rsid w:val="4C72630D"/>
    <w:rsid w:val="4C767FBE"/>
    <w:rsid w:val="4C7D362F"/>
    <w:rsid w:val="4C88556D"/>
    <w:rsid w:val="4C8E75EA"/>
    <w:rsid w:val="4C982217"/>
    <w:rsid w:val="4C9E7102"/>
    <w:rsid w:val="4CA566E2"/>
    <w:rsid w:val="4CB42DC9"/>
    <w:rsid w:val="4CC9018B"/>
    <w:rsid w:val="4CC954DC"/>
    <w:rsid w:val="4CD049E5"/>
    <w:rsid w:val="4CE93F59"/>
    <w:rsid w:val="4CF00FA3"/>
    <w:rsid w:val="4CF941B9"/>
    <w:rsid w:val="4D0413E0"/>
    <w:rsid w:val="4D0F77BA"/>
    <w:rsid w:val="4D1F0243"/>
    <w:rsid w:val="4D2A6BE7"/>
    <w:rsid w:val="4D2B7BBA"/>
    <w:rsid w:val="4D487C17"/>
    <w:rsid w:val="4D4A0082"/>
    <w:rsid w:val="4D4D50C7"/>
    <w:rsid w:val="4D660768"/>
    <w:rsid w:val="4D6F1110"/>
    <w:rsid w:val="4D6F4381"/>
    <w:rsid w:val="4D73058E"/>
    <w:rsid w:val="4D752558"/>
    <w:rsid w:val="4D8A7477"/>
    <w:rsid w:val="4DCA7133"/>
    <w:rsid w:val="4DD80C70"/>
    <w:rsid w:val="4DDF79D2"/>
    <w:rsid w:val="4DEA6311"/>
    <w:rsid w:val="4DEB6377"/>
    <w:rsid w:val="4DED1853"/>
    <w:rsid w:val="4DF62F44"/>
    <w:rsid w:val="4DF71185"/>
    <w:rsid w:val="4E104E28"/>
    <w:rsid w:val="4E1753BE"/>
    <w:rsid w:val="4E2F6C3C"/>
    <w:rsid w:val="4E3C6BD2"/>
    <w:rsid w:val="4E402B66"/>
    <w:rsid w:val="4E467E41"/>
    <w:rsid w:val="4E4D5283"/>
    <w:rsid w:val="4E4F6905"/>
    <w:rsid w:val="4E680116"/>
    <w:rsid w:val="4E6B1B8E"/>
    <w:rsid w:val="4E824E83"/>
    <w:rsid w:val="4E880069"/>
    <w:rsid w:val="4E883E90"/>
    <w:rsid w:val="4E8A5B90"/>
    <w:rsid w:val="4E922C96"/>
    <w:rsid w:val="4EA70BA3"/>
    <w:rsid w:val="4EB71F8B"/>
    <w:rsid w:val="4EC850AD"/>
    <w:rsid w:val="4EE259CC"/>
    <w:rsid w:val="4EF70D4B"/>
    <w:rsid w:val="4F024C72"/>
    <w:rsid w:val="4F0549BE"/>
    <w:rsid w:val="4F0A4B30"/>
    <w:rsid w:val="4F0C39F5"/>
    <w:rsid w:val="4F3F6A28"/>
    <w:rsid w:val="4F440434"/>
    <w:rsid w:val="4F4B17C3"/>
    <w:rsid w:val="4F596726"/>
    <w:rsid w:val="4F624FB1"/>
    <w:rsid w:val="4F672375"/>
    <w:rsid w:val="4F6804D8"/>
    <w:rsid w:val="4F7A2EBB"/>
    <w:rsid w:val="4FA87817"/>
    <w:rsid w:val="4FBA7A09"/>
    <w:rsid w:val="4FC9093A"/>
    <w:rsid w:val="4FDB381A"/>
    <w:rsid w:val="4FE237A9"/>
    <w:rsid w:val="4FF4705A"/>
    <w:rsid w:val="4FF5172F"/>
    <w:rsid w:val="500069A2"/>
    <w:rsid w:val="50033E4B"/>
    <w:rsid w:val="500367AB"/>
    <w:rsid w:val="502769E3"/>
    <w:rsid w:val="50447FC0"/>
    <w:rsid w:val="50485D02"/>
    <w:rsid w:val="504D156B"/>
    <w:rsid w:val="505521CD"/>
    <w:rsid w:val="505C786C"/>
    <w:rsid w:val="507408A5"/>
    <w:rsid w:val="50745139"/>
    <w:rsid w:val="50770396"/>
    <w:rsid w:val="50772144"/>
    <w:rsid w:val="507B55C3"/>
    <w:rsid w:val="5081196D"/>
    <w:rsid w:val="5084794A"/>
    <w:rsid w:val="50873FC9"/>
    <w:rsid w:val="508B5BEF"/>
    <w:rsid w:val="508C1F7C"/>
    <w:rsid w:val="509332EC"/>
    <w:rsid w:val="509727E6"/>
    <w:rsid w:val="50AB080A"/>
    <w:rsid w:val="50C11611"/>
    <w:rsid w:val="50CC2F85"/>
    <w:rsid w:val="50CE2F49"/>
    <w:rsid w:val="50D13F4A"/>
    <w:rsid w:val="50D2381E"/>
    <w:rsid w:val="50D51C02"/>
    <w:rsid w:val="50DC32B4"/>
    <w:rsid w:val="50DE21C3"/>
    <w:rsid w:val="50DE6667"/>
    <w:rsid w:val="50DF6F66"/>
    <w:rsid w:val="50F73639"/>
    <w:rsid w:val="50F92B8D"/>
    <w:rsid w:val="510321D5"/>
    <w:rsid w:val="510773DE"/>
    <w:rsid w:val="511677DA"/>
    <w:rsid w:val="51202753"/>
    <w:rsid w:val="514064B2"/>
    <w:rsid w:val="51532BB1"/>
    <w:rsid w:val="516401E3"/>
    <w:rsid w:val="51776D26"/>
    <w:rsid w:val="51825244"/>
    <w:rsid w:val="51840AF0"/>
    <w:rsid w:val="51870AAC"/>
    <w:rsid w:val="51991144"/>
    <w:rsid w:val="51A11B6E"/>
    <w:rsid w:val="51A76B98"/>
    <w:rsid w:val="51A96C75"/>
    <w:rsid w:val="51B364F1"/>
    <w:rsid w:val="51BA678C"/>
    <w:rsid w:val="51D471C5"/>
    <w:rsid w:val="51DD5D6C"/>
    <w:rsid w:val="51E25299"/>
    <w:rsid w:val="51E404B1"/>
    <w:rsid w:val="51E43809"/>
    <w:rsid w:val="51F85506"/>
    <w:rsid w:val="51FA75DE"/>
    <w:rsid w:val="520B348B"/>
    <w:rsid w:val="520E6AD8"/>
    <w:rsid w:val="521F2DEA"/>
    <w:rsid w:val="52262FAD"/>
    <w:rsid w:val="52265EC4"/>
    <w:rsid w:val="522D3402"/>
    <w:rsid w:val="523104CA"/>
    <w:rsid w:val="52326B96"/>
    <w:rsid w:val="52356E8A"/>
    <w:rsid w:val="523A13C9"/>
    <w:rsid w:val="524C401B"/>
    <w:rsid w:val="52500E9E"/>
    <w:rsid w:val="526130AB"/>
    <w:rsid w:val="52662470"/>
    <w:rsid w:val="526F70DE"/>
    <w:rsid w:val="52790714"/>
    <w:rsid w:val="5281374D"/>
    <w:rsid w:val="528F19C6"/>
    <w:rsid w:val="529F66D1"/>
    <w:rsid w:val="52C04276"/>
    <w:rsid w:val="52C33D66"/>
    <w:rsid w:val="52C53AD2"/>
    <w:rsid w:val="52D12D92"/>
    <w:rsid w:val="52F17B91"/>
    <w:rsid w:val="531E2D4A"/>
    <w:rsid w:val="53206AC2"/>
    <w:rsid w:val="5322343E"/>
    <w:rsid w:val="53224DA7"/>
    <w:rsid w:val="53242F2F"/>
    <w:rsid w:val="532644A8"/>
    <w:rsid w:val="53265BF8"/>
    <w:rsid w:val="532C36B9"/>
    <w:rsid w:val="533113DD"/>
    <w:rsid w:val="53487DC7"/>
    <w:rsid w:val="53522F2B"/>
    <w:rsid w:val="535350EA"/>
    <w:rsid w:val="53542C10"/>
    <w:rsid w:val="535D3873"/>
    <w:rsid w:val="535E75EB"/>
    <w:rsid w:val="53607807"/>
    <w:rsid w:val="536270DB"/>
    <w:rsid w:val="53630F4A"/>
    <w:rsid w:val="537266D0"/>
    <w:rsid w:val="53794425"/>
    <w:rsid w:val="538A5B0B"/>
    <w:rsid w:val="538C54A6"/>
    <w:rsid w:val="538F78DD"/>
    <w:rsid w:val="5391176E"/>
    <w:rsid w:val="53937904"/>
    <w:rsid w:val="53961862"/>
    <w:rsid w:val="53B67E63"/>
    <w:rsid w:val="53BF0448"/>
    <w:rsid w:val="53C42A66"/>
    <w:rsid w:val="53D7E754"/>
    <w:rsid w:val="53D93A4E"/>
    <w:rsid w:val="53E55E8D"/>
    <w:rsid w:val="53E753A4"/>
    <w:rsid w:val="53F464BD"/>
    <w:rsid w:val="54010D22"/>
    <w:rsid w:val="54282200"/>
    <w:rsid w:val="542A3355"/>
    <w:rsid w:val="54302D35"/>
    <w:rsid w:val="54345897"/>
    <w:rsid w:val="54444A33"/>
    <w:rsid w:val="54481AB1"/>
    <w:rsid w:val="544D5142"/>
    <w:rsid w:val="544E765F"/>
    <w:rsid w:val="545F186C"/>
    <w:rsid w:val="546A755E"/>
    <w:rsid w:val="546D50F9"/>
    <w:rsid w:val="5472334E"/>
    <w:rsid w:val="54845753"/>
    <w:rsid w:val="548A0B97"/>
    <w:rsid w:val="549459BA"/>
    <w:rsid w:val="54AA10BC"/>
    <w:rsid w:val="54BB4F7A"/>
    <w:rsid w:val="54C16083"/>
    <w:rsid w:val="54C41043"/>
    <w:rsid w:val="54CE2434"/>
    <w:rsid w:val="54E0475B"/>
    <w:rsid w:val="54E33989"/>
    <w:rsid w:val="55006BAB"/>
    <w:rsid w:val="550E303B"/>
    <w:rsid w:val="55216B22"/>
    <w:rsid w:val="552C79A0"/>
    <w:rsid w:val="55341A6B"/>
    <w:rsid w:val="553D46AE"/>
    <w:rsid w:val="55482300"/>
    <w:rsid w:val="555F6C5D"/>
    <w:rsid w:val="55752A94"/>
    <w:rsid w:val="55757355"/>
    <w:rsid w:val="55776954"/>
    <w:rsid w:val="55801A9A"/>
    <w:rsid w:val="558275C0"/>
    <w:rsid w:val="558C043F"/>
    <w:rsid w:val="558D3D04"/>
    <w:rsid w:val="559D4FDA"/>
    <w:rsid w:val="55B55BE8"/>
    <w:rsid w:val="55BA69F6"/>
    <w:rsid w:val="55BC0DCB"/>
    <w:rsid w:val="55C7591B"/>
    <w:rsid w:val="55CF2315"/>
    <w:rsid w:val="55D32512"/>
    <w:rsid w:val="55E57910"/>
    <w:rsid w:val="55F43916"/>
    <w:rsid w:val="561B21EF"/>
    <w:rsid w:val="561B7A15"/>
    <w:rsid w:val="56224332"/>
    <w:rsid w:val="563111E4"/>
    <w:rsid w:val="5641747C"/>
    <w:rsid w:val="564477A4"/>
    <w:rsid w:val="56457485"/>
    <w:rsid w:val="56503B63"/>
    <w:rsid w:val="565A678F"/>
    <w:rsid w:val="565D002E"/>
    <w:rsid w:val="565F152B"/>
    <w:rsid w:val="566B44F9"/>
    <w:rsid w:val="56701E55"/>
    <w:rsid w:val="56782519"/>
    <w:rsid w:val="567C5B8B"/>
    <w:rsid w:val="567F401C"/>
    <w:rsid w:val="56883B22"/>
    <w:rsid w:val="568A2F88"/>
    <w:rsid w:val="568A7075"/>
    <w:rsid w:val="568C1C4C"/>
    <w:rsid w:val="568F2D80"/>
    <w:rsid w:val="56941CA1"/>
    <w:rsid w:val="56A0017C"/>
    <w:rsid w:val="56D179F6"/>
    <w:rsid w:val="56D2766B"/>
    <w:rsid w:val="56EB73E7"/>
    <w:rsid w:val="57156660"/>
    <w:rsid w:val="57203535"/>
    <w:rsid w:val="572172AD"/>
    <w:rsid w:val="57286FD3"/>
    <w:rsid w:val="57342B3C"/>
    <w:rsid w:val="577949F3"/>
    <w:rsid w:val="577B076B"/>
    <w:rsid w:val="577E239D"/>
    <w:rsid w:val="57886905"/>
    <w:rsid w:val="578B1008"/>
    <w:rsid w:val="578E0724"/>
    <w:rsid w:val="579932E7"/>
    <w:rsid w:val="57996E43"/>
    <w:rsid w:val="57A16330"/>
    <w:rsid w:val="57A43171"/>
    <w:rsid w:val="57AB2F0E"/>
    <w:rsid w:val="57AC6B77"/>
    <w:rsid w:val="57B03084"/>
    <w:rsid w:val="57B43470"/>
    <w:rsid w:val="57BD5228"/>
    <w:rsid w:val="57CE11E3"/>
    <w:rsid w:val="57CF6D09"/>
    <w:rsid w:val="57DB56AE"/>
    <w:rsid w:val="57DF519E"/>
    <w:rsid w:val="57DF5376"/>
    <w:rsid w:val="57E32F1B"/>
    <w:rsid w:val="57E36310"/>
    <w:rsid w:val="57EF1A47"/>
    <w:rsid w:val="57F36DEF"/>
    <w:rsid w:val="57FA1D13"/>
    <w:rsid w:val="57FB7AFE"/>
    <w:rsid w:val="58093FC9"/>
    <w:rsid w:val="580A1AEF"/>
    <w:rsid w:val="58133E13"/>
    <w:rsid w:val="58134E48"/>
    <w:rsid w:val="58164938"/>
    <w:rsid w:val="5818245E"/>
    <w:rsid w:val="58182C30"/>
    <w:rsid w:val="581D1822"/>
    <w:rsid w:val="581D5CC6"/>
    <w:rsid w:val="581F37ED"/>
    <w:rsid w:val="58242BB1"/>
    <w:rsid w:val="58310C72"/>
    <w:rsid w:val="58317B6B"/>
    <w:rsid w:val="58360B36"/>
    <w:rsid w:val="583B39EA"/>
    <w:rsid w:val="58403763"/>
    <w:rsid w:val="58473C13"/>
    <w:rsid w:val="58577DBC"/>
    <w:rsid w:val="585C743A"/>
    <w:rsid w:val="58621320"/>
    <w:rsid w:val="586456A3"/>
    <w:rsid w:val="58690919"/>
    <w:rsid w:val="58693AD0"/>
    <w:rsid w:val="586F24D7"/>
    <w:rsid w:val="587423E9"/>
    <w:rsid w:val="5875165E"/>
    <w:rsid w:val="587578B0"/>
    <w:rsid w:val="587C0C3F"/>
    <w:rsid w:val="588915FC"/>
    <w:rsid w:val="589A2E73"/>
    <w:rsid w:val="58A922B9"/>
    <w:rsid w:val="58AC2BA6"/>
    <w:rsid w:val="58D42829"/>
    <w:rsid w:val="58F24787"/>
    <w:rsid w:val="58F509F1"/>
    <w:rsid w:val="58FE12B9"/>
    <w:rsid w:val="590F1AB3"/>
    <w:rsid w:val="59151B75"/>
    <w:rsid w:val="59160250"/>
    <w:rsid w:val="591C2648"/>
    <w:rsid w:val="59205A6E"/>
    <w:rsid w:val="5928381C"/>
    <w:rsid w:val="59305585"/>
    <w:rsid w:val="59350DEE"/>
    <w:rsid w:val="593735E6"/>
    <w:rsid w:val="595174CB"/>
    <w:rsid w:val="59545BCC"/>
    <w:rsid w:val="596B4552"/>
    <w:rsid w:val="596D4317"/>
    <w:rsid w:val="59736665"/>
    <w:rsid w:val="5977271B"/>
    <w:rsid w:val="597B0EF6"/>
    <w:rsid w:val="59815DE1"/>
    <w:rsid w:val="59994085"/>
    <w:rsid w:val="59B90E0A"/>
    <w:rsid w:val="59CE22C7"/>
    <w:rsid w:val="59D34263"/>
    <w:rsid w:val="59D800F7"/>
    <w:rsid w:val="59E051FD"/>
    <w:rsid w:val="59E06FAB"/>
    <w:rsid w:val="59E12A19"/>
    <w:rsid w:val="59E758A9"/>
    <w:rsid w:val="59F61396"/>
    <w:rsid w:val="5A132EDD"/>
    <w:rsid w:val="5A427C66"/>
    <w:rsid w:val="5A461504"/>
    <w:rsid w:val="5A551748"/>
    <w:rsid w:val="5A5906B0"/>
    <w:rsid w:val="5A5A6572"/>
    <w:rsid w:val="5A62445E"/>
    <w:rsid w:val="5A6244FC"/>
    <w:rsid w:val="5A722293"/>
    <w:rsid w:val="5A76346C"/>
    <w:rsid w:val="5A783688"/>
    <w:rsid w:val="5A8C6ED7"/>
    <w:rsid w:val="5AA873A4"/>
    <w:rsid w:val="5AAC62F6"/>
    <w:rsid w:val="5ABF3065"/>
    <w:rsid w:val="5AD0768D"/>
    <w:rsid w:val="5AE96334"/>
    <w:rsid w:val="5AF67500"/>
    <w:rsid w:val="5AFE1DDF"/>
    <w:rsid w:val="5B0F3622"/>
    <w:rsid w:val="5B1549FD"/>
    <w:rsid w:val="5B1B48DB"/>
    <w:rsid w:val="5B312171"/>
    <w:rsid w:val="5B374D43"/>
    <w:rsid w:val="5B4C1A79"/>
    <w:rsid w:val="5B4F1634"/>
    <w:rsid w:val="5B6A50BB"/>
    <w:rsid w:val="5B723C0F"/>
    <w:rsid w:val="5B763D98"/>
    <w:rsid w:val="5B7A3CDA"/>
    <w:rsid w:val="5BD112A2"/>
    <w:rsid w:val="5BD60666"/>
    <w:rsid w:val="5BDC9C90"/>
    <w:rsid w:val="5BE10DB9"/>
    <w:rsid w:val="5BF926CB"/>
    <w:rsid w:val="5C013209"/>
    <w:rsid w:val="5C050F4B"/>
    <w:rsid w:val="5C07081F"/>
    <w:rsid w:val="5C1D44E7"/>
    <w:rsid w:val="5C2064C3"/>
    <w:rsid w:val="5C275D56"/>
    <w:rsid w:val="5C325F11"/>
    <w:rsid w:val="5C372123"/>
    <w:rsid w:val="5C45759A"/>
    <w:rsid w:val="5C502557"/>
    <w:rsid w:val="5C510A61"/>
    <w:rsid w:val="5C52291A"/>
    <w:rsid w:val="5C62014C"/>
    <w:rsid w:val="5C6F18FC"/>
    <w:rsid w:val="5C757E7F"/>
    <w:rsid w:val="5C8E0F41"/>
    <w:rsid w:val="5C8E7193"/>
    <w:rsid w:val="5C9347A9"/>
    <w:rsid w:val="5CA22C3E"/>
    <w:rsid w:val="5CA442C0"/>
    <w:rsid w:val="5CAD64F1"/>
    <w:rsid w:val="5CAD764F"/>
    <w:rsid w:val="5CBB59C5"/>
    <w:rsid w:val="5CC42B64"/>
    <w:rsid w:val="5CC46711"/>
    <w:rsid w:val="5CE648D9"/>
    <w:rsid w:val="5CEB6393"/>
    <w:rsid w:val="5CEE378D"/>
    <w:rsid w:val="5D003BC4"/>
    <w:rsid w:val="5D0134C1"/>
    <w:rsid w:val="5D2F1593"/>
    <w:rsid w:val="5D323FC2"/>
    <w:rsid w:val="5D325D70"/>
    <w:rsid w:val="5D395350"/>
    <w:rsid w:val="5D3F223B"/>
    <w:rsid w:val="5D4635C9"/>
    <w:rsid w:val="5D4D4958"/>
    <w:rsid w:val="5D4E06D0"/>
    <w:rsid w:val="5D740137"/>
    <w:rsid w:val="5D7719D5"/>
    <w:rsid w:val="5D7E7207"/>
    <w:rsid w:val="5D867E6A"/>
    <w:rsid w:val="5D924A61"/>
    <w:rsid w:val="5DAD189A"/>
    <w:rsid w:val="5DB4140A"/>
    <w:rsid w:val="5DB4AFA9"/>
    <w:rsid w:val="5DC30ED0"/>
    <w:rsid w:val="5DCA5FA9"/>
    <w:rsid w:val="5DCB6F63"/>
    <w:rsid w:val="5DD13BCE"/>
    <w:rsid w:val="5DDF5B1F"/>
    <w:rsid w:val="5DF35415"/>
    <w:rsid w:val="5DF689F9"/>
    <w:rsid w:val="5DFF014B"/>
    <w:rsid w:val="5DFFCD7E"/>
    <w:rsid w:val="5E015742"/>
    <w:rsid w:val="5E016E22"/>
    <w:rsid w:val="5E021BE6"/>
    <w:rsid w:val="5E120B70"/>
    <w:rsid w:val="5E16546A"/>
    <w:rsid w:val="5E20206C"/>
    <w:rsid w:val="5E460303"/>
    <w:rsid w:val="5E5042A6"/>
    <w:rsid w:val="5E783C56"/>
    <w:rsid w:val="5E791CF4"/>
    <w:rsid w:val="5E8343A9"/>
    <w:rsid w:val="5E894C1B"/>
    <w:rsid w:val="5ED30E8D"/>
    <w:rsid w:val="5ED864A3"/>
    <w:rsid w:val="5EDA221B"/>
    <w:rsid w:val="5EE50BC0"/>
    <w:rsid w:val="5EF973AD"/>
    <w:rsid w:val="5EFA466C"/>
    <w:rsid w:val="5F014D37"/>
    <w:rsid w:val="5F053010"/>
    <w:rsid w:val="5F076D88"/>
    <w:rsid w:val="5F1A2F60"/>
    <w:rsid w:val="5F1A4D0E"/>
    <w:rsid w:val="5F2636B2"/>
    <w:rsid w:val="5F410CF3"/>
    <w:rsid w:val="5F531564"/>
    <w:rsid w:val="5F592F2B"/>
    <w:rsid w:val="5F6345FE"/>
    <w:rsid w:val="5F674003"/>
    <w:rsid w:val="5F6744E4"/>
    <w:rsid w:val="5F6844DA"/>
    <w:rsid w:val="5F6917F1"/>
    <w:rsid w:val="5F6A078D"/>
    <w:rsid w:val="5F6E5E9A"/>
    <w:rsid w:val="5F741E28"/>
    <w:rsid w:val="5F7F63D7"/>
    <w:rsid w:val="5F8133CB"/>
    <w:rsid w:val="5F8403D9"/>
    <w:rsid w:val="5F8E477B"/>
    <w:rsid w:val="5F9656B0"/>
    <w:rsid w:val="5FA12D39"/>
    <w:rsid w:val="5FAB0540"/>
    <w:rsid w:val="5FB40CBE"/>
    <w:rsid w:val="5FB4164E"/>
    <w:rsid w:val="5FB962D5"/>
    <w:rsid w:val="5FC55A73"/>
    <w:rsid w:val="5FD048F7"/>
    <w:rsid w:val="5FDC5EDE"/>
    <w:rsid w:val="5FFC65F8"/>
    <w:rsid w:val="60005579"/>
    <w:rsid w:val="60124A4E"/>
    <w:rsid w:val="601937A7"/>
    <w:rsid w:val="601C6864"/>
    <w:rsid w:val="601D2D07"/>
    <w:rsid w:val="6037369D"/>
    <w:rsid w:val="6037544B"/>
    <w:rsid w:val="603D4EE3"/>
    <w:rsid w:val="604068BB"/>
    <w:rsid w:val="6041450F"/>
    <w:rsid w:val="604D2EC1"/>
    <w:rsid w:val="604F450B"/>
    <w:rsid w:val="606C53BD"/>
    <w:rsid w:val="60716BAF"/>
    <w:rsid w:val="6074044E"/>
    <w:rsid w:val="60786190"/>
    <w:rsid w:val="60874774"/>
    <w:rsid w:val="60961532"/>
    <w:rsid w:val="609D5BF6"/>
    <w:rsid w:val="60A30530"/>
    <w:rsid w:val="60B60A66"/>
    <w:rsid w:val="60DE126D"/>
    <w:rsid w:val="60E455D3"/>
    <w:rsid w:val="60EA6962"/>
    <w:rsid w:val="60FE74A0"/>
    <w:rsid w:val="60FF1298"/>
    <w:rsid w:val="610769B3"/>
    <w:rsid w:val="61120392"/>
    <w:rsid w:val="611873A4"/>
    <w:rsid w:val="61192D9C"/>
    <w:rsid w:val="61304385"/>
    <w:rsid w:val="61372978"/>
    <w:rsid w:val="613C7BA6"/>
    <w:rsid w:val="615D5AB1"/>
    <w:rsid w:val="616E5B43"/>
    <w:rsid w:val="616F5D86"/>
    <w:rsid w:val="61727482"/>
    <w:rsid w:val="618A03D2"/>
    <w:rsid w:val="618D744E"/>
    <w:rsid w:val="61905EB4"/>
    <w:rsid w:val="61964177"/>
    <w:rsid w:val="61A028D9"/>
    <w:rsid w:val="61B50D1E"/>
    <w:rsid w:val="61B52ACC"/>
    <w:rsid w:val="61C566A5"/>
    <w:rsid w:val="61C872D6"/>
    <w:rsid w:val="61D91153"/>
    <w:rsid w:val="62065A1D"/>
    <w:rsid w:val="62136585"/>
    <w:rsid w:val="621B4A50"/>
    <w:rsid w:val="6223037D"/>
    <w:rsid w:val="62246A3D"/>
    <w:rsid w:val="62254668"/>
    <w:rsid w:val="622A74C5"/>
    <w:rsid w:val="623563AE"/>
    <w:rsid w:val="623E2B7A"/>
    <w:rsid w:val="62427D7A"/>
    <w:rsid w:val="62467BC8"/>
    <w:rsid w:val="62571DD5"/>
    <w:rsid w:val="62646C49"/>
    <w:rsid w:val="62703CE2"/>
    <w:rsid w:val="62736085"/>
    <w:rsid w:val="627806C9"/>
    <w:rsid w:val="62A65FBC"/>
    <w:rsid w:val="62BC5FD6"/>
    <w:rsid w:val="62C3746A"/>
    <w:rsid w:val="62CA07F9"/>
    <w:rsid w:val="62E0626E"/>
    <w:rsid w:val="62E80C7F"/>
    <w:rsid w:val="62EA49F7"/>
    <w:rsid w:val="62EC78F0"/>
    <w:rsid w:val="62EF64B1"/>
    <w:rsid w:val="62FE67F8"/>
    <w:rsid w:val="6324158A"/>
    <w:rsid w:val="6349771A"/>
    <w:rsid w:val="635822A8"/>
    <w:rsid w:val="635A60D5"/>
    <w:rsid w:val="635C7BA4"/>
    <w:rsid w:val="63640C4D"/>
    <w:rsid w:val="636429FB"/>
    <w:rsid w:val="636B5B38"/>
    <w:rsid w:val="636E387A"/>
    <w:rsid w:val="63903C4D"/>
    <w:rsid w:val="63A0704B"/>
    <w:rsid w:val="63A07DEF"/>
    <w:rsid w:val="63AE1EC8"/>
    <w:rsid w:val="63B3128D"/>
    <w:rsid w:val="63B374DF"/>
    <w:rsid w:val="63B86B82"/>
    <w:rsid w:val="63BA2DA6"/>
    <w:rsid w:val="63C7065B"/>
    <w:rsid w:val="63D4270A"/>
    <w:rsid w:val="63E11AC6"/>
    <w:rsid w:val="63E4556C"/>
    <w:rsid w:val="63ED0C43"/>
    <w:rsid w:val="640B2E77"/>
    <w:rsid w:val="64137F7D"/>
    <w:rsid w:val="641B58ED"/>
    <w:rsid w:val="642D103F"/>
    <w:rsid w:val="64337D05"/>
    <w:rsid w:val="64386F25"/>
    <w:rsid w:val="644F0FB6"/>
    <w:rsid w:val="645E744B"/>
    <w:rsid w:val="64610CE9"/>
    <w:rsid w:val="64634A61"/>
    <w:rsid w:val="64682077"/>
    <w:rsid w:val="64683DEB"/>
    <w:rsid w:val="647B7FFD"/>
    <w:rsid w:val="647F510B"/>
    <w:rsid w:val="64824E80"/>
    <w:rsid w:val="64846B72"/>
    <w:rsid w:val="64872E45"/>
    <w:rsid w:val="648C7798"/>
    <w:rsid w:val="64954FE6"/>
    <w:rsid w:val="64963088"/>
    <w:rsid w:val="64A55079"/>
    <w:rsid w:val="64A62BA0"/>
    <w:rsid w:val="64AC41F3"/>
    <w:rsid w:val="64AD1CEC"/>
    <w:rsid w:val="64B30D39"/>
    <w:rsid w:val="64B3732A"/>
    <w:rsid w:val="64C33752"/>
    <w:rsid w:val="64CF20F6"/>
    <w:rsid w:val="64D92F75"/>
    <w:rsid w:val="64DF4A2F"/>
    <w:rsid w:val="64E078AA"/>
    <w:rsid w:val="64E67A14"/>
    <w:rsid w:val="64ED07CF"/>
    <w:rsid w:val="64FD3107"/>
    <w:rsid w:val="64FD4EB5"/>
    <w:rsid w:val="64FF2A32"/>
    <w:rsid w:val="651F553D"/>
    <w:rsid w:val="65217654"/>
    <w:rsid w:val="652561BA"/>
    <w:rsid w:val="652E2FEC"/>
    <w:rsid w:val="6556131F"/>
    <w:rsid w:val="6562740E"/>
    <w:rsid w:val="658B7E6D"/>
    <w:rsid w:val="65A03708"/>
    <w:rsid w:val="65A45660"/>
    <w:rsid w:val="65AD68DC"/>
    <w:rsid w:val="65B80DDC"/>
    <w:rsid w:val="65CC6A2A"/>
    <w:rsid w:val="65D379C4"/>
    <w:rsid w:val="65E240AB"/>
    <w:rsid w:val="65EC0A86"/>
    <w:rsid w:val="65EE59CC"/>
    <w:rsid w:val="65F34046"/>
    <w:rsid w:val="660404BE"/>
    <w:rsid w:val="6620172C"/>
    <w:rsid w:val="662B0582"/>
    <w:rsid w:val="662D5327"/>
    <w:rsid w:val="66304A2C"/>
    <w:rsid w:val="663F2EBC"/>
    <w:rsid w:val="664F7993"/>
    <w:rsid w:val="66652BE1"/>
    <w:rsid w:val="666C1B19"/>
    <w:rsid w:val="667C005C"/>
    <w:rsid w:val="66830EA4"/>
    <w:rsid w:val="66927307"/>
    <w:rsid w:val="66BB0B84"/>
    <w:rsid w:val="66BB610C"/>
    <w:rsid w:val="66C11670"/>
    <w:rsid w:val="66C642D2"/>
    <w:rsid w:val="66D024FC"/>
    <w:rsid w:val="66D63C10"/>
    <w:rsid w:val="66F61BAB"/>
    <w:rsid w:val="66FF44B3"/>
    <w:rsid w:val="67010561"/>
    <w:rsid w:val="67035C7B"/>
    <w:rsid w:val="671250CD"/>
    <w:rsid w:val="671523A6"/>
    <w:rsid w:val="671B5AC7"/>
    <w:rsid w:val="67226E55"/>
    <w:rsid w:val="672620CB"/>
    <w:rsid w:val="67544B35"/>
    <w:rsid w:val="67551A6F"/>
    <w:rsid w:val="675760CB"/>
    <w:rsid w:val="6765721F"/>
    <w:rsid w:val="677B353A"/>
    <w:rsid w:val="677B4147"/>
    <w:rsid w:val="677DC346"/>
    <w:rsid w:val="678843E5"/>
    <w:rsid w:val="6791267E"/>
    <w:rsid w:val="679318E2"/>
    <w:rsid w:val="67931BFE"/>
    <w:rsid w:val="679E3E90"/>
    <w:rsid w:val="679F6DDE"/>
    <w:rsid w:val="67AA259A"/>
    <w:rsid w:val="67AD384E"/>
    <w:rsid w:val="67B11F87"/>
    <w:rsid w:val="67BB151A"/>
    <w:rsid w:val="67C57160"/>
    <w:rsid w:val="67CA4DF7"/>
    <w:rsid w:val="67D03BBF"/>
    <w:rsid w:val="67D450F6"/>
    <w:rsid w:val="67DF4B65"/>
    <w:rsid w:val="67E4410B"/>
    <w:rsid w:val="67E75076"/>
    <w:rsid w:val="67EB1E29"/>
    <w:rsid w:val="67EF3AFA"/>
    <w:rsid w:val="67FC1DA3"/>
    <w:rsid w:val="67FD6F7B"/>
    <w:rsid w:val="67FF52AE"/>
    <w:rsid w:val="6817628E"/>
    <w:rsid w:val="68282249"/>
    <w:rsid w:val="6846757A"/>
    <w:rsid w:val="68545B9F"/>
    <w:rsid w:val="68582325"/>
    <w:rsid w:val="686F1120"/>
    <w:rsid w:val="68776F3E"/>
    <w:rsid w:val="688A50D8"/>
    <w:rsid w:val="688E0338"/>
    <w:rsid w:val="68C55CEA"/>
    <w:rsid w:val="68C90A18"/>
    <w:rsid w:val="68C93F14"/>
    <w:rsid w:val="68CF4DBB"/>
    <w:rsid w:val="68D42128"/>
    <w:rsid w:val="68E04D9A"/>
    <w:rsid w:val="68E04F48"/>
    <w:rsid w:val="68E212B8"/>
    <w:rsid w:val="68E85E7D"/>
    <w:rsid w:val="68F058A7"/>
    <w:rsid w:val="68F949C9"/>
    <w:rsid w:val="6902505D"/>
    <w:rsid w:val="690A7BA1"/>
    <w:rsid w:val="690C3919"/>
    <w:rsid w:val="690D143F"/>
    <w:rsid w:val="69107B7A"/>
    <w:rsid w:val="69171A09"/>
    <w:rsid w:val="691A574C"/>
    <w:rsid w:val="691B590A"/>
    <w:rsid w:val="6944616A"/>
    <w:rsid w:val="69482477"/>
    <w:rsid w:val="695666D7"/>
    <w:rsid w:val="695706BC"/>
    <w:rsid w:val="695A7EB9"/>
    <w:rsid w:val="696C0B23"/>
    <w:rsid w:val="69843B12"/>
    <w:rsid w:val="699B2EEF"/>
    <w:rsid w:val="69B23B42"/>
    <w:rsid w:val="69D03328"/>
    <w:rsid w:val="69D1246D"/>
    <w:rsid w:val="69D14F47"/>
    <w:rsid w:val="69D56401"/>
    <w:rsid w:val="69DF4B8A"/>
    <w:rsid w:val="69E00902"/>
    <w:rsid w:val="69F6502B"/>
    <w:rsid w:val="69FE3657"/>
    <w:rsid w:val="6A045FBF"/>
    <w:rsid w:val="6A0F1C08"/>
    <w:rsid w:val="6A197243"/>
    <w:rsid w:val="6A2230B3"/>
    <w:rsid w:val="6A364D50"/>
    <w:rsid w:val="6A4832DD"/>
    <w:rsid w:val="6A5D61D4"/>
    <w:rsid w:val="6A75729C"/>
    <w:rsid w:val="6A8219B9"/>
    <w:rsid w:val="6A8756AA"/>
    <w:rsid w:val="6A880511"/>
    <w:rsid w:val="6A941E18"/>
    <w:rsid w:val="6AA2698B"/>
    <w:rsid w:val="6AA86129"/>
    <w:rsid w:val="6AAF2B8F"/>
    <w:rsid w:val="6AB75B07"/>
    <w:rsid w:val="6ABF6769"/>
    <w:rsid w:val="6AC16985"/>
    <w:rsid w:val="6ACB7098"/>
    <w:rsid w:val="6AD06F63"/>
    <w:rsid w:val="6AD83814"/>
    <w:rsid w:val="6ADE7537"/>
    <w:rsid w:val="6AE663EC"/>
    <w:rsid w:val="6AEA57F6"/>
    <w:rsid w:val="6AEB3A02"/>
    <w:rsid w:val="6AED32D6"/>
    <w:rsid w:val="6AF5157F"/>
    <w:rsid w:val="6AFF0CFB"/>
    <w:rsid w:val="6B1B7E43"/>
    <w:rsid w:val="6B23319C"/>
    <w:rsid w:val="6B2C2051"/>
    <w:rsid w:val="6B482C03"/>
    <w:rsid w:val="6B7439F8"/>
    <w:rsid w:val="6B767770"/>
    <w:rsid w:val="6B7953EB"/>
    <w:rsid w:val="6B8754D9"/>
    <w:rsid w:val="6B8E4AB9"/>
    <w:rsid w:val="6B96075F"/>
    <w:rsid w:val="6B9F077D"/>
    <w:rsid w:val="6BA4F9C7"/>
    <w:rsid w:val="6BA81981"/>
    <w:rsid w:val="6BBA1B4A"/>
    <w:rsid w:val="6BC12DE3"/>
    <w:rsid w:val="6BC93D43"/>
    <w:rsid w:val="6BC95AF1"/>
    <w:rsid w:val="6BDE2BD1"/>
    <w:rsid w:val="6BE831D7"/>
    <w:rsid w:val="6BF123BD"/>
    <w:rsid w:val="6BF67BB6"/>
    <w:rsid w:val="6BF863D7"/>
    <w:rsid w:val="6BFD3DD7"/>
    <w:rsid w:val="6C03130E"/>
    <w:rsid w:val="6C0528A2"/>
    <w:rsid w:val="6C180827"/>
    <w:rsid w:val="6C193CE5"/>
    <w:rsid w:val="6C1D45C3"/>
    <w:rsid w:val="6C270A6A"/>
    <w:rsid w:val="6C2942A7"/>
    <w:rsid w:val="6C2B2308"/>
    <w:rsid w:val="6C5230BC"/>
    <w:rsid w:val="6C6E44C7"/>
    <w:rsid w:val="6C6E598E"/>
    <w:rsid w:val="6C702411"/>
    <w:rsid w:val="6C832144"/>
    <w:rsid w:val="6C916E87"/>
    <w:rsid w:val="6C942252"/>
    <w:rsid w:val="6C9F1808"/>
    <w:rsid w:val="6CA420BB"/>
    <w:rsid w:val="6CB95A5F"/>
    <w:rsid w:val="6CEB2C42"/>
    <w:rsid w:val="6CED5EB8"/>
    <w:rsid w:val="6CFB4D33"/>
    <w:rsid w:val="6CFC6341"/>
    <w:rsid w:val="6D1E7C61"/>
    <w:rsid w:val="6D34343E"/>
    <w:rsid w:val="6D350F65"/>
    <w:rsid w:val="6D527D69"/>
    <w:rsid w:val="6D5748FF"/>
    <w:rsid w:val="6D5B4E6F"/>
    <w:rsid w:val="6D7952F5"/>
    <w:rsid w:val="6D79667C"/>
    <w:rsid w:val="6D7D4DE5"/>
    <w:rsid w:val="6D7E5A8E"/>
    <w:rsid w:val="6DA2439E"/>
    <w:rsid w:val="6DAF6F69"/>
    <w:rsid w:val="6DBB528E"/>
    <w:rsid w:val="6DBE5554"/>
    <w:rsid w:val="6DC5678C"/>
    <w:rsid w:val="6DCF13B9"/>
    <w:rsid w:val="6DD8584F"/>
    <w:rsid w:val="6DE701F7"/>
    <w:rsid w:val="6DF572B5"/>
    <w:rsid w:val="6E087CA2"/>
    <w:rsid w:val="6E21682C"/>
    <w:rsid w:val="6E251EBD"/>
    <w:rsid w:val="6E266403"/>
    <w:rsid w:val="6E2A38BB"/>
    <w:rsid w:val="6E3000AA"/>
    <w:rsid w:val="6E3B25AB"/>
    <w:rsid w:val="6E3C2A15"/>
    <w:rsid w:val="6E626756"/>
    <w:rsid w:val="6E66587A"/>
    <w:rsid w:val="6E824314"/>
    <w:rsid w:val="6E8552D3"/>
    <w:rsid w:val="6E855CE3"/>
    <w:rsid w:val="6E8E4510"/>
    <w:rsid w:val="6E95615F"/>
    <w:rsid w:val="6E964EF7"/>
    <w:rsid w:val="6EA14B04"/>
    <w:rsid w:val="6EAB1E67"/>
    <w:rsid w:val="6EAD62A3"/>
    <w:rsid w:val="6EBE7BCB"/>
    <w:rsid w:val="6ECB1B80"/>
    <w:rsid w:val="6ECC4A08"/>
    <w:rsid w:val="6ECD2955"/>
    <w:rsid w:val="6EE02B9E"/>
    <w:rsid w:val="6EF72976"/>
    <w:rsid w:val="6F03131A"/>
    <w:rsid w:val="6F045092"/>
    <w:rsid w:val="6F064A85"/>
    <w:rsid w:val="6F0A40EE"/>
    <w:rsid w:val="6F2F03B8"/>
    <w:rsid w:val="6F3B444A"/>
    <w:rsid w:val="6F3E67F6"/>
    <w:rsid w:val="6F46176F"/>
    <w:rsid w:val="6F532CF3"/>
    <w:rsid w:val="6F54579D"/>
    <w:rsid w:val="6F6233F9"/>
    <w:rsid w:val="6F6A1399"/>
    <w:rsid w:val="6F8A3E42"/>
    <w:rsid w:val="6F903BC7"/>
    <w:rsid w:val="6F93321D"/>
    <w:rsid w:val="6FA00508"/>
    <w:rsid w:val="6FAC3760"/>
    <w:rsid w:val="6FB87EA3"/>
    <w:rsid w:val="6FB940CF"/>
    <w:rsid w:val="6FBC6085"/>
    <w:rsid w:val="6FBF5321"/>
    <w:rsid w:val="6FC62348"/>
    <w:rsid w:val="6FCC795E"/>
    <w:rsid w:val="6FCF56A0"/>
    <w:rsid w:val="6FE416D5"/>
    <w:rsid w:val="6FE62577"/>
    <w:rsid w:val="6FEA072C"/>
    <w:rsid w:val="6FEF189F"/>
    <w:rsid w:val="6FF92571"/>
    <w:rsid w:val="6FFB46E7"/>
    <w:rsid w:val="700B3A1C"/>
    <w:rsid w:val="700C35E0"/>
    <w:rsid w:val="701337DF"/>
    <w:rsid w:val="701C4A25"/>
    <w:rsid w:val="701D28B0"/>
    <w:rsid w:val="701F2A07"/>
    <w:rsid w:val="70205EFC"/>
    <w:rsid w:val="70292F11"/>
    <w:rsid w:val="703419A7"/>
    <w:rsid w:val="70361D3F"/>
    <w:rsid w:val="703A1840"/>
    <w:rsid w:val="703D3958"/>
    <w:rsid w:val="70403913"/>
    <w:rsid w:val="704158C2"/>
    <w:rsid w:val="70473960"/>
    <w:rsid w:val="705878A5"/>
    <w:rsid w:val="7069117B"/>
    <w:rsid w:val="7072226F"/>
    <w:rsid w:val="70740D84"/>
    <w:rsid w:val="70853FB1"/>
    <w:rsid w:val="70892265"/>
    <w:rsid w:val="708E2FC5"/>
    <w:rsid w:val="70912956"/>
    <w:rsid w:val="70A01C66"/>
    <w:rsid w:val="70A84617"/>
    <w:rsid w:val="70BC5C25"/>
    <w:rsid w:val="70C51B7E"/>
    <w:rsid w:val="70EC5DDE"/>
    <w:rsid w:val="70EF2EA7"/>
    <w:rsid w:val="70FE623D"/>
    <w:rsid w:val="710628A1"/>
    <w:rsid w:val="710F044A"/>
    <w:rsid w:val="712B4B58"/>
    <w:rsid w:val="71302AFD"/>
    <w:rsid w:val="71327C95"/>
    <w:rsid w:val="71332BBF"/>
    <w:rsid w:val="713C0B14"/>
    <w:rsid w:val="71492490"/>
    <w:rsid w:val="714A1C1F"/>
    <w:rsid w:val="7157594D"/>
    <w:rsid w:val="715C11B6"/>
    <w:rsid w:val="71682F3F"/>
    <w:rsid w:val="716A342F"/>
    <w:rsid w:val="716B31A7"/>
    <w:rsid w:val="71707F9F"/>
    <w:rsid w:val="717402AD"/>
    <w:rsid w:val="717B788E"/>
    <w:rsid w:val="718030F6"/>
    <w:rsid w:val="718A15EA"/>
    <w:rsid w:val="71941D24"/>
    <w:rsid w:val="71AD2170"/>
    <w:rsid w:val="71B858ED"/>
    <w:rsid w:val="71B97D69"/>
    <w:rsid w:val="71C1548B"/>
    <w:rsid w:val="71C37432"/>
    <w:rsid w:val="71C50B09"/>
    <w:rsid w:val="71C70D25"/>
    <w:rsid w:val="71C7177E"/>
    <w:rsid w:val="71CF3DD8"/>
    <w:rsid w:val="71E62D31"/>
    <w:rsid w:val="71E92C2F"/>
    <w:rsid w:val="71EA7D25"/>
    <w:rsid w:val="71ED1E0E"/>
    <w:rsid w:val="71F027C0"/>
    <w:rsid w:val="71FC3878"/>
    <w:rsid w:val="720C02B6"/>
    <w:rsid w:val="72190832"/>
    <w:rsid w:val="72235B01"/>
    <w:rsid w:val="7246375A"/>
    <w:rsid w:val="724D2B69"/>
    <w:rsid w:val="7252339E"/>
    <w:rsid w:val="72563E57"/>
    <w:rsid w:val="725D7DAB"/>
    <w:rsid w:val="726631BE"/>
    <w:rsid w:val="726F6CC7"/>
    <w:rsid w:val="7278201F"/>
    <w:rsid w:val="72936E59"/>
    <w:rsid w:val="72987FCC"/>
    <w:rsid w:val="729C0437"/>
    <w:rsid w:val="729D3834"/>
    <w:rsid w:val="72CB7276"/>
    <w:rsid w:val="72CC5EC7"/>
    <w:rsid w:val="72D01BF4"/>
    <w:rsid w:val="72D440E1"/>
    <w:rsid w:val="72DD5495"/>
    <w:rsid w:val="72E31CDD"/>
    <w:rsid w:val="72E72D01"/>
    <w:rsid w:val="72EF349C"/>
    <w:rsid w:val="72F773E8"/>
    <w:rsid w:val="72F779DE"/>
    <w:rsid w:val="72FF44EF"/>
    <w:rsid w:val="73025D8D"/>
    <w:rsid w:val="73027B3B"/>
    <w:rsid w:val="730B3482"/>
    <w:rsid w:val="730E66E3"/>
    <w:rsid w:val="73196B42"/>
    <w:rsid w:val="731C08A5"/>
    <w:rsid w:val="731D3DCF"/>
    <w:rsid w:val="731E2BC7"/>
    <w:rsid w:val="733221CE"/>
    <w:rsid w:val="73337CF4"/>
    <w:rsid w:val="733C4DFB"/>
    <w:rsid w:val="73486F27"/>
    <w:rsid w:val="734A712E"/>
    <w:rsid w:val="734C5BFD"/>
    <w:rsid w:val="73530396"/>
    <w:rsid w:val="73634A7D"/>
    <w:rsid w:val="736369E4"/>
    <w:rsid w:val="73637E23"/>
    <w:rsid w:val="73641C57"/>
    <w:rsid w:val="736C3BBB"/>
    <w:rsid w:val="7370719A"/>
    <w:rsid w:val="73797DFD"/>
    <w:rsid w:val="738301C6"/>
    <w:rsid w:val="73851FDD"/>
    <w:rsid w:val="738A200A"/>
    <w:rsid w:val="739F43B8"/>
    <w:rsid w:val="739F538A"/>
    <w:rsid w:val="73B20C43"/>
    <w:rsid w:val="73B52533"/>
    <w:rsid w:val="73B62A66"/>
    <w:rsid w:val="73BC23E0"/>
    <w:rsid w:val="73BF3510"/>
    <w:rsid w:val="73D15EDF"/>
    <w:rsid w:val="73D32C53"/>
    <w:rsid w:val="73DA4614"/>
    <w:rsid w:val="73E601FA"/>
    <w:rsid w:val="73ED2599"/>
    <w:rsid w:val="740056CC"/>
    <w:rsid w:val="740A4E05"/>
    <w:rsid w:val="741D3A60"/>
    <w:rsid w:val="744C65BA"/>
    <w:rsid w:val="7452064E"/>
    <w:rsid w:val="74583EB6"/>
    <w:rsid w:val="74745D74"/>
    <w:rsid w:val="74770DBF"/>
    <w:rsid w:val="747A2B0E"/>
    <w:rsid w:val="748C590E"/>
    <w:rsid w:val="74991580"/>
    <w:rsid w:val="749A0E07"/>
    <w:rsid w:val="74A54C22"/>
    <w:rsid w:val="74AC0141"/>
    <w:rsid w:val="74B54486"/>
    <w:rsid w:val="74C40959"/>
    <w:rsid w:val="74CD3CD4"/>
    <w:rsid w:val="74D77CB0"/>
    <w:rsid w:val="74E06F18"/>
    <w:rsid w:val="74EC4785"/>
    <w:rsid w:val="750527CB"/>
    <w:rsid w:val="750A3C48"/>
    <w:rsid w:val="7536480C"/>
    <w:rsid w:val="753C7334"/>
    <w:rsid w:val="75437BFE"/>
    <w:rsid w:val="7548217D"/>
    <w:rsid w:val="755F3612"/>
    <w:rsid w:val="756D0068"/>
    <w:rsid w:val="756D573F"/>
    <w:rsid w:val="75705230"/>
    <w:rsid w:val="757102BC"/>
    <w:rsid w:val="75864A53"/>
    <w:rsid w:val="75A629FF"/>
    <w:rsid w:val="75AC42E3"/>
    <w:rsid w:val="75B50E95"/>
    <w:rsid w:val="75CE45CC"/>
    <w:rsid w:val="75D83039"/>
    <w:rsid w:val="75DC28C5"/>
    <w:rsid w:val="75DF4163"/>
    <w:rsid w:val="75E706DE"/>
    <w:rsid w:val="75E903C2"/>
    <w:rsid w:val="75EA6D90"/>
    <w:rsid w:val="75EE00AE"/>
    <w:rsid w:val="75FE45EA"/>
    <w:rsid w:val="76065B94"/>
    <w:rsid w:val="760A5684"/>
    <w:rsid w:val="760D3D10"/>
    <w:rsid w:val="76165DD7"/>
    <w:rsid w:val="761E4C8C"/>
    <w:rsid w:val="762304F4"/>
    <w:rsid w:val="762A53DF"/>
    <w:rsid w:val="762B7536"/>
    <w:rsid w:val="762D3121"/>
    <w:rsid w:val="763309F7"/>
    <w:rsid w:val="76334697"/>
    <w:rsid w:val="76454857"/>
    <w:rsid w:val="764861AD"/>
    <w:rsid w:val="764B6FD7"/>
    <w:rsid w:val="765661D4"/>
    <w:rsid w:val="766E1C96"/>
    <w:rsid w:val="767E3C92"/>
    <w:rsid w:val="76820CB3"/>
    <w:rsid w:val="768B23FF"/>
    <w:rsid w:val="769073C2"/>
    <w:rsid w:val="76A03E90"/>
    <w:rsid w:val="76A553AD"/>
    <w:rsid w:val="76B653BA"/>
    <w:rsid w:val="76C55F56"/>
    <w:rsid w:val="76C577FD"/>
    <w:rsid w:val="76D57A40"/>
    <w:rsid w:val="77010FA8"/>
    <w:rsid w:val="770E2F52"/>
    <w:rsid w:val="77130569"/>
    <w:rsid w:val="77250D0C"/>
    <w:rsid w:val="77286F9E"/>
    <w:rsid w:val="77304C77"/>
    <w:rsid w:val="77383FBA"/>
    <w:rsid w:val="773B1286"/>
    <w:rsid w:val="774C75D7"/>
    <w:rsid w:val="77626DFA"/>
    <w:rsid w:val="77654A80"/>
    <w:rsid w:val="77673EC1"/>
    <w:rsid w:val="776E39F1"/>
    <w:rsid w:val="77813724"/>
    <w:rsid w:val="778639E0"/>
    <w:rsid w:val="77863CC7"/>
    <w:rsid w:val="779D0BC5"/>
    <w:rsid w:val="77A56C97"/>
    <w:rsid w:val="77AD599C"/>
    <w:rsid w:val="77AE0D34"/>
    <w:rsid w:val="77B214EB"/>
    <w:rsid w:val="77CF26E1"/>
    <w:rsid w:val="77D01FB6"/>
    <w:rsid w:val="77D25D2E"/>
    <w:rsid w:val="77D47CF8"/>
    <w:rsid w:val="77D9530E"/>
    <w:rsid w:val="77DA2E34"/>
    <w:rsid w:val="77E20193"/>
    <w:rsid w:val="77F019DE"/>
    <w:rsid w:val="77F03269"/>
    <w:rsid w:val="78074FD1"/>
    <w:rsid w:val="782D565A"/>
    <w:rsid w:val="782F4F2E"/>
    <w:rsid w:val="78370287"/>
    <w:rsid w:val="783724F7"/>
    <w:rsid w:val="78456C5A"/>
    <w:rsid w:val="78485DB5"/>
    <w:rsid w:val="784A599C"/>
    <w:rsid w:val="784E69AF"/>
    <w:rsid w:val="784E7346"/>
    <w:rsid w:val="78650950"/>
    <w:rsid w:val="7866690F"/>
    <w:rsid w:val="786E2ABE"/>
    <w:rsid w:val="78766B8D"/>
    <w:rsid w:val="78911745"/>
    <w:rsid w:val="7899684C"/>
    <w:rsid w:val="789E6415"/>
    <w:rsid w:val="78A140D4"/>
    <w:rsid w:val="78A273C6"/>
    <w:rsid w:val="78AA7F3D"/>
    <w:rsid w:val="78BC6481"/>
    <w:rsid w:val="78C55892"/>
    <w:rsid w:val="78D636FC"/>
    <w:rsid w:val="78DB6E64"/>
    <w:rsid w:val="78DD0341"/>
    <w:rsid w:val="78DF4BA6"/>
    <w:rsid w:val="78EB1288"/>
    <w:rsid w:val="78F9553C"/>
    <w:rsid w:val="78FA1E5E"/>
    <w:rsid w:val="78FB3062"/>
    <w:rsid w:val="78FD327E"/>
    <w:rsid w:val="79102FB2"/>
    <w:rsid w:val="794C7D62"/>
    <w:rsid w:val="79527643"/>
    <w:rsid w:val="79620338"/>
    <w:rsid w:val="796433A8"/>
    <w:rsid w:val="79703A50"/>
    <w:rsid w:val="797D2110"/>
    <w:rsid w:val="798E32E4"/>
    <w:rsid w:val="799C4845"/>
    <w:rsid w:val="79AF7234"/>
    <w:rsid w:val="79BF33E8"/>
    <w:rsid w:val="79D20267"/>
    <w:rsid w:val="79F41B44"/>
    <w:rsid w:val="79FE105C"/>
    <w:rsid w:val="79FF6209"/>
    <w:rsid w:val="79FF93F8"/>
    <w:rsid w:val="7A010B4C"/>
    <w:rsid w:val="7A0A670C"/>
    <w:rsid w:val="7A113472"/>
    <w:rsid w:val="7A1940E8"/>
    <w:rsid w:val="7A1B1108"/>
    <w:rsid w:val="7A2026F3"/>
    <w:rsid w:val="7A210E8A"/>
    <w:rsid w:val="7A3B6E86"/>
    <w:rsid w:val="7A3D31AB"/>
    <w:rsid w:val="7A460978"/>
    <w:rsid w:val="7A4A6EDB"/>
    <w:rsid w:val="7A543372"/>
    <w:rsid w:val="7A684727"/>
    <w:rsid w:val="7A6A04A0"/>
    <w:rsid w:val="7A820E9D"/>
    <w:rsid w:val="7A8E23DF"/>
    <w:rsid w:val="7A98273D"/>
    <w:rsid w:val="7A9E639B"/>
    <w:rsid w:val="7A9F774F"/>
    <w:rsid w:val="7AA83683"/>
    <w:rsid w:val="7AC5601E"/>
    <w:rsid w:val="7ACD1E0D"/>
    <w:rsid w:val="7ACF42E2"/>
    <w:rsid w:val="7AD24297"/>
    <w:rsid w:val="7AD8769F"/>
    <w:rsid w:val="7ADE7E6C"/>
    <w:rsid w:val="7AE04C06"/>
    <w:rsid w:val="7AE57394"/>
    <w:rsid w:val="7AEA5BDA"/>
    <w:rsid w:val="7AEF0DEC"/>
    <w:rsid w:val="7AF4420D"/>
    <w:rsid w:val="7AFD7566"/>
    <w:rsid w:val="7B024B7C"/>
    <w:rsid w:val="7B110A8B"/>
    <w:rsid w:val="7B1413AD"/>
    <w:rsid w:val="7B2D4678"/>
    <w:rsid w:val="7B366F41"/>
    <w:rsid w:val="7B4114A9"/>
    <w:rsid w:val="7B5B0C29"/>
    <w:rsid w:val="7B643AC1"/>
    <w:rsid w:val="7B6B0973"/>
    <w:rsid w:val="7B8C485B"/>
    <w:rsid w:val="7BA2010D"/>
    <w:rsid w:val="7BA420FC"/>
    <w:rsid w:val="7BA43E85"/>
    <w:rsid w:val="7BB21CB6"/>
    <w:rsid w:val="7BBF0CBF"/>
    <w:rsid w:val="7BCE0F02"/>
    <w:rsid w:val="7BD858DD"/>
    <w:rsid w:val="7BDB0389"/>
    <w:rsid w:val="7BE35E80"/>
    <w:rsid w:val="7BF2699E"/>
    <w:rsid w:val="7BF73FB5"/>
    <w:rsid w:val="7C013085"/>
    <w:rsid w:val="7C047397"/>
    <w:rsid w:val="7C05283C"/>
    <w:rsid w:val="7C066A3D"/>
    <w:rsid w:val="7C1A2723"/>
    <w:rsid w:val="7C2B1EB0"/>
    <w:rsid w:val="7C306240"/>
    <w:rsid w:val="7C3D02E3"/>
    <w:rsid w:val="7C3F1D3C"/>
    <w:rsid w:val="7C4F585D"/>
    <w:rsid w:val="7C573B71"/>
    <w:rsid w:val="7C5B09E8"/>
    <w:rsid w:val="7C647170"/>
    <w:rsid w:val="7C6873D6"/>
    <w:rsid w:val="7C687E75"/>
    <w:rsid w:val="7C7700B8"/>
    <w:rsid w:val="7C7A6994"/>
    <w:rsid w:val="7C7F0BCD"/>
    <w:rsid w:val="7C7F110C"/>
    <w:rsid w:val="7C817D22"/>
    <w:rsid w:val="7CC06A9D"/>
    <w:rsid w:val="7CDB27A7"/>
    <w:rsid w:val="7CF82ED1"/>
    <w:rsid w:val="7CFD1A9F"/>
    <w:rsid w:val="7D081601"/>
    <w:rsid w:val="7D0A41BC"/>
    <w:rsid w:val="7D172435"/>
    <w:rsid w:val="7D1F30F6"/>
    <w:rsid w:val="7D226145"/>
    <w:rsid w:val="7D256900"/>
    <w:rsid w:val="7D2D1C58"/>
    <w:rsid w:val="7D3A0474"/>
    <w:rsid w:val="7D3F20B7"/>
    <w:rsid w:val="7D566EE8"/>
    <w:rsid w:val="7D5A3C9F"/>
    <w:rsid w:val="7D5B4A17"/>
    <w:rsid w:val="7D6438CC"/>
    <w:rsid w:val="7D733B0F"/>
    <w:rsid w:val="7D741635"/>
    <w:rsid w:val="7D7E1257"/>
    <w:rsid w:val="7D7F3563"/>
    <w:rsid w:val="7D833182"/>
    <w:rsid w:val="7D8A2C07"/>
    <w:rsid w:val="7D986E5A"/>
    <w:rsid w:val="7DA6172B"/>
    <w:rsid w:val="7DB04A11"/>
    <w:rsid w:val="7DB5D1E6"/>
    <w:rsid w:val="7DB77C73"/>
    <w:rsid w:val="7DC17EB5"/>
    <w:rsid w:val="7DC425BD"/>
    <w:rsid w:val="7DD6584C"/>
    <w:rsid w:val="7DE642E1"/>
    <w:rsid w:val="7DE9945B"/>
    <w:rsid w:val="7DF129DE"/>
    <w:rsid w:val="7DF32D12"/>
    <w:rsid w:val="7DF40751"/>
    <w:rsid w:val="7DFD25D2"/>
    <w:rsid w:val="7DFD6439"/>
    <w:rsid w:val="7DFE0687"/>
    <w:rsid w:val="7E044047"/>
    <w:rsid w:val="7E142CC9"/>
    <w:rsid w:val="7E170396"/>
    <w:rsid w:val="7E274C54"/>
    <w:rsid w:val="7E4648EF"/>
    <w:rsid w:val="7E576F8D"/>
    <w:rsid w:val="7E6950CA"/>
    <w:rsid w:val="7E6F077A"/>
    <w:rsid w:val="7E710D0D"/>
    <w:rsid w:val="7E7D4E56"/>
    <w:rsid w:val="7E92662D"/>
    <w:rsid w:val="7E943603"/>
    <w:rsid w:val="7EA85A3A"/>
    <w:rsid w:val="7EA91C7B"/>
    <w:rsid w:val="7EAD79BC"/>
    <w:rsid w:val="7EB22415"/>
    <w:rsid w:val="7ED5001C"/>
    <w:rsid w:val="7ED92098"/>
    <w:rsid w:val="7EDD4CCF"/>
    <w:rsid w:val="7EE226EE"/>
    <w:rsid w:val="7EE9096E"/>
    <w:rsid w:val="7EEA2FE7"/>
    <w:rsid w:val="7EEC1DCB"/>
    <w:rsid w:val="7EF631C7"/>
    <w:rsid w:val="7EF7251E"/>
    <w:rsid w:val="7EFE1AFE"/>
    <w:rsid w:val="7F0B6E05"/>
    <w:rsid w:val="7F127358"/>
    <w:rsid w:val="7F247815"/>
    <w:rsid w:val="7F3217A8"/>
    <w:rsid w:val="7F3440EC"/>
    <w:rsid w:val="7F464805"/>
    <w:rsid w:val="7F556756"/>
    <w:rsid w:val="7F8162D9"/>
    <w:rsid w:val="7F9008CB"/>
    <w:rsid w:val="7F945FBF"/>
    <w:rsid w:val="7F9D1317"/>
    <w:rsid w:val="7F9D4E73"/>
    <w:rsid w:val="7FA335C8"/>
    <w:rsid w:val="7FA52DB3"/>
    <w:rsid w:val="7FA54DAC"/>
    <w:rsid w:val="7FB13122"/>
    <w:rsid w:val="7FB131D6"/>
    <w:rsid w:val="7FB14610"/>
    <w:rsid w:val="7FB448BB"/>
    <w:rsid w:val="7FC40652"/>
    <w:rsid w:val="7FC543CA"/>
    <w:rsid w:val="7FCB06E3"/>
    <w:rsid w:val="7FCC36BD"/>
    <w:rsid w:val="7FD30895"/>
    <w:rsid w:val="7FDF1134"/>
    <w:rsid w:val="7FE75F04"/>
    <w:rsid w:val="7FE9455C"/>
    <w:rsid w:val="7FF34B5A"/>
    <w:rsid w:val="7FF66C44"/>
    <w:rsid w:val="7FFB9631"/>
    <w:rsid w:val="7FFE8CFB"/>
    <w:rsid w:val="99F5AFBD"/>
    <w:rsid w:val="9DFB5D5D"/>
    <w:rsid w:val="A17F9A58"/>
    <w:rsid w:val="ABFBEE66"/>
    <w:rsid w:val="AFDD0A48"/>
    <w:rsid w:val="BCBB7054"/>
    <w:rsid w:val="BCEBCFCF"/>
    <w:rsid w:val="BDBBED9B"/>
    <w:rsid w:val="BFFE19B2"/>
    <w:rsid w:val="C3BF922D"/>
    <w:rsid w:val="C6FF391B"/>
    <w:rsid w:val="CCEA93D3"/>
    <w:rsid w:val="CEF794C5"/>
    <w:rsid w:val="D9FD7AD9"/>
    <w:rsid w:val="DB7F0B54"/>
    <w:rsid w:val="DFFB32BD"/>
    <w:rsid w:val="E3FDBAD7"/>
    <w:rsid w:val="E67D3456"/>
    <w:rsid w:val="EFF74D52"/>
    <w:rsid w:val="EFF92ABE"/>
    <w:rsid w:val="EFF97620"/>
    <w:rsid w:val="EFFAD9F3"/>
    <w:rsid w:val="EFFD148F"/>
    <w:rsid w:val="EFFDCCB2"/>
    <w:rsid w:val="F77BC1A2"/>
    <w:rsid w:val="F7DF84A1"/>
    <w:rsid w:val="F973FF30"/>
    <w:rsid w:val="FACD6ACB"/>
    <w:rsid w:val="FBBB58D2"/>
    <w:rsid w:val="FBD90FB7"/>
    <w:rsid w:val="FCBD03D2"/>
    <w:rsid w:val="FDCF36AE"/>
    <w:rsid w:val="FDFC2D3D"/>
    <w:rsid w:val="FE46E3AA"/>
    <w:rsid w:val="FE5DDC58"/>
    <w:rsid w:val="FE731980"/>
    <w:rsid w:val="FF6C6973"/>
    <w:rsid w:val="FFBF2C91"/>
    <w:rsid w:val="FFBF5FEF"/>
    <w:rsid w:val="FFF7A2B1"/>
    <w:rsid w:val="FFFB3F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spacing w:before="100" w:beforeAutospacing="1" w:after="100" w:afterAutospacing="1"/>
      <w:jc w:val="left"/>
    </w:pPr>
    <w:rPr>
      <w:rFonts w:hint="eastAsia" w:ascii="宋体" w:hAnsi="宋体" w:eastAsia="宋体" w:cs="宋体"/>
      <w:b/>
      <w:kern w:val="0"/>
      <w:sz w:val="27"/>
      <w:szCs w:val="27"/>
      <w:lang w:val="en-US" w:eastAsia="zh-CN" w:bidi="ar"/>
    </w:rPr>
  </w:style>
  <w:style w:type="paragraph" w:styleId="5">
    <w:name w:val="heading 4"/>
    <w:basedOn w:val="1"/>
    <w:next w:val="1"/>
    <w:unhideWhenUsed/>
    <w:qFormat/>
    <w:uiPriority w:val="0"/>
    <w:pPr>
      <w:spacing w:beforeAutospacing="1" w:afterAutospacing="1"/>
      <w:jc w:val="left"/>
      <w:outlineLvl w:val="3"/>
    </w:pPr>
    <w:rPr>
      <w:rFonts w:hint="eastAsia" w:ascii="宋体" w:hAnsi="宋体"/>
      <w:b/>
      <w:bCs/>
      <w:kern w:val="0"/>
      <w:sz w:val="24"/>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Normal Indent"/>
    <w:basedOn w:val="1"/>
    <w:unhideWhenUsed/>
    <w:qFormat/>
    <w:uiPriority w:val="99"/>
    <w:pPr>
      <w:ind w:firstLine="420" w:firstLineChars="200"/>
    </w:pPr>
  </w:style>
  <w:style w:type="paragraph" w:styleId="7">
    <w:name w:val="index 5"/>
    <w:basedOn w:val="1"/>
    <w:next w:val="1"/>
    <w:qFormat/>
    <w:uiPriority w:val="0"/>
    <w:pPr>
      <w:widowControl w:val="0"/>
      <w:ind w:left="1680"/>
      <w:jc w:val="both"/>
    </w:pPr>
    <w:rPr>
      <w:rFonts w:ascii="Calibri" w:hAnsi="Calibri" w:eastAsia="宋体" w:cs="Times New Roman"/>
      <w:kern w:val="2"/>
      <w:sz w:val="21"/>
      <w:szCs w:val="24"/>
      <w:lang w:val="en-US" w:eastAsia="zh-CN" w:bidi="ar-SA"/>
    </w:rPr>
  </w:style>
  <w:style w:type="paragraph" w:styleId="8">
    <w:name w:val="annotation text"/>
    <w:basedOn w:val="1"/>
    <w:qFormat/>
    <w:uiPriority w:val="0"/>
    <w:pPr>
      <w:jc w:val="left"/>
    </w:pPr>
  </w:style>
  <w:style w:type="paragraph" w:styleId="9">
    <w:name w:val="toc 3"/>
    <w:basedOn w:val="1"/>
    <w:next w:val="1"/>
    <w:qFormat/>
    <w:uiPriority w:val="0"/>
    <w:pPr>
      <w:ind w:left="840" w:leftChars="400"/>
    </w:pPr>
  </w:style>
  <w:style w:type="paragraph" w:styleId="10">
    <w:name w:val="endnote text"/>
    <w:basedOn w:val="1"/>
    <w:qFormat/>
    <w:uiPriority w:val="0"/>
    <w:pPr>
      <w:snapToGrid w:val="0"/>
      <w:jc w:val="left"/>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footnote text"/>
    <w:basedOn w:val="1"/>
    <w:qFormat/>
    <w:uiPriority w:val="0"/>
    <w:pPr>
      <w:snapToGrid w:val="0"/>
      <w:jc w:val="left"/>
    </w:pPr>
    <w:rPr>
      <w:sz w:val="18"/>
    </w:rPr>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rPr>
      <w:rFonts w:ascii="Calibri" w:hAnsi="Calibri" w:eastAsia="宋体" w:cs="Times New Roman"/>
      <w:kern w:val="0"/>
      <w:szCs w:val="22"/>
    </w:rPr>
  </w:style>
  <w:style w:type="paragraph" w:styleId="17">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Lines="0" w:afterLines="0"/>
      <w:jc w:val="left"/>
    </w:pPr>
    <w:rPr>
      <w:rFonts w:hint="eastAsia" w:ascii="宋体" w:hAnsi="宋体" w:eastAsia="宋体" w:cs="宋体"/>
      <w:kern w:val="0"/>
      <w:sz w:val="24"/>
      <w:szCs w:val="24"/>
      <w:lang w:val="en-US" w:eastAsia="zh-CN" w:bidi="ar"/>
    </w:rPr>
  </w:style>
  <w:style w:type="paragraph" w:styleId="18">
    <w:name w:val="Normal (Web)"/>
    <w:basedOn w:val="1"/>
    <w:qFormat/>
    <w:uiPriority w:val="0"/>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paragraph" w:styleId="19">
    <w:name w:val="Body Text First Indent 2"/>
    <w:qFormat/>
    <w:uiPriority w:val="0"/>
    <w:pPr>
      <w:keepNext w:val="0"/>
      <w:keepLines w:val="0"/>
      <w:widowControl w:val="0"/>
      <w:suppressLineNumbers w:val="0"/>
      <w:adjustRightInd w:val="0"/>
      <w:snapToGrid w:val="0"/>
      <w:spacing w:before="0" w:beforeAutospacing="0" w:after="0" w:afterAutospacing="0" w:line="360" w:lineRule="auto"/>
      <w:ind w:left="0" w:right="0" w:firstLine="420" w:firstLineChars="200"/>
      <w:jc w:val="both"/>
    </w:pPr>
    <w:rPr>
      <w:rFonts w:hint="default" w:ascii="Calibri" w:hAnsi="Calibri" w:eastAsia="宋体" w:cs="Times New Roman"/>
      <w:snapToGrid/>
      <w:kern w:val="2"/>
      <w:sz w:val="24"/>
      <w:szCs w:val="24"/>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endnote reference"/>
    <w:basedOn w:val="22"/>
    <w:qFormat/>
    <w:uiPriority w:val="0"/>
    <w:rPr>
      <w:vertAlign w:val="superscript"/>
    </w:rPr>
  </w:style>
  <w:style w:type="character" w:styleId="25">
    <w:name w:val="FollowedHyperlink"/>
    <w:basedOn w:val="22"/>
    <w:qFormat/>
    <w:uiPriority w:val="0"/>
    <w:rPr>
      <w:color w:val="800080"/>
      <w:u w:val="single"/>
    </w:rPr>
  </w:style>
  <w:style w:type="character" w:styleId="26">
    <w:name w:val="Emphasis"/>
    <w:basedOn w:val="22"/>
    <w:qFormat/>
    <w:uiPriority w:val="0"/>
    <w:rPr>
      <w:i/>
    </w:rPr>
  </w:style>
  <w:style w:type="character" w:styleId="27">
    <w:name w:val="Hyperlink"/>
    <w:basedOn w:val="22"/>
    <w:qFormat/>
    <w:uiPriority w:val="0"/>
    <w:rPr>
      <w:color w:val="0000FF"/>
      <w:u w:val="single"/>
    </w:rPr>
  </w:style>
  <w:style w:type="character" w:styleId="28">
    <w:name w:val="footnote reference"/>
    <w:basedOn w:val="22"/>
    <w:qFormat/>
    <w:uiPriority w:val="0"/>
    <w:rPr>
      <w:vertAlign w:val="superscript"/>
    </w:rPr>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0">
    <w:name w:val="样式 首行缩进:  2 字符"/>
    <w:qFormat/>
    <w:uiPriority w:val="0"/>
    <w:pPr>
      <w:widowControl w:val="0"/>
      <w:ind w:firstLine="560"/>
      <w:jc w:val="both"/>
    </w:pPr>
    <w:rPr>
      <w:rFonts w:ascii="Times New Roman" w:hAnsi="Times New Roman" w:eastAsia="仿宋" w:cs="Times New Roman"/>
      <w:kern w:val="0"/>
      <w:sz w:val="24"/>
      <w:szCs w:val="22"/>
      <w:lang w:val="en-US" w:eastAsia="zh-CN" w:bidi="ar-SA"/>
    </w:rPr>
  </w:style>
  <w:style w:type="paragraph" w:customStyle="1" w:styleId="31">
    <w:name w:val="报告正文"/>
    <w:basedOn w:val="1"/>
    <w:qFormat/>
    <w:uiPriority w:val="0"/>
    <w:pPr>
      <w:keepNext w:val="0"/>
      <w:keepLines w:val="0"/>
      <w:widowControl w:val="0"/>
      <w:suppressLineNumbers w:val="0"/>
      <w:spacing w:before="0" w:beforeAutospacing="0" w:after="0" w:afterAutospacing="0"/>
      <w:ind w:left="0" w:right="0" w:firstLine="200"/>
      <w:jc w:val="both"/>
    </w:pPr>
    <w:rPr>
      <w:rFonts w:hint="default" w:ascii="Calibri" w:hAnsi="Calibri" w:eastAsia="宋体" w:cs="Times New Roman"/>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5261</Words>
  <Characters>5465</Characters>
  <Lines>1</Lines>
  <Paragraphs>1</Paragraphs>
  <TotalTime>33</TotalTime>
  <ScaleCrop>false</ScaleCrop>
  <LinksUpToDate>false</LinksUpToDate>
  <CharactersWithSpaces>6048</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2025-12-03T22:20:00Z</dcterms:created>
  <dc:creator>kai17</dc:creator>
  <cp:lastModifiedBy>greatwall</cp:lastModifiedBy>
  <cp:lastPrinted>2026-03-05T08:31:00Z</cp:lastPrinted>
  <dcterms:modified xsi:type="dcterms:W3CDTF">2026-03-12T15:30:23Z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eyJoZGlkIjoiZjM2MzE3MWJiMzE0OTA5ZGZkNzMxM2FiMTQzYzMyZDUiLCJ1c2VySWQiOiI3MTMxODY2MTAifQ==</vt:lpwstr>
  </property>
  <property fmtid="{D5CDD505-2E9C-101B-9397-08002B2CF9AE}" pid="4" name="ICV">
    <vt:lpwstr>07B246770217472382AEF985B532588B_13</vt:lpwstr>
  </property>
</Properties>
</file>