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2024-2026年海南省农机购置与应用补贴机具补贴额一览表（第一批）</w:t>
      </w:r>
    </w:p>
    <w:p>
      <w:pPr>
        <w:spacing w:line="590" w:lineRule="exact"/>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tbl>
      <w:tblPr>
        <w:tblStyle w:val="4"/>
        <w:tblW w:w="208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0"/>
        <w:gridCol w:w="2012"/>
        <w:gridCol w:w="1424"/>
        <w:gridCol w:w="1818"/>
        <w:gridCol w:w="3467"/>
        <w:gridCol w:w="5921"/>
        <w:gridCol w:w="1282"/>
        <w:gridCol w:w="2483"/>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机具大类</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机具小类</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机具品目</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档次名称</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基本配置和参数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中央财政补贴额（元）</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通用类/</w:t>
            </w:r>
          </w:p>
          <w:p>
            <w:pPr>
              <w:keepNext w:val="0"/>
              <w:keepLines w:val="0"/>
              <w:widowControl/>
              <w:suppressLineNumbers w:val="0"/>
              <w:spacing w:line="38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犁体幅宽≥35cm；犁体数量≥6个；翻转机构型式：液压翻转</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犁体幅宽45cm及以上，3铧及以上翻转犁</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犁体幅宽≥45cm；犁体数量≥6个；翻转机构型式：液压翻转；结构型式：调幅犁，最小调整犁体幅宽45cm及以上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单轴1—1.5m旋耕机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单轴；1m≤工作幅宽＜1.5m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单轴1.5—2m旋耕机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单轴；1.5m≤工作幅宽＜2m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930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1.2—2m履带自走式旋耕机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型式：履带自走式；1.2m≤耕幅＜2m；22.1kW≤发动机功率≤88.2kW；离地间隙≥280mm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旋耕机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2m及以上履带自走式旋耕机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型式：履带自走式；耕幅≥2m；51.4kW≤发动机功率≤88.2kW；离地间隙≥280mm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发动机燃油种类：柴油或汽油；2.0kW≤发动机标定功率＜4.0kW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发动机燃油种类：汽油；发动机标定功率≥4.0kW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微型耕耘机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功率4kW及以上柴油机微型耕耘机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发动机燃油种类：柴油；发动机标定功率≥4.0kW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凿铲式深松机档次的深松铲结构型式既包含凿铲式的单一型式，也包含凿铲式和偏柱式的混合型式，相关产品均可按深松部件和铲间距要求投档。</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4—5铲凿铲式深松机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深松部件4、5个；深松铲结构型式：凿铲式；铲间距≥180mm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深松部件2、3个；深松铲结构型式：偏柱式或全方位式；铲间距≥330mm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4—5铲偏柱式、全方位式深松机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深松部件4、5个；深松铲结构型式：偏柱式或全方位式；铲间距≥330mm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开沟深度50cm以下配套轮式拖拉机开沟机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开沟深度50cm及以上配套轮式拖拉机开沟机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配套轮式拖拉机；开沟深度≥50cm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3-3.5m圆盘耙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3m≤作业幅宽≤3.5m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耙（限圆盘耙、驱动耙）</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2-3m驱动耙</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2m≤作业幅宽≤3m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单轴2—2.5m埋茬起浆机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单轴；2m≤工作幅宽＜2.5m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埋茬起浆机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单轴2.5m及以上埋茬起浆机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单轴；工作幅宽≥2.5m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起垄机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2-4m起垄机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2m≤作业幅宽＜4m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作业幅宽60-120cm的普通地膜覆盖机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机引式，60cm≤作业幅宽＜120cm；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作业幅宽120cm及以上的普通铺膜机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机引式，作业幅宽≥120cm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作业幅宽≥1m，带施肥、覆土、起垄等复式作业功能，不带旋耕作业。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耕整地机械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整地机械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铺膜机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带旋耕作业的起垄铺膜机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作业幅宽≥1m，带旋耕、施肥、覆土、起垄等复式作业功能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生产率200—500盘/小时秧盘播种成套设备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200盘/小时≤生产率＜500盘/小时；含铺底土、播种、覆土功能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种子播前处理和育苗机械设备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育秧（苗）播种设备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生产率500盘/小时及以上秧盘播种成套设备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生产率≥500盘/小时；含铺底土、播种、覆土功能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穴播机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6行及以上穴播机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播种行数≥6行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播种行数2、3行；排种器数量≥2个；单体结构质量≥110kg；排种器型式：指夹式、气力式；指夹式最低作业速度≥6km/h，气力式最低作业速度≥8km/h；单体独立同步仿形；独立无级或多级镇压机构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9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播种行数4、5行；排种器数量≥4个；单体结构质量≥110kg；排种器型式：指夹式、气力式；指夹式最低作业速度≥6km/h，气力式最低作业速度≥8km/h；单体独立同步仿形；独立无级或多级镇压机构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6—10行高性能单粒（精密）播种机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6行≤播种行数≤10行；排种器数量≥6个；单体结构质量≥110kg；排种器型式：指夹式、气力式；指夹式最低作业速度≥6km/h，气力式最低作业速度≥8km/h；单体独立同步仿形；独立无级或多级镇压机构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18800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播种机械（可含施肥功能）</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单粒（精密）播种机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11行及以上高性能单粒（精密）播种机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播种行数≥11行；排种器数量≥11个；单体结构质量≥110kg；排种器型式：指夹式、气力式；指夹式最低作业速度≥6km/h，气力式最低作业速度≥8km/h；单体独立同步仿形；独立无级或多级镇压机构</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手扶步进式；4行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6行及以上手扶步进式水稻插秧机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手扶步进式；6行及以上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6行及以上独轮乘坐式水稻插秧机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独轮乘坐式；6行及以上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四轮乘坐式；4、5行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24900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6—7行辅助驾驶四轮乘坐式水稻插秧机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四轮乘坐式；6、7行；前装辅助驾驶（系统）设备（卫星接收机板卡类型及频点：北斗信号）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29100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8行及以上辅助驾驶四轮乘坐式水稻插秧机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四轮乘坐式；8行及以上；前装辅助驾驶（系统）设备（卫星接收机板卡类型及频点：北斗信号）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栽植机械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移栽机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2行及以上四轮乘坐自走式移栽机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四轮乘坐自走式;2行及以上</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固态肥抛撒机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≤料厢容积＜15m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；抛撒宽度≥4m；承重车桥数量≥1；具有肥料输送功能；非自走式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种植施肥机械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撒（抛）肥机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液态肥撒施机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≤罐体容积＜15m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；承重车桥数量≥1；作业方式为表面施、浅施或深施时，施肥行数≥10行或作业方式为喷洒时，喷洒幅宽≥6m；非自走式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功率4kW及以上汽油机培土机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动力：汽油机；标定功率≥4.0kW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功率2-4kW田园管理机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2kW≤配套功率＜4kW；汽油机动力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中耕机械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田园管理机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功率4.0kW及以上田园管理机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配套功率≥4kW；汽油机、柴油机动力</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4—12m悬挂式喷杆喷雾机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4m≤喷杆长度＜12m；药箱≥400L；型式：悬挂式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12—18m悬挂式喷杆喷雾机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12m≤喷杆长度＜18m；药箱≥600L；型式：悬挂式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18m及以上悬挂式喷杆喷雾机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喷杆长度≥18m；药箱≥800L；型式：悬挂式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18m及以上牵引式喷杆喷雾机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喷杆长度≥18m；药箱≥2000L；型式：牵引式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11—18马力自走式四轮转向喷杆喷雾机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11马力≤功率＜18马力；药箱≥200L；喷杆长度≥8m；离地间隙≥0.8m；型式：自走式；四轮驱动；四轮转向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18—50马力自走式四轮转向喷杆喷雾机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18马力≤功率＜50马力；药箱≥400L；喷杆长度≥8m；离地间隙≥0.8m；型式：自走式；四轮驱动；四轮转向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50—100马力自走式四轮转向喷杆喷雾机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50马力≤功率＜100马力；药箱≥700L；喷杆长度≥10m；离地间隙≥0.8m；型式：自走式；四轮驱动；四轮转向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100马力及以上自走式四轮转向喷杆喷雾机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功率≥100马力；药箱≥1000L；喷杆长度≥20m；离地间隙≥0.8m；型式：自走式；四轮驱动；四轮转向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风机叶轮直径≥330mm；药箱额定容量≥500L；水平射程或喷幅≥10m；结构型式：牵引式、车载式或自走式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风机叶轮直径≥480mm；药箱额定容量≥1000L；水平射程或喷幅≥15.3m；结构型式：牵引式、车载式或自走式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风机叶轮直径800mm及以上风送喷雾机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风机叶轮直径≥800mm；药箱额定容量≥1200L；水平射程或喷幅≥19.6m；结构型式：牵引式、车载式或自走式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喷雾机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遥控电动自走式风送喷雾机（行走动力和风机动力均由电动机提供，不配置柴油或汽油机）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行走电机功率≥0.6kW；药箱容积≥120L；水平射程或喷幅≥10m；锂电池电能容量≥2000VAh；遥控自走式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10—20L多旋翼植保无人驾驶航空器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3.避障系统是指通过雷达或多目视觉等传感器主动检测障碍物并能实时规避的系统，通常有前避障、前后避障或绕障，不含使用航线规划绕障</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L≤药液箱额定容量＜30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30—50L多旋翼植保无人驾驶航空器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L≤药液箱额定容量＜50L；多旋翼；电动、油动、油电混动；电动须配置智能电池系统，含智能电池2组及以上；具有避障系统(卫星接收机板卡类型及频点:北斗信号)；具有RTK的高精度卫星导航定位系统；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50L及以上多旋翼植保无人驾驶航空器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15—25L单旋翼植保无人驾驶航空器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植保机械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农用（植保）无人驾驶航空器（可含撒播等功能）</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25L及以上单旋翼植保无人驾驶航空器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枝条切碎机（功率≥3.2kW）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功率≥3.2kW；切削直径≥50mm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default" w:ascii="仿宋" w:hAnsi="仿宋" w:eastAsia="仿宋" w:cs="仿宋"/>
                <w:i w:val="0"/>
                <w:color w:val="000000"/>
                <w:sz w:val="24"/>
                <w:szCs w:val="24"/>
                <w:u w:val="none"/>
                <w:lang w:val="en-US"/>
              </w:rPr>
              <w:t>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田间管理机械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修剪防护管理机械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枝条切碎机（功率≥5kW）</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功率≥5kW；切削直径≥80mm，动力类型：电机、汽油机、柴油机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0.6—1kg/s自走履带式谷物联合收割机（全喂入），包含1—1.5kg/s自走履带式水稻联合收割机（全喂入）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0.6kg/s≤喂入量＜1kg/s，1kg/s≤水稻机喂入量＜1.5kg/s；自走履带式；喂入方式：全喂入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1—1.5kg/s自走履带式谷物联合收割机（全喂入），包含1.5—2.1kg/s自走履带式水稻联合收割机（全喂入）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1kg/s≤喂入量＜1.5kg/s，1.5kg/s≤水稻机喂入量＜2.1kg/s；自走履带式；喂入方式：全喂入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1.5—2.1kg/s自走履带式谷物联合收割机（全喂入），包含2.1—3kg/s自走履带式水稻联合收割机（全喂入）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1.5kg/s≤喂入量＜2.1kg/s，2.1kg/s≤水稻机喂入量＜3kg/s；自走履带式；喂入方式：全喂入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2.1—3kg/s自走履带式谷物联合收割机（全喂入），包含3—4kg/s自走履带式水稻联合收割机（全喂入）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2.1kg/s≤喂入量＜3kg/s，3kg/s≤水稻机喂入量＜4kg/s；自走履带式；喂入方式：全喂入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3—4kg/s自走履带式谷物联合收割机（全喂入），包含4—6kg/s自走履带式水稻联合收割机（全喂入）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3kg/s≤喂入量＜4kg/s，4kg/s≤水稻机喂入量＜6kg/s；自走履带式；喂入方式：全喂入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4—6kg/s自走履带式谷物联合收割机（全喂入），包含6kg/s及以上自走履带式水稻联合收割机（全喂入）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4kg/s≤喂入量＜6kg/s，水稻机喂入量≥6kg/s；自走履带式；喂入方式：全喂入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6kg/s及以上辅助驾驶自走履带式谷物联合收割机（全喂入）</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喂入量≥6kg/s；自走履带式；喂入方式：全喂入；前装辅助驾驶（系统）设备（卫星接收机板卡类型及频点：北斗信号）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谷物联合收割机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小型收割机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0.3kg/s≤喂入量≤1.5kg/s；无筛选或简易筛选；喂入方式：全喂入；手扶步进式、履带式或轮式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default" w:ascii="仿宋" w:hAnsi="仿宋" w:eastAsia="仿宋" w:cs="仿宋"/>
                <w:i w:val="0"/>
                <w:color w:val="000000"/>
                <w:kern w:val="0"/>
                <w:sz w:val="24"/>
                <w:szCs w:val="24"/>
                <w:u w:val="none"/>
                <w:lang w:val="en-US" w:eastAsia="zh-CN" w:bidi="ar"/>
              </w:rPr>
              <w:t>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1行、2行割台；结构型式：手扶自走式或自走式；功能型式：果穗收获</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1—2行带剥皮功能玉米收获机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1行、2行割台；结构型式：手扶自走式或自走式；功能型式：摘穗剥皮，秸秆粉碎还田</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4行摘穗剥皮型自走式玉米收获机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4行割台；2.2m≤工作幅宽＜2.8m；型式：自走式（摘穗剥皮型）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57700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2行割台；1m≤工作幅宽＜1.6m；型式：自走式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玉米收获机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3行穗茎兼收玉米收获机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3行割台；1.6m≤工作幅宽＜2.2m；型式：自走式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500mm及以上手扶直联薯类挖掘机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工作幅宽≥500mm；收获型式：挖掘机；结构型式：手扶直联式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default" w:ascii="仿宋" w:hAnsi="仿宋" w:eastAsia="仿宋" w:cs="仿宋"/>
                <w:i w:val="0"/>
                <w:color w:val="000000"/>
                <w:kern w:val="0"/>
                <w:sz w:val="24"/>
                <w:szCs w:val="24"/>
                <w:u w:val="none"/>
                <w:lang w:val="en-US" w:eastAsia="zh-CN" w:bidi="ar"/>
              </w:rPr>
              <w:t>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1500—1700mm薯类挖掘机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1700mm及以上薯类挖掘机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工作幅宽≥1700mm；收获型式：挖掘机；结构型式：悬挂式、牵引式</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1500mm及以上自走式薯类捡拾机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工作幅宽≥1500mm；收获型式：捡拾机；结构型式：自走式；发动机额定功率≥88.2kW</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700—1000mm牵引式薯类联合收获机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1000—1500mm牵引式薯类联合收获机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1000mm≤工作幅宽＜1500mm；收获型式：联合收获机；结构型式：牵引式；配置清选分离装置；卸薯方式：即时装袋或集中装车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700—1000mm自走式薯类联合收获机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700mm≤工作幅宽＜1000mm；收获型式：联合收获机；结构型式：自走式；发动机额定功率≥25.8kW；配置清选分离装置；卸薯方式：即时装袋或集中装车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薯类收获机</w:t>
            </w:r>
          </w:p>
        </w:tc>
        <w:tc>
          <w:tcPr>
            <w:tcW w:w="34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1000—1500mm自走式薯类联合收获机</w:t>
            </w:r>
          </w:p>
        </w:tc>
        <w:tc>
          <w:tcPr>
            <w:tcW w:w="5921"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1000mm≤工作幅宽＜1500mm；收获型式：联合收获机；结构型式：自走式；发动机额定功率≥66.1kW；配置清选分离装置；卸薯方式：即时装袋或集中装车</w:t>
            </w:r>
          </w:p>
        </w:tc>
        <w:tc>
          <w:tcPr>
            <w:tcW w:w="128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3—5kg/s自走轮式大豆收获机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结构型式：自走轮式，全喂入；3kg/s≤喂入量＜5kg/s；拨禾轮型式：弹齿式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r>
              <w:rPr>
                <w:rFonts w:hint="default" w:ascii="仿宋" w:hAnsi="仿宋" w:eastAsia="仿宋" w:cs="仿宋"/>
                <w:i w:val="0"/>
                <w:color w:val="000000"/>
                <w:kern w:val="0"/>
                <w:sz w:val="24"/>
                <w:szCs w:val="24"/>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结构型式：自走履带式，全喂入；0.6kg/s≤喂入量＜1kg/s；拨禾轮型式：弹齿式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w:t>
            </w:r>
            <w:r>
              <w:rPr>
                <w:rFonts w:hint="default" w:ascii="仿宋" w:hAnsi="仿宋" w:eastAsia="仿宋" w:cs="仿宋"/>
                <w:i w:val="0"/>
                <w:color w:val="000000"/>
                <w:kern w:val="0"/>
                <w:sz w:val="24"/>
                <w:szCs w:val="24"/>
                <w:u w:val="none"/>
                <w:lang w:val="en-US" w:eastAsia="zh-CN" w:bidi="ar"/>
              </w:rPr>
              <w:t>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结构型式：自走履带式，全喂入；1kg/s≤喂入量＜1.5kg/s；拨禾轮型式：弹齿式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r>
              <w:rPr>
                <w:rFonts w:hint="default" w:ascii="仿宋" w:hAnsi="仿宋" w:eastAsia="仿宋" w:cs="仿宋"/>
                <w:i w:val="0"/>
                <w:color w:val="000000"/>
                <w:kern w:val="0"/>
                <w:sz w:val="24"/>
                <w:szCs w:val="24"/>
                <w:u w:val="none"/>
                <w:lang w:val="en-US" w:eastAsia="zh-CN" w:bidi="ar"/>
              </w:rPr>
              <w:t>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1.5—2.1kg/s自走履带式大豆收获机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结构型式：自走履带式，全喂入；1.5kg/s≤喂入量＜2.1kg/s；拨禾轮型式：弹齿式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w:t>
            </w:r>
            <w:bookmarkStart w:id="0" w:name="_GoBack"/>
            <w:bookmarkEnd w:id="0"/>
            <w:r>
              <w:rPr>
                <w:rFonts w:hint="eastAsia" w:ascii="仿宋" w:hAnsi="仿宋" w:eastAsia="仿宋" w:cs="仿宋"/>
                <w:i w:val="0"/>
                <w:color w:val="000000"/>
                <w:kern w:val="0"/>
                <w:sz w:val="24"/>
                <w:szCs w:val="24"/>
                <w:u w:val="none"/>
                <w:lang w:val="en-US" w:eastAsia="zh-CN" w:bidi="ar"/>
              </w:rPr>
              <w:t>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大豆收获机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2.1—3kg/s自走履带式大豆收获机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结构型式：自走履带式，全喂入；2.1kg/s≤喂入量＜3kg/s；拨禾轮型式：弹齿式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花生联合收获机（履带式）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自走履带式,含挖掘、摘果、清选、集果等功能；工作幅宽≥500mm；功率≥20kW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花生联合收获机（轮式）</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自走轮式,含挖掘、摘果、清选、集果等功能；工作幅宽≥500mm；功率≥20kW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切段式；90kW≤功率＜120kW；最小额定喂入量≥2.7kg/s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120kW—220KW切段式甘蔗联合收割机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切段式；120kW≤功率＜220kW；额定喂入量≥5kg/s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90kW以下整杆式甘蔗联合收割机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整杆式；功率&lt;90kW；额定喂入量≥1kg/s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糖料作物收获机械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甘蔗联合收获机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90-120kW整杆式甘蔗联合收割机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整杆式;90kW≤功率&lt;120kW；额定喂入量≥3kg/s</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1m≤作业幅宽＜1.5m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1.5—2m秸秆粉碎还田机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1.5m≤作业幅宽＜2m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2—2.5m秸秆粉碎还田机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秸秆收集处理机械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秸秆粉碎还田机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2.5m及以上秸秆粉碎还田机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作业幅宽≥2.5m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设施种植机械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食用菌生产设备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菌料装瓶（袋）机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/h及以上食用菌料自动装袋机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自动套袋、装袋、扎口；生产率≥2.3m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田间监测及作业监控设备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田间作业监控设备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辅助驾驶（系统）设备（含渔船用）</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辅助驾驶（系统）设备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卫星接收机板卡类型及频点：北斗信号；直线精度≤2.5cm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压缩室截面积（宽×高）0.1344</w:t>
            </w:r>
            <w:r>
              <w:rPr>
                <w:rStyle w:val="8"/>
                <w:rFonts w:hint="eastAsia" w:ascii="仿宋" w:hAnsi="仿宋" w:eastAsia="仿宋" w:cs="仿宋"/>
                <w:sz w:val="24"/>
                <w:szCs w:val="24"/>
                <w:lang w:val="en-US" w:eastAsia="zh-CN" w:bidi="ar"/>
              </w:rPr>
              <w:t>㎡</w:t>
            </w:r>
            <w:r>
              <w:rPr>
                <w:rStyle w:val="7"/>
                <w:rFonts w:ascii="仿宋" w:hAnsi="仿宋" w:eastAsia="仿宋" w:cs="仿宋"/>
                <w:sz w:val="24"/>
                <w:szCs w:val="24"/>
                <w:lang w:val="en-US" w:eastAsia="zh-CN" w:bidi="ar"/>
              </w:rPr>
              <w:t>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方捆；压缩室截面积（宽×高）≥0.1344㎡；打结器数量≥2个；捡拾宽度≥1.2m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压缩室截面积（宽×高）0.154㎡及以上方捆捡拾压捆机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方捆；压缩室截面积（宽×高）≥0.154㎡；打结器数量≥2个；捡拾宽度≥1.7m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压缩室截面积（宽×高）0.162㎡及以上方捆捡拾压捆机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方捆；压缩室截面积（宽×高）≥0.162㎡；打结器数量≥2个；捡拾宽度≥2.2m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圆捆；压缩室直径≥0.5m；压缩室宽度≥0.7m；捡拾宽度≥0.7m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压缩室直径0.8m及以上圆捆捡拾压捆机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圆捆；压缩室直径≥0.8m；压缩室宽度≥0.8m；捡拾宽度≥1.2m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压缩室直径1m及以上圆捆捡拾压捆机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圆捆；压缩室直径≥1m；压缩室宽度≥1m；捡拾宽度≥1.7m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压缩室直径0.52m及以上圆捆压捆机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圆捆；压缩室直径≥0.52m；压缩室宽度≥0.52m；功率≥4kW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压缩室截面积（宽×高）0.081㎡及以上方捆压捆机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方捆；压缩室截面积（宽×高）≥0.081㎡；7.5kW≤功率＜15kW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压缩室截面积（宽×高）0.105㎡及以上方捆压捆机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方捆；压缩室截面积（宽×高）≥0.105㎡；功率≥15kW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打（压）捆机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压缩室截面积（宽×高）0.0936㎡及以上无打结器自动套袋方捆捡拾压捆机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方捆；压缩室截面积（宽×高）≥0.0936㎡；捡拾宽度≥1.7m；自动套袋（网）</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1.1m及以上悬挂单圆盘式青饲料收获机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悬挂单圆盘式；割幅≥1.1m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0.9—1.1m悬挂双圆盘式青饲料收获机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悬挂双圆盘式；0.9m≤割幅＜1.1m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1.1—2.1m悬挂双圆盘式青饲料收获机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悬挂双圆盘式；1.1m≤割幅＜2.1m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2.1—2.2m悬挂双圆盘式青饲料收获机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悬挂双圆盘式；2.1m≤割幅＜2.2m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1.1m及以上牵引式青饲料收获机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牵引式；割幅≥1.1m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2—2.6m自走圆盘式青饲料收获机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自走圆盘式；2m≤割幅＜2.6m；籽粒破碎机构：无或非对辊式；配套发动机功率≥110kW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63600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青（黄）饲料收获机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1.8—2.2m自走其他式青饲料收获机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自走其他式；1.8m≤割幅＜2.2m；籽粒破碎机构：无或非对辊式；配套发动机功率≥90kW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1t/h≤生产率&lt;3t/h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3t/h≤生产率&lt;6t/h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490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970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铡草机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9—15t/h铡草机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青贮切碎机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6-9t/h青贮切碎机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6t/h≤生产率＜9t/h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400-550mm饲料（草）粉碎机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400mm≤转子盘直径＜550mm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饲料（草）粉碎机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550mm及以上饲料（草）粉碎机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转子盘直径≥550mm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饲料混合机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及以上卧式(单轴)混合机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混合室容积≥2m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；卧式；单轴</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≤搅拌室容积＜9m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饲料（草）收获加工运输设备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饲料（草）加工机械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全混合日粮制备机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及以上饲料全混合日粮制备机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搅拌室容积≥12m</w:t>
            </w:r>
            <w:r>
              <w:rPr>
                <w:rStyle w:val="6"/>
                <w:rFonts w:hint="eastAsia" w:ascii="仿宋" w:hAnsi="仿宋" w:eastAsia="仿宋" w:cs="仿宋"/>
                <w:sz w:val="24"/>
                <w:szCs w:val="24"/>
                <w:lang w:val="en-US" w:eastAsia="zh-CN" w:bidi="ar"/>
              </w:rPr>
              <w:t>³</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10000-20000枚孵化机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10000枚≤蛋容量＜20000枚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畜禽繁育设备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孵化机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20000-50000枚孵化机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20000枚≤蛋容量＜50000枚</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螺旋弹簧式；输送长度≥30m，带主机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刮链（索盘）式；输送长度≥50m，带主机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6100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50—100m塞盘式喂(送)料机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塞盘式；50m≤送料长度＜100m；含电机、料斗、驱动装置、控制装置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饲养设备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喂（送）料机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行车式喂（送）料机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行车式；喂料机层数≥3；料斗行程距离(行车行程)≥2.5m；含电机、料斗、驱动装置、控制装置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刮板式清粪机（刮板为不锈钢材质）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宽度≥2m；刮板为不锈钢材质；机架为焊接后整体热镀锌；牵引刮板式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刮板式清粪机（全不锈钢材质）</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宽度≥2m；全不锈钢材质；刮板式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输送带式；300m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≤输送带面积＜400m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输送带面积=粪带宽度×辊筒上方粪带长度×粪带层数</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清粪机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400—500m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输送带式清粪机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输送带式；400m</w:t>
            </w:r>
            <w:r>
              <w:rPr>
                <w:rStyle w:val="6"/>
                <w:rFonts w:hint="eastAsia" w:ascii="仿宋" w:hAnsi="仿宋" w:eastAsia="仿宋" w:cs="仿宋"/>
                <w:sz w:val="24"/>
                <w:szCs w:val="24"/>
                <w:lang w:val="en-US" w:eastAsia="zh-CN" w:bidi="ar"/>
              </w:rPr>
              <w:t>²</w:t>
            </w:r>
            <w:r>
              <w:rPr>
                <w:rStyle w:val="7"/>
                <w:rFonts w:ascii="仿宋" w:hAnsi="仿宋" w:eastAsia="仿宋" w:cs="仿宋"/>
                <w:sz w:val="24"/>
                <w:szCs w:val="24"/>
                <w:lang w:val="en-US" w:eastAsia="zh-CN" w:bidi="ar"/>
              </w:rPr>
              <w:t>≤输送带面积＜500m</w:t>
            </w:r>
            <w:r>
              <w:rPr>
                <w:rStyle w:val="6"/>
                <w:rFonts w:hint="eastAsia" w:ascii="仿宋" w:hAnsi="仿宋" w:eastAsia="仿宋" w:cs="仿宋"/>
                <w:sz w:val="24"/>
                <w:szCs w:val="24"/>
                <w:lang w:val="en-US" w:eastAsia="zh-CN" w:bidi="ar"/>
              </w:rPr>
              <w:t>²</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6600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不锈钢材质,挤压功能,15m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畜禽粪污固液分离机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/h，筛分式固液分离机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不锈钢材质,挤压功能,处理量≥40m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罐式畜禽粪便发酵处理机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发酵罐：容积≥100m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、内筒体材质304＃不锈钢（厚度≥2mm）；日处理量≥14m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；含搅拌系统、送风系统、辅助加热器；提升装置选配</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畜禽粪便翻堆设备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4m及以上电动有机废弃物好氧发酵翻堆机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工作幅宽≥4m；配套动力型式：电动机；配套总功率≥12kW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畜禽粪污资源化利用设备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畜禽粪便发酵处理设备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6m≤横向跨度&lt;10m有机废弃物发酵翻(堆)机(配套动力为电机)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电机总功率≥10kw；工作部件可纵横向移动，6m≤横向跨度＜10m；翻抛深度≥1.3m；生产率≥200m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28900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容积0.5—1m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病死畜禽处理设备（多片非连续式结构刀具）</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多片非连续式结构刀具；有切割粉碎功能；0.5m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22800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畜禽养殖废弃物及病死畜禽处理设备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病死畜禽储运及处理设备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病死畜禽处理设备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容积1—2m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病死畜禽处理设备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多片非连续式结构刀具；有切割粉碎功能；1m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≤容积＜2m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；配备尾气处理装置</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44400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投（饲）饵机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风送式投（饲）饵机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送料风机≥1.5kW、每小时投饲量≥300kg、料箱容量≥250kg</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1600</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普通型增氧机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水车式、叶轮式、涌浪式；动力：电机；功率≥1.5kW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曝气式增氧机；功率≥1.5kW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10kg/h≤增氧能力＜30kg/h微孔曝气高速增氧机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微孔曝气式；10kg/h≤增氧能力＜30kg/h；电机功率≥5kW；动力效率（增氧能力/电机功率）≥2kg/（kw·h）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水产养殖机械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水质调控设备</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30kg/h≤增氧能力＜50kg/h微孔曝气高速增氧机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微孔曝气式；30kg/h≤增氧能力＜50kg/h；电机功率≥15kW；动力效率（增氧能力/电机功率）≥2kg/（kw·h）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粮食清选机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5t/h≤生产率＜15t/h粮食清选机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5t/h≤生产率＜15t/h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批处理量4t及以上移动式谷物烘干机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批处理量≥4t；移动式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批处理量1—4t循环式谷物烘干机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1t≤批处理量＜4t；循环式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批处理量4—10t循环式谷物烘干机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4t≤批处理量＜10t；循环式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16800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批处理量10—20t循环式谷物烘干机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10t≤批处理量＜20t；循环式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批处理量20—30t循环式谷物烘干机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批处理量30t及以上循环式谷物烘干机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批处理量≥30t；循环式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处理量20—50t/d连续式谷物烘干机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20t/d≤处理量＜50t/d；连续式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处理量50—100t/d连续式谷物烘干机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50t/d≤处理量＜100t/d；连续式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装载量3—5t批式静态谷物烘干机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谷物（粮食）干燥机（烘干机）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装载量5t及以上批式静态谷物烘干机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装载量≥5t；批式静态</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9900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碾米机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7.5kW及以上组合米机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功率≥7.5kW；含砻谷、清选、碾米、抛光功能。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执行单元数60-300大米色选机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60≤执行单元数＜300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执行单元数300-450大米色选机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粮油糖初加工机械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粮食色选机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执行单元数大于450大米色选机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执行单元数＞450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机械式分选;生产率≥3t/h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光电式重量分选，分级数8—16级，生产率3t/h及以上水果分级机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光电式重量分选;8≤分选等级数&lt;16;生产率≥3t/h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果蔬分级机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光电式重量分选，分级数16级及以上，生产率5t/h及以上水果分级机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光电式重量分选;分选等级数≥16;生产率≥5t/h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果蔬清洗机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5t/h及以上水果清洗机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生产率≥5t/h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1350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；结构型式：厢式；热源装置：非燃煤型</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容积5—20m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；结构型式：厢式；热源装置：热泵；热泵额定功率（不含电辅助加热）≥2.4kW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容积20—40m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；结构型式：厢式；热源装置：热泵；热泵额定功率（不含电辅助加热）≥4.5kW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果蔬干燥机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及以上热泵型厢式果蔬烘干机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有效烘干容积≥40m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；结构型式：厢式；热源装置：热泵；热泵额定功率（不含电辅助加热）≥9kW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，机组总功率≥2kW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库容100—300m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，机组总功率≥3.5kW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库容300—500m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，机组总功率≥8kW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果蔬冷藏保鲜设备</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库容500—1000m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简易保鲜储藏设备</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≤库容＜1000m</w:t>
            </w:r>
            <w:r>
              <w:rPr>
                <w:rStyle w:val="6"/>
                <w:rFonts w:hint="eastAsia" w:ascii="仿宋" w:hAnsi="仿宋" w:eastAsia="仿宋" w:cs="仿宋"/>
                <w:sz w:val="24"/>
                <w:szCs w:val="24"/>
                <w:lang w:val="en-US" w:eastAsia="zh-CN" w:bidi="ar"/>
              </w:rPr>
              <w:t>³</w:t>
            </w:r>
            <w:r>
              <w:rPr>
                <w:rStyle w:val="7"/>
                <w:rFonts w:ascii="仿宋" w:hAnsi="仿宋" w:eastAsia="仿宋" w:cs="仿宋"/>
                <w:sz w:val="24"/>
                <w:szCs w:val="24"/>
                <w:lang w:val="en-US" w:eastAsia="zh-CN" w:bidi="ar"/>
              </w:rPr>
              <w:t>，机组总功率≥13kW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27500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滚筒直径80cm及以上杀青机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滚筒直径≥80cm，直段长度≥100cm；配生物质颗粒燃烧机或生物醇油燃烧机</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茶叶杀青机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燃气式杀青机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燃气式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揉桶直径250-350mm揉捻机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250mm≤揉桶直径＜350mm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揉桶直径350-500mm揉捻机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350mm≤揉桶直径＜500mm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茶叶揉捻机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揉桶直径500-600mm揉捻机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500mm≤揉桶直径＜600mm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2—4工位、脱模工位2个及以上紧压茶压制机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2≤工位＜4，每工位工作压力≥5t；脱模工位≥2</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9100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茶叶压扁机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4工位及以上、脱模工位3个及以上紧压茶压制机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工位≥4，每工位工作压力≥5t；脱模工位≥3</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12900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茶叶理条机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锅槽面积1—2.5㎡茶叶理条机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1㎡≤锅槽面积＜2.5㎡</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1—2锅（槽）全自动茶叶炒(烘）干机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全自动控制作业；1—2锅（槽）</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茶叶炒（烘）干机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烘干面积10㎡及以上连续自动式茶叶烘干机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连续自动式茶叶烘干机；烘干面积≥10㎡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8800 </w:t>
            </w:r>
          </w:p>
        </w:tc>
        <w:tc>
          <w:tcPr>
            <w:tcW w:w="2483" w:type="dxa"/>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20马力以下四轮驱动拖拉机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 </w:t>
            </w:r>
          </w:p>
        </w:tc>
        <w:tc>
          <w:tcPr>
            <w:tcW w:w="24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不含皮带传动轮式拖拉机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20—30马力四轮驱动拖拉机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20马力≤功率＜30马力；驱动方式：四轮驱动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30马力≤功率＜40马力；驱动方式：四轮驱动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40—50马力四轮驱动拖拉机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40马力≤功率＜50马力；驱动方式：四轮驱动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50马力≤功率＜60马力；驱动方式：四轮驱动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6700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60—70马力四轮驱动拖拉机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60马力≤功率＜70马力；驱动方式：四轮驱动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70马力≤功率＜80马力；驱动方式：四轮驱动；最小使用比质量≥38kg/kw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9800 </w:t>
            </w:r>
          </w:p>
        </w:tc>
        <w:tc>
          <w:tcPr>
            <w:tcW w:w="248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最小使用比质量（kg/kW）=最小使用质量/配套发动机标定功率。</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15000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20400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140马力≤功率＜160马力；驱动方式：四轮驱动；最小使用比质量≥43kg/kw</w:t>
            </w:r>
          </w:p>
        </w:tc>
        <w:tc>
          <w:tcPr>
            <w:tcW w:w="128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26600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38900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41900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48500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72200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22300 </w:t>
            </w:r>
          </w:p>
        </w:tc>
        <w:tc>
          <w:tcPr>
            <w:tcW w:w="2483" w:type="dxa"/>
            <w:vMerge w:val="restart"/>
            <w:tcBorders>
              <w:top w:val="nil"/>
              <w:left w:val="single" w:color="000000" w:sz="4" w:space="0"/>
              <w:bottom w:val="nil"/>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1.最小使用比质量（kg/kW）=最小使用质量/配套发动机标定功率。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2.智能控制是指具备电液控制三点悬挂装置及以下至少一项功能：电液控制四轮驱动、电液控制动力输出轴、电液控制多路阀、电控液压转向。</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51000 </w:t>
            </w:r>
          </w:p>
        </w:tc>
        <w:tc>
          <w:tcPr>
            <w:tcW w:w="2483"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56500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74700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80—90马力四轮驱动动力换挡辅助驾驶智控拖拉机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80马力≤功率＜90马力；驱动方式：四轮驱动；换挡方式：部分动力换挡、动力换挡/换向、无级变速；智能控制；前装辅助驾驶（系统）设备（卫星接收机板卡类型及频点：北斗信号）；最小使用比质量≥40kg/kw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25300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90马力≤功率＜100马力；驱动方式：四轮驱动；换挡方式：部分动力换挡、动力换挡/换向、无级变速；智能控制；前装辅助驾驶（系统）设备（卫星接收机板卡类型及频点：北斗信号）；最小使用比质量≥40kg/kw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28300 </w:t>
            </w:r>
          </w:p>
        </w:tc>
        <w:tc>
          <w:tcPr>
            <w:tcW w:w="2483" w:type="dxa"/>
            <w:vMerge w:val="continue"/>
            <w:tcBorders>
              <w:top w:val="single" w:color="000000" w:sz="4" w:space="0"/>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100—120马力四轮驱动动力换挡辅助驾驶智控拖拉机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100马力≤功率＜120马力；驱动方式：四轮驱动；换挡方式：部分动力换挡、动力换挡/换向、无级变速；智能控制；前装辅助驾驶（系统）设备（卫星接收机板卡类型及频点：北斗信号）；最小使用比质量≥43kg/kw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31300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120—140马力四轮驱动动力换挡辅助驾驶智控拖拉机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120马力≤功率＜140马力；驱动方式：四轮驱动；换挡方式：部分动力换挡、动力换挡/换向、无级变速；智能控制；前装辅助驾驶（系统）设备（卫星接收机板卡类型及频点：北斗信号）；最小使用比质量≥43kg/kw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43600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140—160马力四轮驱动动力换挡辅助驾驶智控拖拉机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140马力≤功率＜160马力；驱动方式：四轮驱动；换挡方式：部分动力换挡、动力换挡/换向、无级变速；智能控制；前装辅助驾驶（系统）设备（卫星接收机板卡类型及频点：北斗信号）；最小使用比质量≥43kg/kw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46600 </w:t>
            </w:r>
          </w:p>
        </w:tc>
        <w:tc>
          <w:tcPr>
            <w:tcW w:w="2483" w:type="dxa"/>
            <w:vMerge w:val="continue"/>
            <w:tcBorders>
              <w:top w:val="nil"/>
              <w:left w:val="single" w:color="000000" w:sz="4" w:space="0"/>
              <w:bottom w:val="nil"/>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160—180马力四轮驱动动力换挡辅助驾驶智控拖拉机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160马力≤功率＜180马力；驱动方式：四轮驱动；换挡方式：部分动力换挡、动力换挡/换向、无级变速；智能控制；前装辅助驾驶（系统）设备（卫星接收机板卡类型及频点：北斗信号）；最小使用比质量≥43kg/kw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54000 </w:t>
            </w:r>
          </w:p>
        </w:tc>
        <w:tc>
          <w:tcPr>
            <w:tcW w:w="2483"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180—200马力四轮驱动动力换挡辅助驾驶智控拖拉机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180马力≤功率＜200马力；驱动方式：四轮驱动；换挡方式：部分动力换挡、动力换挡/换向、无级变速；智能控制；前装辅助驾驶（系统）设备（卫星接收机板卡类型及频点：北斗信号）；最小使用比质量≥43kg/kw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59500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轮式拖拉机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200马力及以上四轮驱动动力换挡辅助驾驶智控拖拉机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功率≥200马力；驱动方式：四轮驱动；换挡方式：部分动力换挡、动力换挡/换向、无级变速；智能控制；前装辅助驾驶（系统）设备（卫星接收机板卡类型及频点：北斗信号）；最小使用比质量≥43kg/kw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77700 </w:t>
            </w:r>
          </w:p>
        </w:tc>
        <w:tc>
          <w:tcPr>
            <w:tcW w:w="24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70—90马力差速转向履带式拖拉机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70马力≤功率＜90马力；驱动方式：履带式；转向型式：差速式转向；最大牵引功率≥70%发动机标定功率；最小使用比质量≥35kg/kW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28500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90—110马力差速转向履带式拖拉机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90马力≤功率＜110马力；驱动方式：履带式；转向型式：差速式转向；最大牵引功率≥70%发动机标定功率；最小使用比质量≥35kg/kW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110—130马力差速转向履带式拖拉机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110马力≤功率＜130马力；驱动方式：履带式；转向型式：差速式转向；最大牵引功率≥70%发动机标定功率；最小使用比质量≥40kg/kW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42200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130—150马力差速转向履带式拖拉机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130马力≤功率＜150马力；驱动方式：履带式；转向型式：差速式转向；最大牵引功率≥70%发动机标定功率；最小使用比质量≥40kg/kW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48200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150马力及以上差速转向履带式拖拉机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功率≥150马力；驱动方式：履带式；转向型式：差速式转向；最大牵引功率≥70%发动机标定功率；最小使用比质量≥40kg/kW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14400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50—70马力差速转向轻型履带式拖拉机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50马力≤功率＜70马力；驱动方式：履带式；转向型式：差速式转向；橡胶履带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17200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农用动力机械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拖拉机</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履带式拖拉机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70—100马力差速转向轻型履带式拖拉机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70马力≤功率≤100马力；驱动方式：履带式；转向型式：差速式转向；橡胶履带</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20600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田间搬运机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功率4.0kW及以上自走履带式田园搬运机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标定功率≥4.0kW；额定载质量≥200kg；结构型式：自走履带式</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2483" w:type="dxa"/>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幅宽2—3m平地机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7400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农田基本建设机械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平地机械（限与拖拉机配套）</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平地机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幅宽3m及以上平地机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幅宽≥3m；控制方式：激光控制或卫星控制（卫星接收机板卡类型及频点：北斗信号）；限与拖拉机配套</w:t>
            </w:r>
          </w:p>
        </w:tc>
        <w:tc>
          <w:tcPr>
            <w:tcW w:w="12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8900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仿宋" w:hAnsi="仿宋" w:eastAsia="仿宋" w:cs="仿宋"/>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自走式平地轨道运输机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0.35kW，电池容量≥20A·h）；结构型式：双向；轨道长度≥50米；轨道型式：齿条式、平面导轨式、打孔式、其他式；额定装载质量≥200kg；轨道材料型号：Q235（镀锌）碳素结构钢、冷镦钢或中碳钢；轨道壁厚≥2.3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1000元+10元/米（轨道长度）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按成套设备补贴，单台套补贴上限1万元。轨道长度去尾取整。安装、验收完成后补贴。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自走式山地轨道运输机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驱动传动装置、载物货厢、轨道。驱动型式：自走式；配套动力类型：汽油机、柴油机或电动机（动力为电动机时，功率≥2.2kW，电池容量≥40A·h）；最大爬坡度≥35°；结构型式：双向；轨道长度≥100米；轨道型式：齿条式、打孔式；额定装载质量≥200kg；轨道材料型号：Q235（镀锌）碳素结构钢、冷镦钢或中碳钢；轨道壁厚≥2.5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3000元+34元/米（轨道长度）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农用搬运机械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农用运输机械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轨道运输机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牵引式山地轨道运输机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包含牵引传动装置、载物货厢、轨道。驱动型式：牵引式；配套动力类型：电动机；功率≥3kW；最大爬坡度≥35°；轨道长度≥100米；轨道型式：平面导轨式；额定装载质量≥200kg；轨道材料型号：Q235（镀锌）碳素结构钢、冷镦钢或中碳钢；单轨轨道壁厚≥2.5mm、双轨轨道壁厚≥1.5mm</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2000元+30元/米（轨道长度）</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按成套设备补贴，单台套补贴上限3万元。轨道长度去尾取整。安装、验收完成后补贴。</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固定式，自动割胶，电池容量≥4000mAh，电机功率≥12W</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126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天然橡胶收获机械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割胶刀</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电动割胶刀</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型式：电动往复式；锂电池容量≥4Ah；含充电器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360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收获机械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果菜茶烟草药收获机械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果类收获机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胡椒脱粒机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电机功率≥2.2kW；生产率≥200kg/h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胡椒脱皮机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电机功率≥3kW；生产率≥200kg/h</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草药、香料、烟草初加工机械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香料初加工机械</w:t>
            </w:r>
          </w:p>
        </w:tc>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其他香料初加工机械</w:t>
            </w:r>
          </w:p>
        </w:tc>
        <w:tc>
          <w:tcPr>
            <w:tcW w:w="3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胡椒熟化机</w:t>
            </w:r>
          </w:p>
        </w:tc>
        <w:tc>
          <w:tcPr>
            <w:tcW w:w="5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电机（主机）功率≥2.2 kW，生产率≥200kg/h;燃料式蒸汽发生器</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30000 </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专项鉴定产品</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8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非通用类</w:t>
            </w:r>
          </w:p>
        </w:tc>
      </w:tr>
    </w:tbl>
    <w:p>
      <w:pPr>
        <w:spacing w:line="590" w:lineRule="exact"/>
        <w:rPr>
          <w:rFonts w:hint="eastAsia" w:ascii="仿宋" w:hAnsi="仿宋" w:eastAsia="仿宋" w:cs="仿宋"/>
          <w:sz w:val="32"/>
          <w:szCs w:val="32"/>
          <w:lang w:val="en-US" w:eastAsia="zh-CN"/>
        </w:rPr>
      </w:pPr>
    </w:p>
    <w:p>
      <w:pPr>
        <w:spacing w:line="590" w:lineRule="exact"/>
        <w:rPr>
          <w:rFonts w:hint="eastAsia" w:ascii="仿宋" w:hAnsi="仿宋" w:eastAsia="仿宋" w:cs="仿宋"/>
          <w:sz w:val="32"/>
          <w:szCs w:val="32"/>
        </w:rPr>
        <w:sectPr>
          <w:pgSz w:w="23811" w:h="16838" w:orient="landscape"/>
          <w:pgMar w:top="1599" w:right="1843" w:bottom="1219" w:left="1559" w:header="851" w:footer="992" w:gutter="0"/>
          <w:pgBorders>
            <w:top w:val="none" w:sz="0" w:space="0"/>
            <w:left w:val="none" w:sz="0" w:space="0"/>
            <w:bottom w:val="none" w:sz="0" w:space="0"/>
            <w:right w:val="none" w:sz="0" w:space="0"/>
          </w:pgBorders>
          <w:pgNumType w:fmt="numberInDash"/>
          <w:cols w:space="720" w:num="1"/>
          <w:rtlGutter w:val="0"/>
          <w:docGrid w:type="lines" w:linePitch="31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2"/>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85546"/>
    <w:rsid w:val="08C85546"/>
    <w:rsid w:val="46FECBC0"/>
    <w:rsid w:val="AFFFA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paragraph" w:styleId="2">
    <w:name w:val="heading 3"/>
    <w:basedOn w:val="1"/>
    <w:next w:val="1"/>
    <w:qFormat/>
    <w:uiPriority w:val="0"/>
    <w:pPr>
      <w:keepNext/>
      <w:keepLines/>
      <w:numPr>
        <w:ilvl w:val="2"/>
        <w:numId w:val="1"/>
      </w:numPr>
      <w:spacing w:before="260" w:beforeLines="0" w:after="260" w:afterLines="0" w:line="416" w:lineRule="auto"/>
      <w:outlineLvl w:val="2"/>
    </w:pPr>
    <w:rPr>
      <w:rFonts w:ascii="Times New Roman" w:hAnsi="Times New Roman" w:eastAsia="仿宋_GB2312" w:cs="Times New Roman"/>
      <w:b/>
      <w:bCs/>
      <w:spacing w:val="-6"/>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ascii="方正书宋_GBK" w:hAnsi="方正书宋_GBK" w:eastAsia="方正书宋_GBK" w:cs="方正书宋_GBK"/>
      <w:color w:val="000000"/>
      <w:sz w:val="18"/>
      <w:szCs w:val="18"/>
      <w:u w:val="none"/>
    </w:rPr>
  </w:style>
  <w:style w:type="character" w:customStyle="1" w:styleId="7">
    <w:name w:val="font51"/>
    <w:basedOn w:val="5"/>
    <w:qFormat/>
    <w:uiPriority w:val="0"/>
    <w:rPr>
      <w:rFonts w:hint="eastAsia" w:ascii="宋体" w:hAnsi="宋体" w:eastAsia="宋体" w:cs="宋体"/>
      <w:color w:val="000000"/>
      <w:sz w:val="18"/>
      <w:szCs w:val="18"/>
      <w:u w:val="none"/>
    </w:rPr>
  </w:style>
  <w:style w:type="character" w:customStyle="1" w:styleId="8">
    <w:name w:val="font31"/>
    <w:basedOn w:val="5"/>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2024-12-02T11:22:00Z</dcterms:created>
  <dc:creator>Administrator</dc:creator>
  <cp:lastModifiedBy>kylin</cp:lastModifiedBy>
  <dcterms:modified xsi:type="dcterms:W3CDTF">2024-12-10T12:37:18Z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E9367B62AFAFC905D5C35767F2D3AE15</vt:lpwstr>
  </property>
</Properties>
</file>