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7835B">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海南省动物卫生监督所</w:t>
      </w:r>
    </w:p>
    <w:p w14:paraId="1F7E356A">
      <w:pPr>
        <w:spacing w:line="578" w:lineRule="exact"/>
        <w:jc w:val="center"/>
        <w:rPr>
          <w:rFonts w:hint="eastAsia" w:asciiTheme="majorEastAsia" w:hAnsiTheme="majorEastAsia" w:eastAsiaTheme="majorEastAsia" w:cstheme="majorEastAsia"/>
          <w:b/>
          <w:bCs/>
          <w:sz w:val="44"/>
          <w:szCs w:val="44"/>
        </w:rPr>
      </w:pPr>
      <w:r>
        <w:rPr>
          <w:rFonts w:hint="default" w:asciiTheme="majorEastAsia" w:hAnsiTheme="majorEastAsia" w:eastAsiaTheme="majorEastAsia" w:cstheme="majorEastAsia"/>
          <w:b/>
          <w:bCs/>
          <w:sz w:val="44"/>
          <w:szCs w:val="44"/>
          <w:lang w:val="en-US"/>
        </w:rPr>
        <w:t>2025</w:t>
      </w:r>
      <w:r>
        <w:rPr>
          <w:rFonts w:hint="eastAsia" w:asciiTheme="majorEastAsia" w:hAnsiTheme="majorEastAsia" w:eastAsiaTheme="majorEastAsia" w:cstheme="majorEastAsia"/>
          <w:b/>
          <w:bCs/>
          <w:sz w:val="44"/>
          <w:szCs w:val="44"/>
        </w:rPr>
        <w:t>年度部门决算公开报告</w:t>
      </w:r>
    </w:p>
    <w:p w14:paraId="1E8F4CF7">
      <w:pPr>
        <w:spacing w:line="578" w:lineRule="exact"/>
        <w:jc w:val="center"/>
        <w:rPr>
          <w:rFonts w:hint="eastAsia" w:asciiTheme="majorEastAsia" w:hAnsiTheme="majorEastAsia" w:eastAsiaTheme="majorEastAsia" w:cstheme="majorEastAsia"/>
          <w:b/>
          <w:bCs/>
          <w:sz w:val="44"/>
          <w:szCs w:val="44"/>
        </w:rPr>
      </w:pPr>
    </w:p>
    <w:p w14:paraId="6C2B2D3A">
      <w:pPr>
        <w:spacing w:line="578" w:lineRule="exact"/>
        <w:jc w:val="center"/>
        <w:rPr>
          <w:rFonts w:hint="eastAsia" w:ascii="黑体" w:hAnsi="ˎ̥" w:eastAsia="黑体"/>
          <w:b/>
          <w:sz w:val="32"/>
          <w:szCs w:val="32"/>
        </w:rPr>
      </w:pPr>
    </w:p>
    <w:p w14:paraId="6A8F1018">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14:paraId="6A2F743B">
      <w:pPr>
        <w:pStyle w:val="19"/>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14:paraId="29CBFE79">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09089809">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3B013F23">
      <w:pPr>
        <w:pStyle w:val="19"/>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rPr>
        <w:t>2</w:t>
      </w:r>
    </w:p>
    <w:p w14:paraId="6E57563D">
      <w:pPr>
        <w:pStyle w:val="19"/>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2025</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3</w:t>
      </w:r>
    </w:p>
    <w:p w14:paraId="65C40179">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14:paraId="4BD7D57F">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0C54764D">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51FC70A3">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7A0C8420">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5</w:t>
      </w:r>
    </w:p>
    <w:p w14:paraId="0F3513AE">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6</w:t>
      </w:r>
    </w:p>
    <w:p w14:paraId="14C271AC">
      <w:pPr>
        <w:pStyle w:val="20"/>
        <w:numPr>
          <w:ilvl w:val="0"/>
          <w:numId w:val="0"/>
        </w:numPr>
        <w:tabs>
          <w:tab w:val="right" w:leader="dot" w:pos="8306"/>
        </w:tabs>
        <w:spacing w:line="578" w:lineRule="exact"/>
        <w:rPr>
          <w:rFonts w:hint="eastAsia" w:ascii="仿宋" w:hAnsi="仿宋" w:eastAsia="仿宋" w:cs="仿宋"/>
          <w:sz w:val="32"/>
          <w:szCs w:val="32"/>
        </w:rPr>
      </w:pPr>
      <w:r>
        <w:rPr>
          <w:rFonts w:hint="eastAsia" w:ascii="仿宋" w:hAnsi="仿宋" w:eastAsia="仿宋" w:cs="仿宋"/>
          <w:bCs/>
          <w:sz w:val="32"/>
          <w:szCs w:val="32"/>
          <w:lang w:val="en-US" w:eastAsia="zh-CN"/>
        </w:rPr>
        <w:t>七、</w:t>
      </w: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7</w:t>
      </w:r>
    </w:p>
    <w:p w14:paraId="341B0484">
      <w:pPr>
        <w:pStyle w:val="20"/>
        <w:numPr>
          <w:ilvl w:val="0"/>
          <w:numId w:val="0"/>
        </w:numPr>
        <w:tabs>
          <w:tab w:val="right" w:leader="dot" w:pos="8306"/>
        </w:tabs>
        <w:spacing w:line="578" w:lineRule="exact"/>
        <w:rPr>
          <w:rFonts w:hint="eastAsia" w:ascii="仿宋" w:hAnsi="仿宋" w:eastAsia="仿宋" w:cs="仿宋"/>
          <w:sz w:val="32"/>
          <w:szCs w:val="32"/>
        </w:rPr>
      </w:pPr>
      <w:r>
        <w:rPr>
          <w:rFonts w:hint="eastAsia" w:ascii="仿宋" w:hAnsi="仿宋" w:eastAsia="仿宋" w:cs="仿宋"/>
          <w:bCs/>
          <w:sz w:val="32"/>
          <w:szCs w:val="32"/>
          <w:lang w:val="en-US" w:eastAsia="zh-CN"/>
        </w:rPr>
        <w:t>八、</w:t>
      </w: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8</w:t>
      </w:r>
    </w:p>
    <w:p w14:paraId="4A5010BD">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14:paraId="23F091F4">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11</w:t>
      </w:r>
    </w:p>
    <w:p w14:paraId="11226842">
      <w:pPr>
        <w:pStyle w:val="20"/>
        <w:numPr>
          <w:ilvl w:val="0"/>
          <w:numId w:val="0"/>
        </w:numPr>
        <w:tabs>
          <w:tab w:val="right" w:leader="dot" w:pos="8306"/>
        </w:tabs>
        <w:spacing w:line="578" w:lineRule="exact"/>
        <w:rPr>
          <w:rFonts w:hint="eastAsia" w:ascii="仿宋" w:hAnsi="仿宋" w:eastAsia="仿宋" w:cs="仿宋"/>
          <w:sz w:val="32"/>
          <w:szCs w:val="32"/>
        </w:rPr>
      </w:pPr>
      <w:r>
        <w:rPr>
          <w:rFonts w:hint="eastAsia" w:ascii="仿宋" w:hAnsi="仿宋" w:eastAsia="仿宋" w:cs="仿宋"/>
          <w:bCs/>
          <w:sz w:val="32"/>
          <w:szCs w:val="32"/>
          <w:lang w:val="en-US" w:eastAsia="zh-CN"/>
        </w:rPr>
        <w:t>十一、</w:t>
      </w:r>
      <w:r>
        <w:rPr>
          <w:rFonts w:hint="eastAsia" w:ascii="仿宋" w:hAnsi="仿宋" w:eastAsia="仿宋" w:cs="仿宋"/>
          <w:bCs/>
          <w:sz w:val="32"/>
          <w:szCs w:val="32"/>
        </w:rPr>
        <w:t>落实习惯过紧日子要求、保障重点支出情况说明</w:t>
      </w:r>
      <w:r>
        <w:rPr>
          <w:rFonts w:hint="eastAsia" w:ascii="仿宋" w:hAnsi="仿宋" w:eastAsia="仿宋" w:cs="仿宋"/>
          <w:sz w:val="32"/>
          <w:szCs w:val="32"/>
        </w:rPr>
        <w:tab/>
      </w:r>
      <w:r>
        <w:rPr>
          <w:rFonts w:hint="eastAsia" w:ascii="仿宋" w:hAnsi="仿宋" w:eastAsia="仿宋" w:cs="仿宋"/>
          <w:sz w:val="32"/>
          <w:szCs w:val="32"/>
        </w:rPr>
        <w:t>13</w:t>
      </w:r>
    </w:p>
    <w:p w14:paraId="4705ABB2">
      <w:pPr>
        <w:pStyle w:val="20"/>
        <w:tabs>
          <w:tab w:val="right" w:leader="dot" w:pos="8306"/>
        </w:tabs>
        <w:spacing w:line="578" w:lineRule="exact"/>
        <w:ind w:leftChars="0"/>
        <w:rPr>
          <w:rFonts w:hint="default" w:ascii="仿宋" w:hAnsi="仿宋" w:eastAsia="仿宋" w:cs="仿宋"/>
          <w:sz w:val="32"/>
          <w:szCs w:val="32"/>
          <w:lang w:val="en-US"/>
        </w:rPr>
      </w:pPr>
      <w:r>
        <w:rPr>
          <w:rFonts w:hint="eastAsia" w:ascii="仿宋" w:hAnsi="仿宋" w:eastAsia="仿宋" w:cs="仿宋"/>
          <w:bCs/>
          <w:sz w:val="32"/>
          <w:szCs w:val="32"/>
        </w:rPr>
        <w:t>十</w:t>
      </w:r>
      <w:r>
        <w:rPr>
          <w:rFonts w:hint="eastAsia" w:ascii="仿宋" w:hAnsi="仿宋" w:eastAsia="仿宋" w:cs="仿宋"/>
          <w:bCs/>
          <w:sz w:val="32"/>
          <w:szCs w:val="32"/>
          <w:lang w:val="en-US" w:eastAsia="zh-CN"/>
        </w:rPr>
        <w:t>二</w:t>
      </w:r>
      <w:r>
        <w:rPr>
          <w:rFonts w:hint="eastAsia" w:ascii="仿宋" w:hAnsi="仿宋" w:eastAsia="仿宋" w:cs="仿宋"/>
          <w:bCs/>
          <w:sz w:val="32"/>
          <w:szCs w:val="32"/>
        </w:rPr>
        <w:t>、其他重要事项情况说明</w:t>
      </w:r>
      <w:r>
        <w:rPr>
          <w:rFonts w:hint="eastAsia" w:ascii="仿宋" w:hAnsi="仿宋" w:eastAsia="仿宋" w:cs="仿宋"/>
          <w:sz w:val="32"/>
          <w:szCs w:val="32"/>
        </w:rPr>
        <w:tab/>
      </w:r>
      <w:r>
        <w:rPr>
          <w:rFonts w:hint="eastAsia" w:ascii="仿宋" w:hAnsi="仿宋" w:eastAsia="仿宋" w:cs="仿宋"/>
          <w:sz w:val="32"/>
          <w:szCs w:val="32"/>
        </w:rPr>
        <w:t>1</w:t>
      </w:r>
      <w:r>
        <w:rPr>
          <w:rFonts w:hint="default" w:ascii="仿宋" w:hAnsi="仿宋" w:eastAsia="仿宋" w:cs="仿宋"/>
          <w:sz w:val="32"/>
          <w:szCs w:val="32"/>
          <w:lang w:val="en-US"/>
        </w:rPr>
        <w:t>4</w:t>
      </w:r>
    </w:p>
    <w:p w14:paraId="1704E608">
      <w:pPr>
        <w:pStyle w:val="19"/>
        <w:tabs>
          <w:tab w:val="right" w:leader="dot" w:pos="8306"/>
        </w:tabs>
        <w:spacing w:line="578" w:lineRule="exact"/>
        <w:rPr>
          <w:rFonts w:hint="eastAsia" w:ascii="黑体" w:hAnsi="ˎ̥"/>
          <w:b/>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rFonts w:hint="eastAsia"/>
          <w:sz w:val="32"/>
          <w:szCs w:val="32"/>
        </w:rPr>
        <w:t>5</w:t>
      </w:r>
    </w:p>
    <w:p w14:paraId="4EC8D6DA">
      <w:pPr>
        <w:spacing w:line="578" w:lineRule="exact"/>
        <w:jc w:val="both"/>
        <w:rPr>
          <w:rFonts w:hint="eastAsia" w:ascii="黑体" w:hAnsi="ˎ̥" w:eastAsia="黑体"/>
          <w:sz w:val="32"/>
          <w:szCs w:val="32"/>
        </w:rPr>
      </w:pPr>
      <w:bookmarkStart w:id="2" w:name="_Toc10720_WPSOffice_Level1"/>
      <w:bookmarkStart w:id="3" w:name="_Toc22941_WPSOffice_Level1"/>
      <w:bookmarkStart w:id="4" w:name="_Toc32433_WPSOffice_Level1"/>
      <w:bookmarkStart w:id="5" w:name="_Toc1704_WPSOffice_Level1"/>
      <w:bookmarkStart w:id="6" w:name="_Toc23465_WPSOffice_Level1"/>
      <w:bookmarkStart w:id="7" w:name="_Toc10049_WPSOffice_Level1"/>
      <w:bookmarkStart w:id="8" w:name="_Toc24238_WPSOffice_Level2"/>
      <w:bookmarkStart w:id="9" w:name="_Toc20274_WPSOffice_Level2"/>
      <w:bookmarkStart w:id="10" w:name="_Toc14159_WPSOffice_Level2"/>
      <w:bookmarkStart w:id="11" w:name="_Toc20205_WPSOffice_Level2"/>
      <w:bookmarkStart w:id="12" w:name="_Toc26580_WPSOffice_Level2"/>
      <w:bookmarkStart w:id="13" w:name="_Toc32622_WPSOffice_Level2"/>
    </w:p>
    <w:p w14:paraId="13495E08">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2"/>
      <w:bookmarkEnd w:id="3"/>
      <w:bookmarkEnd w:id="4"/>
      <w:bookmarkEnd w:id="5"/>
      <w:bookmarkEnd w:id="6"/>
      <w:bookmarkEnd w:id="7"/>
      <w:r>
        <w:rPr>
          <w:rFonts w:hint="eastAsia" w:ascii="黑体" w:hAnsi="ˎ̥" w:eastAsia="黑体"/>
          <w:sz w:val="32"/>
          <w:szCs w:val="32"/>
        </w:rPr>
        <w:t>基本情况</w:t>
      </w:r>
    </w:p>
    <w:p w14:paraId="59DE4DDD">
      <w:pPr>
        <w:spacing w:line="578" w:lineRule="exact"/>
        <w:ind w:firstLine="640" w:firstLineChars="200"/>
        <w:rPr>
          <w:rFonts w:hint="eastAsia" w:ascii="楷体" w:hAnsi="楷体" w:eastAsia="楷体" w:cs="楷体"/>
          <w:sz w:val="32"/>
          <w:szCs w:val="32"/>
        </w:rPr>
      </w:pPr>
    </w:p>
    <w:p w14:paraId="4A3D8885">
      <w:pPr>
        <w:numPr>
          <w:ilvl w:val="0"/>
          <w:numId w:val="1"/>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部门</w:t>
      </w:r>
      <w:bookmarkEnd w:id="8"/>
      <w:r>
        <w:rPr>
          <w:rFonts w:hint="eastAsia" w:ascii="黑体" w:hAnsi="黑体" w:eastAsia="黑体" w:cs="黑体"/>
          <w:sz w:val="32"/>
          <w:szCs w:val="32"/>
        </w:rPr>
        <w:t>（单位）职责</w:t>
      </w:r>
      <w:bookmarkEnd w:id="9"/>
      <w:bookmarkEnd w:id="10"/>
      <w:bookmarkEnd w:id="11"/>
      <w:bookmarkEnd w:id="12"/>
      <w:bookmarkEnd w:id="13"/>
    </w:p>
    <w:p w14:paraId="04E1861F">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海南省动物卫生监督所隶属海南省农业农村厅，单位级别为正处级公益一类事业单位，人员编制43名（全额财政拨款），主要工作职能有：</w:t>
      </w:r>
    </w:p>
    <w:p w14:paraId="59C7E4EC">
      <w:pPr>
        <w:keepNext w:val="0"/>
        <w:keepLines w:val="0"/>
        <w:pageBreakBefore w:val="0"/>
        <w:widowControl/>
        <w:numPr>
          <w:ilvl w:val="0"/>
          <w:numId w:val="2"/>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负责对全省辖区的动物及动物产品依法实施检疫；</w:t>
      </w:r>
    </w:p>
    <w:p w14:paraId="331D90F9">
      <w:pPr>
        <w:keepNext w:val="0"/>
        <w:keepLines w:val="0"/>
        <w:pageBreakBefore w:val="0"/>
        <w:widowControl/>
        <w:numPr>
          <w:ilvl w:val="0"/>
          <w:numId w:val="2"/>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负责对全省辖区的动物饲养、屠宰、经营、隔离、运输和动物产品的生产、加工、贮藏、运输等活动中的动物防疫实施监督管理；</w:t>
      </w:r>
    </w:p>
    <w:p w14:paraId="6DAB088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负责对引入本省辖区的动物及动物产品在流通活动中实施全过程的动物防疫监督管理；行使《中华人民共和国动物防疫法》赋予的行政执法权，纠正和处理违反动物卫生法律、法规和规章的行为，并做出相应处理、处罚的决定；</w:t>
      </w:r>
    </w:p>
    <w:p w14:paraId="06DB4D6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（四）负责全省动物防疫及检疫证、章、标志、标识的管理；</w:t>
      </w:r>
    </w:p>
    <w:p w14:paraId="56C3B4D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（五）负责全省动物诊疗和执业兽医的监督管理；负责全省动物标识和养殖档案的监督管理；</w:t>
      </w:r>
    </w:p>
    <w:p w14:paraId="30612DF8">
      <w:pPr>
        <w:numPr>
          <w:numId w:val="0"/>
        </w:numPr>
        <w:spacing w:line="578" w:lineRule="exact"/>
        <w:rPr>
          <w:rFonts w:hint="eastAsia" w:ascii="黑体" w:hAnsi="黑体" w:eastAsia="黑体" w:cs="黑体"/>
          <w:sz w:val="32"/>
          <w:szCs w:val="32"/>
        </w:rPr>
      </w:pPr>
      <w:r>
        <w:rPr>
          <w:rFonts w:hint="default" w:ascii="Times New Roman" w:hAnsi="Times New Roman" w:eastAsia="仿宋" w:cs="Times New Roman"/>
          <w:sz w:val="32"/>
          <w:szCs w:val="32"/>
        </w:rPr>
        <w:t>（六）承担省农业厅交办的其他工作任务。</w:t>
      </w:r>
    </w:p>
    <w:p w14:paraId="0680DACE">
      <w:pPr>
        <w:spacing w:line="578" w:lineRule="exact"/>
        <w:ind w:firstLine="640" w:firstLineChars="200"/>
        <w:rPr>
          <w:rFonts w:hint="eastAsia" w:ascii="黑体" w:hAnsi="黑体" w:eastAsia="黑体" w:cs="黑体"/>
          <w:sz w:val="32"/>
          <w:szCs w:val="32"/>
        </w:rPr>
      </w:pPr>
      <w:bookmarkStart w:id="14" w:name="_Toc24474_WPSOffice_Level2"/>
      <w:bookmarkStart w:id="15" w:name="_Toc24059_WPSOffice_Level2"/>
      <w:bookmarkStart w:id="16" w:name="_Toc6572_WPSOffice_Level2"/>
      <w:bookmarkStart w:id="17" w:name="_Toc4833_WPSOffice_Level2"/>
      <w:bookmarkStart w:id="18" w:name="_Toc17796_WPSOffice_Level2"/>
      <w:r>
        <w:rPr>
          <w:rFonts w:hint="eastAsia" w:ascii="黑体" w:hAnsi="黑体" w:eastAsia="黑体" w:cs="黑体"/>
          <w:sz w:val="32"/>
          <w:szCs w:val="32"/>
        </w:rPr>
        <w:t>二、机构设置</w:t>
      </w:r>
      <w:bookmarkEnd w:id="14"/>
      <w:bookmarkEnd w:id="15"/>
      <w:bookmarkEnd w:id="16"/>
      <w:bookmarkEnd w:id="17"/>
      <w:bookmarkEnd w:id="18"/>
    </w:p>
    <w:p w14:paraId="149848AF">
      <w:pPr>
        <w:spacing w:line="578" w:lineRule="exact"/>
        <w:ind w:firstLine="640" w:firstLineChars="200"/>
        <w:jc w:val="left"/>
        <w:rPr>
          <w:rFonts w:hint="eastAsia" w:ascii="Times New Roman" w:hAnsi="Times New Roman" w:eastAsia="仿宋" w:cs="Times New Roman"/>
          <w:sz w:val="32"/>
          <w:szCs w:val="32"/>
          <w:lang w:val="en-US" w:eastAsia="zh-CN"/>
        </w:rPr>
      </w:pPr>
      <w:bookmarkStart w:id="19" w:name="_Toc30690_WPSOffice_Level1"/>
      <w:bookmarkStart w:id="20" w:name="_Toc6234_WPSOffice_Level1"/>
      <w:bookmarkStart w:id="21" w:name="_Toc30451_WPSOffice_Level1"/>
      <w:bookmarkStart w:id="22" w:name="_Toc15521_WPSOffice_Level1"/>
      <w:bookmarkStart w:id="23" w:name="_Toc8164_WPSOffice_Level1"/>
      <w:bookmarkStart w:id="24" w:name="_Toc28253_WPSOffice_Level1"/>
      <w:bookmarkStart w:id="25" w:name="_Toc6211_WPSOffice_Level2"/>
      <w:bookmarkStart w:id="26" w:name="_Toc32472_WPSOffice_Level2"/>
      <w:bookmarkStart w:id="27" w:name="_Toc8867_WPSOffice_Level2"/>
      <w:bookmarkStart w:id="28" w:name="_Toc11518_WPSOffice_Level2"/>
      <w:bookmarkStart w:id="29" w:name="_Toc4029_WPSOffice_Level2"/>
      <w:bookmarkStart w:id="30" w:name="_Toc32695_WPSOffice_Level2"/>
      <w:r>
        <w:rPr>
          <w:rFonts w:hint="default" w:ascii="Times New Roman" w:hAnsi="Times New Roman" w:eastAsia="仿宋" w:cs="Times New Roman"/>
          <w:sz w:val="32"/>
          <w:szCs w:val="32"/>
        </w:rPr>
        <w:t>内部机构设置：办公室、屠宰科、证照科、监督科、检疫科5个科级机构</w:t>
      </w:r>
      <w:r>
        <w:rPr>
          <w:rFonts w:hint="eastAsia" w:ascii="Times New Roman" w:hAnsi="Times New Roman" w:eastAsia="仿宋" w:cs="Times New Roman"/>
          <w:sz w:val="32"/>
          <w:szCs w:val="32"/>
          <w:lang w:eastAsia="zh-CN"/>
        </w:rPr>
        <w:t>。</w:t>
      </w:r>
    </w:p>
    <w:p w14:paraId="69CADBA6">
      <w:pPr>
        <w:pStyle w:val="2"/>
        <w:jc w:val="left"/>
        <w:rPr>
          <w:rFonts w:hint="eastAsia"/>
        </w:rPr>
      </w:pPr>
    </w:p>
    <w:p w14:paraId="5ABA64D5">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年度部门决算公开报表</w:t>
      </w:r>
      <w:bookmarkEnd w:id="19"/>
      <w:bookmarkEnd w:id="20"/>
      <w:bookmarkEnd w:id="21"/>
      <w:bookmarkEnd w:id="22"/>
      <w:bookmarkEnd w:id="23"/>
      <w:bookmarkEnd w:id="24"/>
    </w:p>
    <w:p w14:paraId="1A7D1292">
      <w:pPr>
        <w:spacing w:line="578" w:lineRule="exact"/>
        <w:ind w:firstLine="645"/>
        <w:rPr>
          <w:rFonts w:hint="eastAsia" w:ascii="黑体" w:hAnsi="黑体" w:eastAsia="黑体" w:cs="黑体"/>
          <w:sz w:val="32"/>
          <w:szCs w:val="32"/>
        </w:rPr>
      </w:pPr>
    </w:p>
    <w:p w14:paraId="4609FEC3">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5"/>
      <w:bookmarkEnd w:id="26"/>
      <w:bookmarkEnd w:id="27"/>
      <w:bookmarkEnd w:id="28"/>
      <w:bookmarkEnd w:id="29"/>
      <w:bookmarkEnd w:id="30"/>
    </w:p>
    <w:p w14:paraId="646AEC68">
      <w:pPr>
        <w:spacing w:line="578" w:lineRule="exact"/>
        <w:ind w:firstLine="645"/>
        <w:rPr>
          <w:rFonts w:hint="eastAsia" w:ascii="黑体" w:hAnsi="黑体" w:eastAsia="黑体" w:cs="黑体"/>
          <w:sz w:val="32"/>
          <w:szCs w:val="32"/>
        </w:rPr>
      </w:pPr>
      <w:bookmarkStart w:id="31" w:name="_Toc14349_WPSOffice_Level2"/>
      <w:bookmarkStart w:id="32" w:name="_Toc25608_WPSOffice_Level2"/>
      <w:bookmarkStart w:id="33" w:name="_Toc26621_WPSOffice_Level2"/>
      <w:bookmarkStart w:id="34" w:name="_Toc28622_WPSOffice_Level2"/>
      <w:bookmarkStart w:id="35" w:name="_Toc30334_WPSOffice_Level2"/>
      <w:bookmarkStart w:id="36" w:name="_Toc23139_WPSOffice_Level2"/>
      <w:r>
        <w:rPr>
          <w:rFonts w:hint="eastAsia" w:ascii="黑体" w:hAnsi="黑体" w:eastAsia="黑体" w:cs="黑体"/>
          <w:sz w:val="32"/>
          <w:szCs w:val="32"/>
        </w:rPr>
        <w:t>二、收入决算公开表</w:t>
      </w:r>
      <w:bookmarkEnd w:id="31"/>
      <w:bookmarkEnd w:id="32"/>
      <w:bookmarkEnd w:id="33"/>
      <w:bookmarkEnd w:id="34"/>
      <w:bookmarkEnd w:id="35"/>
      <w:bookmarkEnd w:id="36"/>
      <w:bookmarkStart w:id="37" w:name="_Toc14658_WPSOffice_Level2"/>
      <w:bookmarkStart w:id="38" w:name="_Toc17626_WPSOffice_Level2"/>
      <w:bookmarkStart w:id="39" w:name="_Toc13854_WPSOffice_Level2"/>
      <w:bookmarkStart w:id="40" w:name="_Toc3262_WPSOffice_Level2"/>
      <w:bookmarkStart w:id="41" w:name="_Toc17858_WPSOffice_Level2"/>
      <w:bookmarkStart w:id="42" w:name="_Toc5489_WPSOffice_Level2"/>
    </w:p>
    <w:p w14:paraId="2D43FEAF">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7"/>
      <w:bookmarkEnd w:id="38"/>
      <w:bookmarkEnd w:id="39"/>
      <w:bookmarkEnd w:id="40"/>
      <w:bookmarkEnd w:id="41"/>
      <w:bookmarkEnd w:id="42"/>
      <w:bookmarkStart w:id="43" w:name="_Toc7988_WPSOffice_Level2"/>
      <w:bookmarkStart w:id="44" w:name="_Toc23493_WPSOffice_Level2"/>
      <w:bookmarkStart w:id="45" w:name="_Toc13701_WPSOffice_Level2"/>
      <w:bookmarkStart w:id="46" w:name="_Toc21415_WPSOffice_Level2"/>
      <w:bookmarkStart w:id="47" w:name="_Toc4265_WPSOffice_Level2"/>
      <w:bookmarkStart w:id="48" w:name="_Toc23591_WPSOffice_Level2"/>
    </w:p>
    <w:p w14:paraId="466CE0B2">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3"/>
      <w:bookmarkEnd w:id="44"/>
      <w:bookmarkEnd w:id="45"/>
      <w:bookmarkEnd w:id="46"/>
      <w:bookmarkEnd w:id="47"/>
      <w:bookmarkEnd w:id="48"/>
    </w:p>
    <w:p w14:paraId="1CA1AAB7">
      <w:pPr>
        <w:spacing w:line="578" w:lineRule="exact"/>
        <w:ind w:firstLine="645"/>
        <w:rPr>
          <w:rFonts w:hint="eastAsia" w:ascii="黑体" w:hAnsi="黑体" w:eastAsia="黑体" w:cs="黑体"/>
          <w:sz w:val="32"/>
          <w:szCs w:val="32"/>
        </w:rPr>
      </w:pPr>
      <w:bookmarkStart w:id="49" w:name="_Toc7879_WPSOffice_Level2"/>
      <w:bookmarkStart w:id="50" w:name="_Toc23829_WPSOffice_Level2"/>
      <w:bookmarkStart w:id="51" w:name="_Toc22783_WPSOffice_Level2"/>
      <w:bookmarkStart w:id="52" w:name="_Toc25166_WPSOffice_Level2"/>
      <w:bookmarkStart w:id="53" w:name="_Toc13516_WPSOffice_Level2"/>
      <w:bookmarkStart w:id="54" w:name="_Toc2158_WPSOffice_Level2"/>
      <w:r>
        <w:rPr>
          <w:rFonts w:hint="eastAsia" w:ascii="黑体" w:hAnsi="黑体" w:eastAsia="黑体" w:cs="黑体"/>
          <w:sz w:val="32"/>
          <w:szCs w:val="32"/>
        </w:rPr>
        <w:t>五、一般公共预算财政拨款收入支出决算</w:t>
      </w:r>
      <w:bookmarkEnd w:id="49"/>
      <w:bookmarkEnd w:id="50"/>
      <w:bookmarkEnd w:id="51"/>
      <w:bookmarkEnd w:id="52"/>
      <w:r>
        <w:rPr>
          <w:rFonts w:hint="eastAsia" w:ascii="黑体" w:hAnsi="黑体" w:eastAsia="黑体" w:cs="黑体"/>
          <w:sz w:val="32"/>
          <w:szCs w:val="32"/>
        </w:rPr>
        <w:t>公开表</w:t>
      </w:r>
      <w:bookmarkEnd w:id="53"/>
      <w:bookmarkEnd w:id="54"/>
      <w:bookmarkStart w:id="55" w:name="_Toc2632_WPSOffice_Level2"/>
      <w:bookmarkStart w:id="56" w:name="_Toc17833_WPSOffice_Level2"/>
      <w:bookmarkStart w:id="57" w:name="_Toc17283_WPSOffice_Level2"/>
      <w:bookmarkStart w:id="58" w:name="_Toc8373_WPSOffice_Level2"/>
      <w:bookmarkStart w:id="59" w:name="_Toc5343_WPSOffice_Level2"/>
      <w:bookmarkStart w:id="60" w:name="_Toc25362_WPSOffice_Level2"/>
    </w:p>
    <w:p w14:paraId="163493D2">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sz w:val="32"/>
          <w:szCs w:val="32"/>
        </w:rPr>
        <w:t>公开表</w:t>
      </w:r>
    </w:p>
    <w:p w14:paraId="11250B0D">
      <w:pPr>
        <w:spacing w:line="578" w:lineRule="exact"/>
        <w:ind w:left="1118" w:leftChars="304" w:hanging="480" w:hangingChars="150"/>
        <w:rPr>
          <w:rFonts w:hint="eastAsia" w:ascii="黑体" w:hAnsi="黑体" w:eastAsia="黑体" w:cs="黑体"/>
          <w:sz w:val="32"/>
          <w:szCs w:val="32"/>
        </w:rPr>
      </w:pPr>
      <w:bookmarkStart w:id="61" w:name="_Toc1533_WPSOffice_Level2"/>
      <w:bookmarkStart w:id="62" w:name="_Toc21310_WPSOffice_Level2"/>
      <w:bookmarkStart w:id="63" w:name="_Toc13345_WPSOffice_Level2"/>
      <w:bookmarkStart w:id="64" w:name="_Toc5594_WPSOffice_Level2"/>
      <w:bookmarkStart w:id="65" w:name="_Toc6020_WPSOffice_Level2"/>
      <w:bookmarkStart w:id="66" w:name="_Toc11799_WPSOffice_Level2"/>
      <w:r>
        <w:rPr>
          <w:rFonts w:hint="eastAsia" w:ascii="黑体" w:hAnsi="黑体" w:eastAsia="黑体" w:cs="黑体"/>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sz w:val="32"/>
          <w:szCs w:val="32"/>
        </w:rPr>
        <w:t>公开表</w:t>
      </w:r>
    </w:p>
    <w:p w14:paraId="33B6C1DC">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14:paraId="6225979D">
      <w:pPr>
        <w:spacing w:line="578" w:lineRule="exact"/>
        <w:ind w:firstLine="640"/>
        <w:rPr>
          <w:rFonts w:hint="eastAsia" w:ascii="黑体" w:hAnsi="黑体" w:eastAsia="黑体" w:cs="黑体"/>
          <w:sz w:val="32"/>
          <w:szCs w:val="32"/>
        </w:rPr>
      </w:pPr>
      <w:bookmarkStart w:id="67" w:name="_Toc29886_WPSOffice_Level2"/>
      <w:bookmarkStart w:id="68" w:name="_Toc1820_WPSOffice_Level2"/>
      <w:bookmarkStart w:id="69" w:name="_Toc9377_WPSOffice_Level2"/>
      <w:bookmarkStart w:id="70" w:name="_Toc19961_WPSOffice_Level2"/>
      <w:r>
        <w:rPr>
          <w:rFonts w:hint="eastAsia" w:ascii="黑体" w:hAnsi="黑体" w:eastAsia="黑体" w:cs="黑体"/>
          <w:sz w:val="32"/>
          <w:szCs w:val="32"/>
        </w:rPr>
        <w:t>九、财政拨款“三公”经费支出决算</w:t>
      </w:r>
      <w:bookmarkEnd w:id="67"/>
      <w:bookmarkEnd w:id="68"/>
      <w:bookmarkEnd w:id="69"/>
      <w:bookmarkEnd w:id="70"/>
      <w:r>
        <w:rPr>
          <w:rFonts w:hint="eastAsia" w:ascii="黑体" w:hAnsi="黑体" w:eastAsia="黑体" w:cs="黑体"/>
          <w:sz w:val="32"/>
          <w:szCs w:val="32"/>
        </w:rPr>
        <w:t>公开表</w:t>
      </w:r>
    </w:p>
    <w:p w14:paraId="752E8721">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14:paraId="5B482E07">
      <w:pPr>
        <w:spacing w:line="578" w:lineRule="exact"/>
        <w:rPr>
          <w:rFonts w:hint="eastAsia" w:ascii="黑体" w:hAnsi="黑体" w:eastAsia="黑体" w:cs="黑体"/>
          <w:sz w:val="32"/>
          <w:szCs w:val="32"/>
        </w:rPr>
      </w:pPr>
    </w:p>
    <w:p w14:paraId="31BF6332">
      <w:pPr>
        <w:spacing w:line="578" w:lineRule="exact"/>
        <w:jc w:val="center"/>
        <w:rPr>
          <w:rFonts w:hint="eastAsia" w:ascii="黑体" w:hAnsi="ˎ̥" w:eastAsia="黑体"/>
          <w:sz w:val="32"/>
          <w:szCs w:val="32"/>
        </w:rPr>
      </w:pPr>
      <w:bookmarkStart w:id="71" w:name="_Toc27590_WPSOffice_Level1"/>
      <w:bookmarkStart w:id="72" w:name="_Toc16686_WPSOffice_Level1"/>
      <w:bookmarkStart w:id="73" w:name="_Toc4402_WPSOffice_Level1"/>
      <w:bookmarkStart w:id="74" w:name="_Toc31264_WPSOffice_Level1"/>
      <w:bookmarkStart w:id="75" w:name="_Toc29683_WPSOffice_Level1"/>
      <w:bookmarkStart w:id="76" w:name="_Toc28629_WPSOffice_Level1"/>
      <w:r>
        <w:rPr>
          <w:rFonts w:hint="eastAsia" w:ascii="黑体" w:hAnsi="ˎ̥" w:eastAsia="黑体"/>
          <w:sz w:val="32"/>
          <w:szCs w:val="32"/>
        </w:rPr>
        <w:t xml:space="preserve">第三部分  </w:t>
      </w:r>
      <w:r>
        <w:rPr>
          <w:rFonts w:hint="default" w:ascii="黑体" w:hAnsi="ˎ̥" w:eastAsia="黑体"/>
          <w:sz w:val="32"/>
          <w:szCs w:val="32"/>
          <w:lang w:val="en-US"/>
        </w:rPr>
        <w:t>2025</w:t>
      </w:r>
      <w:r>
        <w:rPr>
          <w:rFonts w:hint="eastAsia" w:ascii="黑体" w:hAnsi="ˎ̥" w:eastAsia="黑体"/>
          <w:sz w:val="32"/>
          <w:szCs w:val="32"/>
        </w:rPr>
        <w:t>年度部门决算情况说明</w:t>
      </w:r>
      <w:bookmarkEnd w:id="71"/>
      <w:bookmarkEnd w:id="72"/>
      <w:bookmarkEnd w:id="73"/>
      <w:bookmarkEnd w:id="74"/>
      <w:bookmarkEnd w:id="75"/>
      <w:bookmarkEnd w:id="76"/>
    </w:p>
    <w:p w14:paraId="0108672B">
      <w:pPr>
        <w:spacing w:line="578" w:lineRule="exact"/>
        <w:jc w:val="center"/>
        <w:rPr>
          <w:rFonts w:hint="eastAsia" w:ascii="黑体" w:hAnsi="ˎ̥" w:eastAsia="黑体"/>
          <w:sz w:val="32"/>
          <w:szCs w:val="32"/>
        </w:rPr>
      </w:pPr>
    </w:p>
    <w:p w14:paraId="594A6C42">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收入支出总体情况说明</w:t>
      </w:r>
    </w:p>
    <w:p w14:paraId="1051B5A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 w:hAnsi="仿宋" w:eastAsia="仿宋" w:cs="仿宋"/>
          <w:sz w:val="32"/>
          <w:szCs w:val="32"/>
          <w:lang w:val="en-US"/>
        </w:rPr>
        <w:t>2025</w:t>
      </w:r>
      <w:r>
        <w:rPr>
          <w:rFonts w:hint="eastAsia" w:ascii="仿宋" w:hAnsi="仿宋" w:eastAsia="仿宋" w:cs="仿宋"/>
          <w:sz w:val="32"/>
          <w:szCs w:val="32"/>
        </w:rPr>
        <w:t>年度收</w:t>
      </w:r>
      <w:r>
        <w:rPr>
          <w:rFonts w:hint="eastAsia" w:ascii="仿宋" w:hAnsi="仿宋" w:eastAsia="仿宋" w:cs="仿宋"/>
          <w:color w:val="auto"/>
          <w:sz w:val="32"/>
          <w:szCs w:val="32"/>
        </w:rPr>
        <w:t>入总计</w:t>
      </w:r>
      <w:r>
        <w:rPr>
          <w:rFonts w:hint="eastAsia" w:ascii="仿宋" w:hAnsi="仿宋" w:eastAsia="仿宋" w:cs="仿宋"/>
          <w:color w:val="auto"/>
          <w:sz w:val="32"/>
          <w:szCs w:val="32"/>
          <w:lang w:val="en-US"/>
        </w:rPr>
        <w:t>4,551.45</w:t>
      </w:r>
      <w:r>
        <w:rPr>
          <w:rFonts w:hint="eastAsia" w:ascii="仿宋" w:hAnsi="仿宋" w:eastAsia="仿宋" w:cs="仿宋"/>
          <w:color w:val="auto"/>
          <w:sz w:val="32"/>
          <w:szCs w:val="32"/>
        </w:rPr>
        <w:t>万元，支出总计</w:t>
      </w:r>
      <w:r>
        <w:rPr>
          <w:rFonts w:hint="eastAsia" w:ascii="仿宋" w:hAnsi="仿宋" w:eastAsia="仿宋" w:cs="仿宋"/>
          <w:color w:val="auto"/>
          <w:sz w:val="32"/>
          <w:szCs w:val="32"/>
          <w:lang w:val="en-US"/>
        </w:rPr>
        <w:t>4,551.45</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年度相比，收入、支出总计各增加</w:t>
      </w:r>
      <w:r>
        <w:rPr>
          <w:rFonts w:hint="eastAsia" w:ascii="仿宋" w:hAnsi="仿宋" w:eastAsia="仿宋" w:cs="仿宋"/>
          <w:color w:val="auto"/>
          <w:sz w:val="32"/>
          <w:szCs w:val="32"/>
          <w:lang w:val="en-US" w:eastAsia="zh-CN"/>
        </w:rPr>
        <w:t>751.24</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16.51</w:t>
      </w:r>
      <w:r>
        <w:rPr>
          <w:rFonts w:hint="eastAsia" w:ascii="仿宋" w:hAnsi="仿宋" w:eastAsia="仿宋" w:cs="仿宋"/>
          <w:color w:val="auto"/>
          <w:sz w:val="32"/>
          <w:szCs w:val="32"/>
        </w:rPr>
        <w:t>%。主要原因：</w:t>
      </w:r>
      <w:r>
        <w:rPr>
          <w:rFonts w:hint="eastAsia" w:ascii="仿宋" w:hAnsi="仿宋" w:eastAsia="仿宋" w:cs="仿宋"/>
          <w:color w:val="auto"/>
          <w:sz w:val="32"/>
          <w:szCs w:val="32"/>
          <w:lang w:val="en-US" w:eastAsia="zh-CN"/>
        </w:rPr>
        <w:t>增加</w:t>
      </w:r>
      <w:r>
        <w:rPr>
          <w:rFonts w:ascii="Times New Roman" w:hAnsi="Times New Roman" w:eastAsia="仿宋" w:cs="Times New Roman"/>
          <w:color w:val="auto"/>
          <w:sz w:val="32"/>
          <w:szCs w:val="32"/>
        </w:rPr>
        <w:t>海口动物隔离场建设项目</w:t>
      </w:r>
      <w:r>
        <w:rPr>
          <w:rFonts w:hint="eastAsia" w:ascii="Times New Roman" w:hAnsi="Times New Roman" w:eastAsia="仿宋" w:cs="Times New Roman"/>
          <w:color w:val="auto"/>
          <w:sz w:val="32"/>
          <w:szCs w:val="32"/>
          <w:lang w:val="en-US" w:eastAsia="zh-CN"/>
        </w:rPr>
        <w:t>经费</w:t>
      </w:r>
      <w:r>
        <w:rPr>
          <w:rFonts w:hint="eastAsia" w:ascii="仿宋" w:hAnsi="仿宋" w:eastAsia="仿宋" w:cs="仿宋"/>
          <w:color w:val="auto"/>
          <w:sz w:val="32"/>
          <w:szCs w:val="32"/>
        </w:rPr>
        <w:t>。</w:t>
      </w:r>
    </w:p>
    <w:p w14:paraId="05B8AFD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596A4F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4,525.17</w:t>
      </w:r>
      <w:r>
        <w:rPr>
          <w:rFonts w:hint="eastAsia" w:ascii="仿宋" w:hAnsi="仿宋" w:eastAsia="仿宋" w:cs="仿宋"/>
          <w:color w:val="auto"/>
          <w:sz w:val="32"/>
          <w:szCs w:val="32"/>
        </w:rPr>
        <w:t>万元。</w:t>
      </w:r>
    </w:p>
    <w:p w14:paraId="3AB6C1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使用非财政拨款结余</w:t>
      </w:r>
      <w:r>
        <w:rPr>
          <w:rFonts w:hint="eastAsia" w:ascii="仿宋" w:hAnsi="仿宋" w:eastAsia="仿宋" w:cs="仿宋"/>
          <w:color w:val="auto"/>
          <w:sz w:val="32"/>
          <w:szCs w:val="32"/>
          <w:lang w:val="en-US" w:eastAsia="zh-CN"/>
        </w:rPr>
        <w:t>26.28</w:t>
      </w:r>
      <w:r>
        <w:rPr>
          <w:rFonts w:hint="eastAsia" w:ascii="仿宋" w:hAnsi="仿宋" w:eastAsia="仿宋" w:cs="仿宋"/>
          <w:color w:val="auto"/>
          <w:sz w:val="32"/>
          <w:szCs w:val="32"/>
        </w:rPr>
        <w:t>万元，较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w:t>
      </w:r>
      <w:r>
        <w:rPr>
          <w:rFonts w:hint="eastAsia" w:ascii="仿宋" w:hAnsi="仿宋" w:eastAsia="仿宋" w:cs="仿宋"/>
          <w:color w:val="auto"/>
          <w:sz w:val="32"/>
          <w:szCs w:val="32"/>
          <w:lang w:val="en-US" w:eastAsia="zh-CN"/>
        </w:rPr>
        <w:t>一样没变化</w:t>
      </w:r>
      <w:r>
        <w:rPr>
          <w:rFonts w:hint="eastAsia" w:ascii="仿宋" w:hAnsi="仿宋" w:eastAsia="仿宋" w:cs="仿宋"/>
          <w:color w:val="auto"/>
          <w:sz w:val="32"/>
          <w:szCs w:val="32"/>
        </w:rPr>
        <w:t>，主要原因是</w:t>
      </w:r>
      <w:r>
        <w:rPr>
          <w:rFonts w:hint="eastAsia" w:ascii="仿宋_GB2312" w:hAnsi="ˎ̥" w:eastAsia="仿宋_GB2312"/>
          <w:color w:val="auto"/>
          <w:sz w:val="32"/>
          <w:szCs w:val="32"/>
          <w:lang w:eastAsia="zh-CN"/>
        </w:rPr>
        <w:t>代缴职工社保、职业年金</w:t>
      </w:r>
      <w:r>
        <w:rPr>
          <w:rFonts w:hint="eastAsia" w:ascii="仿宋" w:hAnsi="仿宋" w:eastAsia="仿宋" w:cs="仿宋"/>
          <w:color w:val="auto"/>
          <w:sz w:val="32"/>
          <w:szCs w:val="32"/>
        </w:rPr>
        <w:t>。</w:t>
      </w:r>
    </w:p>
    <w:p w14:paraId="5B2819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 w:hAnsi="仿宋" w:eastAsia="仿宋" w:cs="仿宋"/>
          <w:sz w:val="32"/>
          <w:szCs w:val="32"/>
        </w:rPr>
        <w:t>年初结</w:t>
      </w:r>
      <w:r>
        <w:rPr>
          <w:rFonts w:hint="eastAsia" w:ascii="仿宋" w:hAnsi="仿宋" w:eastAsia="仿宋" w:cs="仿宋"/>
          <w:color w:val="auto"/>
          <w:sz w:val="32"/>
          <w:szCs w:val="32"/>
        </w:rPr>
        <w:t>转结余</w:t>
      </w:r>
      <w:r>
        <w:rPr>
          <w:rFonts w:hint="eastAsia" w:ascii="仿宋" w:hAnsi="仿宋" w:eastAsia="仿宋" w:cs="仿宋"/>
          <w:color w:val="auto"/>
          <w:sz w:val="32"/>
          <w:szCs w:val="32"/>
          <w:lang w:val="en-US"/>
        </w:rPr>
        <w:t>26.28</w:t>
      </w:r>
      <w:r>
        <w:rPr>
          <w:rFonts w:hint="eastAsia" w:ascii="仿宋" w:hAnsi="仿宋" w:eastAsia="仿宋" w:cs="仿宋"/>
          <w:color w:val="auto"/>
          <w:sz w:val="32"/>
          <w:szCs w:val="32"/>
        </w:rPr>
        <w:t>万元，主要是</w:t>
      </w:r>
      <w:r>
        <w:rPr>
          <w:rFonts w:hint="eastAsia" w:ascii="仿宋_GB2312" w:hAnsi="ˎ̥" w:eastAsia="仿宋_GB2312"/>
          <w:color w:val="auto"/>
          <w:sz w:val="32"/>
          <w:szCs w:val="32"/>
          <w:lang w:eastAsia="zh-CN"/>
        </w:rPr>
        <w:t>代缴职工社保、职业年金</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w:t>
      </w:r>
      <w:r>
        <w:rPr>
          <w:rFonts w:hint="eastAsia" w:ascii="仿宋_GB2312" w:hAnsi="ˎ̥" w:eastAsia="仿宋_GB2312"/>
          <w:color w:val="auto"/>
          <w:sz w:val="32"/>
          <w:szCs w:val="32"/>
          <w:lang w:eastAsia="zh-CN"/>
        </w:rPr>
        <w:t>一样没有发生变化</w:t>
      </w:r>
      <w:r>
        <w:rPr>
          <w:rFonts w:hint="eastAsia" w:ascii="仿宋" w:hAnsi="仿宋" w:eastAsia="仿宋" w:cs="仿宋"/>
          <w:color w:val="auto"/>
          <w:sz w:val="32"/>
          <w:szCs w:val="32"/>
        </w:rPr>
        <w:t>。</w:t>
      </w:r>
    </w:p>
    <w:p w14:paraId="74FADFF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788E8B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4,525.17</w:t>
      </w:r>
      <w:r>
        <w:rPr>
          <w:rFonts w:hint="eastAsia" w:ascii="仿宋" w:hAnsi="仿宋" w:eastAsia="仿宋" w:cs="仿宋"/>
          <w:color w:val="auto"/>
          <w:sz w:val="32"/>
          <w:szCs w:val="32"/>
        </w:rPr>
        <w:t>万元。</w:t>
      </w:r>
    </w:p>
    <w:p w14:paraId="3826849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结余分配</w:t>
      </w:r>
      <w:r>
        <w:rPr>
          <w:rFonts w:hint="eastAsia" w:ascii="仿宋" w:hAnsi="仿宋" w:eastAsia="仿宋" w:cs="仿宋"/>
          <w:color w:val="auto"/>
          <w:sz w:val="32"/>
          <w:szCs w:val="32"/>
          <w:lang w:val="en-US" w:eastAsia="zh-CN"/>
        </w:rPr>
        <w:t>26.28</w:t>
      </w:r>
      <w:r>
        <w:rPr>
          <w:rFonts w:hint="eastAsia" w:ascii="仿宋" w:hAnsi="仿宋" w:eastAsia="仿宋" w:cs="仿宋"/>
          <w:color w:val="auto"/>
          <w:sz w:val="32"/>
          <w:szCs w:val="32"/>
        </w:rPr>
        <w:t>万元，主要是</w:t>
      </w:r>
      <w:r>
        <w:rPr>
          <w:rFonts w:hint="eastAsia" w:ascii="仿宋_GB2312" w:hAnsi="ˎ̥" w:eastAsia="仿宋_GB2312"/>
          <w:color w:val="auto"/>
          <w:sz w:val="32"/>
          <w:szCs w:val="32"/>
          <w:lang w:eastAsia="zh-CN"/>
        </w:rPr>
        <w:t>代缴职工社保、职业年金</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w:t>
      </w:r>
      <w:r>
        <w:rPr>
          <w:rFonts w:hint="eastAsia" w:ascii="仿宋_GB2312" w:hAnsi="ˎ̥" w:eastAsia="仿宋_GB2312"/>
          <w:color w:val="auto"/>
          <w:sz w:val="32"/>
          <w:szCs w:val="32"/>
          <w:lang w:eastAsia="zh-CN"/>
        </w:rPr>
        <w:t>一样没有发生变化</w:t>
      </w:r>
      <w:r>
        <w:rPr>
          <w:rFonts w:hint="eastAsia" w:ascii="仿宋" w:hAnsi="仿宋" w:eastAsia="仿宋" w:cs="仿宋"/>
          <w:color w:val="auto"/>
          <w:sz w:val="32"/>
          <w:szCs w:val="32"/>
        </w:rPr>
        <w:t>。</w:t>
      </w:r>
    </w:p>
    <w:p w14:paraId="33C8A0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年末结转结余</w:t>
      </w:r>
      <w:r>
        <w:rPr>
          <w:rFonts w:hint="eastAsia" w:ascii="仿宋" w:hAnsi="仿宋" w:eastAsia="仿宋" w:cs="仿宋"/>
          <w:color w:val="auto"/>
          <w:sz w:val="32"/>
          <w:szCs w:val="32"/>
          <w:lang w:val="en-US"/>
        </w:rPr>
        <w:t>26.28</w:t>
      </w:r>
      <w:r>
        <w:rPr>
          <w:rFonts w:hint="eastAsia" w:ascii="仿宋" w:hAnsi="仿宋" w:eastAsia="仿宋" w:cs="仿宋"/>
          <w:color w:val="auto"/>
          <w:sz w:val="32"/>
          <w:szCs w:val="32"/>
        </w:rPr>
        <w:t>万元，主要是</w:t>
      </w:r>
      <w:r>
        <w:rPr>
          <w:rFonts w:hint="eastAsia" w:ascii="仿宋_GB2312" w:hAnsi="ˎ̥" w:eastAsia="仿宋_GB2312"/>
          <w:color w:val="auto"/>
          <w:sz w:val="32"/>
          <w:szCs w:val="32"/>
          <w:lang w:eastAsia="zh-CN"/>
        </w:rPr>
        <w:t>代缴职工社保、职业年金</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w:t>
      </w:r>
      <w:r>
        <w:rPr>
          <w:rFonts w:hint="eastAsia" w:ascii="仿宋_GB2312" w:hAnsi="ˎ̥" w:eastAsia="仿宋_GB2312"/>
          <w:color w:val="auto"/>
          <w:sz w:val="32"/>
          <w:szCs w:val="32"/>
          <w:lang w:eastAsia="zh-CN"/>
        </w:rPr>
        <w:t>一样没有发生变化</w:t>
      </w:r>
      <w:r>
        <w:rPr>
          <w:rFonts w:hint="eastAsia" w:ascii="仿宋" w:hAnsi="仿宋" w:eastAsia="仿宋" w:cs="仿宋"/>
          <w:color w:val="auto"/>
          <w:sz w:val="32"/>
          <w:szCs w:val="32"/>
        </w:rPr>
        <w:t>。</w:t>
      </w:r>
    </w:p>
    <w:p w14:paraId="1CA2D923">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收入决算情况说明</w:t>
      </w:r>
    </w:p>
    <w:p w14:paraId="3B02073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
          <w:color w:val="auto"/>
          <w:sz w:val="32"/>
          <w:szCs w:val="32"/>
          <w:lang w:val="en-US" w:eastAsia="zh-CN"/>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4,525.17</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rPr>
        <w:t>4,525.17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14:paraId="5FF693E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14:paraId="294101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4,525.17</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rPr>
        <w:t>1,052.63</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23.26</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rPr>
        <w:t>3,472.55</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76.74</w:t>
      </w:r>
      <w:r>
        <w:rPr>
          <w:rFonts w:hint="eastAsia" w:ascii="仿宋" w:hAnsi="仿宋" w:eastAsia="仿宋" w:cs="仿宋"/>
          <w:color w:val="auto"/>
          <w:sz w:val="32"/>
          <w:szCs w:val="32"/>
        </w:rPr>
        <w:t>%。</w:t>
      </w:r>
    </w:p>
    <w:p w14:paraId="6EA146F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sz w:val="32"/>
          <w:szCs w:val="32"/>
        </w:rPr>
        <w:t>四、财政拨</w:t>
      </w:r>
      <w:r>
        <w:rPr>
          <w:rFonts w:hint="eastAsia" w:ascii="黑体" w:hAnsi="黑体" w:eastAsia="黑体" w:cs="黑体"/>
          <w:bCs/>
          <w:color w:val="auto"/>
          <w:sz w:val="32"/>
          <w:szCs w:val="32"/>
        </w:rPr>
        <w:t>款收入支出决算总体情况说明</w:t>
      </w:r>
    </w:p>
    <w:p w14:paraId="43A8F2A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年度财政拨款收入</w:t>
      </w:r>
      <w:r>
        <w:rPr>
          <w:rFonts w:hint="eastAsia" w:ascii="仿宋" w:hAnsi="仿宋" w:eastAsia="仿宋" w:cs="仿宋"/>
          <w:color w:val="auto"/>
          <w:sz w:val="32"/>
          <w:szCs w:val="32"/>
          <w:lang w:val="en-US"/>
        </w:rPr>
        <w:t>4,525.17</w:t>
      </w:r>
      <w:r>
        <w:rPr>
          <w:rFonts w:hint="eastAsia" w:ascii="仿宋" w:hAnsi="仿宋" w:eastAsia="仿宋" w:cs="仿宋"/>
          <w:color w:val="auto"/>
          <w:sz w:val="32"/>
          <w:szCs w:val="32"/>
        </w:rPr>
        <w:t>万元，支出</w:t>
      </w:r>
      <w:r>
        <w:rPr>
          <w:rFonts w:hint="eastAsia" w:ascii="仿宋" w:hAnsi="仿宋" w:eastAsia="仿宋" w:cs="仿宋"/>
          <w:color w:val="auto"/>
          <w:sz w:val="32"/>
          <w:szCs w:val="32"/>
          <w:lang w:val="en-US"/>
        </w:rPr>
        <w:t>4,525.17</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年度相比，财政拨款收入增加增加</w:t>
      </w:r>
      <w:r>
        <w:rPr>
          <w:rFonts w:hint="eastAsia" w:ascii="仿宋" w:hAnsi="仿宋" w:eastAsia="仿宋" w:cs="仿宋"/>
          <w:color w:val="auto"/>
          <w:sz w:val="32"/>
          <w:szCs w:val="32"/>
          <w:lang w:val="en-US" w:eastAsia="zh-CN"/>
        </w:rPr>
        <w:t>751.24</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16.51</w:t>
      </w:r>
      <w:r>
        <w:rPr>
          <w:rFonts w:hint="eastAsia" w:ascii="仿宋" w:hAnsi="仿宋" w:eastAsia="仿宋" w:cs="仿宋"/>
          <w:color w:val="auto"/>
          <w:sz w:val="32"/>
          <w:szCs w:val="32"/>
        </w:rPr>
        <w:t>%。主要原因：</w:t>
      </w:r>
      <w:r>
        <w:rPr>
          <w:rFonts w:hint="eastAsia" w:ascii="仿宋" w:hAnsi="仿宋" w:eastAsia="仿宋" w:cs="仿宋"/>
          <w:color w:val="auto"/>
          <w:sz w:val="32"/>
          <w:szCs w:val="32"/>
          <w:lang w:val="en-US" w:eastAsia="zh-CN"/>
        </w:rPr>
        <w:t>增加</w:t>
      </w:r>
      <w:r>
        <w:rPr>
          <w:rFonts w:ascii="Times New Roman" w:hAnsi="Times New Roman" w:eastAsia="仿宋" w:cs="Times New Roman"/>
          <w:color w:val="auto"/>
          <w:sz w:val="32"/>
          <w:szCs w:val="32"/>
        </w:rPr>
        <w:t>海口动物隔离场建设项目</w:t>
      </w:r>
      <w:r>
        <w:rPr>
          <w:rFonts w:hint="eastAsia" w:ascii="Times New Roman" w:hAnsi="Times New Roman" w:eastAsia="仿宋" w:cs="Times New Roman"/>
          <w:color w:val="auto"/>
          <w:sz w:val="32"/>
          <w:szCs w:val="32"/>
          <w:lang w:val="en-US" w:eastAsia="zh-CN"/>
        </w:rPr>
        <w:t>经费</w:t>
      </w:r>
      <w:r>
        <w:rPr>
          <w:rFonts w:hint="eastAsia" w:ascii="仿宋" w:hAnsi="仿宋" w:eastAsia="仿宋" w:cs="仿宋"/>
          <w:color w:val="auto"/>
          <w:sz w:val="32"/>
          <w:szCs w:val="32"/>
        </w:rPr>
        <w:t>。</w:t>
      </w:r>
    </w:p>
    <w:p w14:paraId="2F2814C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财政拨款年初结转结余</w:t>
      </w:r>
      <w:r>
        <w:rPr>
          <w:rFonts w:hint="eastAsia" w:ascii="仿宋" w:hAnsi="仿宋" w:eastAsia="仿宋" w:cs="仿宋"/>
          <w:color w:val="auto"/>
          <w:sz w:val="32"/>
          <w:szCs w:val="32"/>
          <w:lang w:val="en-US"/>
        </w:rPr>
        <w:t>0.03</w:t>
      </w:r>
      <w:r>
        <w:rPr>
          <w:rFonts w:hint="eastAsia" w:ascii="仿宋" w:hAnsi="仿宋" w:eastAsia="仿宋" w:cs="仿宋"/>
          <w:color w:val="auto"/>
          <w:sz w:val="32"/>
          <w:szCs w:val="32"/>
        </w:rPr>
        <w:t>万元，主要是</w:t>
      </w:r>
      <w:r>
        <w:rPr>
          <w:rFonts w:hint="eastAsia" w:ascii="仿宋_GB2312" w:hAnsi="ˎ̥" w:eastAsia="仿宋_GB2312"/>
          <w:color w:val="auto"/>
          <w:sz w:val="32"/>
          <w:szCs w:val="32"/>
          <w:lang w:eastAsia="zh-CN"/>
        </w:rPr>
        <w:t>项目经费结余</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w:t>
      </w:r>
      <w:r>
        <w:rPr>
          <w:rFonts w:hint="eastAsia" w:ascii="仿宋_GB2312" w:hAnsi="ˎ̥" w:eastAsia="仿宋_GB2312"/>
          <w:color w:val="auto"/>
          <w:sz w:val="32"/>
          <w:szCs w:val="32"/>
          <w:lang w:eastAsia="zh-CN"/>
        </w:rPr>
        <w:t>一样没有发生变化</w:t>
      </w:r>
      <w:r>
        <w:rPr>
          <w:rFonts w:hint="eastAsia" w:ascii="仿宋" w:hAnsi="仿宋" w:eastAsia="仿宋" w:cs="仿宋"/>
          <w:color w:val="auto"/>
          <w:sz w:val="32"/>
          <w:szCs w:val="32"/>
        </w:rPr>
        <w:t>。</w:t>
      </w:r>
    </w:p>
    <w:p w14:paraId="604B142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财政拨款年末结转结余</w:t>
      </w:r>
      <w:r>
        <w:rPr>
          <w:rFonts w:hint="eastAsia" w:ascii="仿宋" w:hAnsi="仿宋" w:eastAsia="仿宋" w:cs="仿宋"/>
          <w:color w:val="auto"/>
          <w:sz w:val="32"/>
          <w:szCs w:val="32"/>
          <w:lang w:val="en-US"/>
        </w:rPr>
        <w:t>0.03</w:t>
      </w:r>
      <w:r>
        <w:rPr>
          <w:rFonts w:hint="eastAsia" w:ascii="仿宋" w:hAnsi="仿宋" w:eastAsia="仿宋" w:cs="仿宋"/>
          <w:color w:val="auto"/>
          <w:sz w:val="32"/>
          <w:szCs w:val="32"/>
        </w:rPr>
        <w:t>万元，主要是</w:t>
      </w:r>
      <w:r>
        <w:rPr>
          <w:rFonts w:hint="eastAsia" w:ascii="仿宋_GB2312" w:hAnsi="ˎ̥" w:eastAsia="仿宋_GB2312"/>
          <w:color w:val="auto"/>
          <w:sz w:val="32"/>
          <w:szCs w:val="32"/>
          <w:lang w:eastAsia="zh-CN"/>
        </w:rPr>
        <w:t>项目经费结余</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w:t>
      </w:r>
      <w:r>
        <w:rPr>
          <w:rFonts w:hint="eastAsia" w:ascii="仿宋_GB2312" w:hAnsi="ˎ̥" w:eastAsia="仿宋_GB2312"/>
          <w:color w:val="auto"/>
          <w:sz w:val="32"/>
          <w:szCs w:val="32"/>
          <w:lang w:eastAsia="zh-CN"/>
        </w:rPr>
        <w:t>一样没有发生变化</w:t>
      </w:r>
      <w:r>
        <w:rPr>
          <w:rFonts w:hint="eastAsia" w:ascii="仿宋" w:hAnsi="仿宋" w:eastAsia="仿宋" w:cs="仿宋"/>
          <w:color w:val="auto"/>
          <w:sz w:val="32"/>
          <w:szCs w:val="32"/>
        </w:rPr>
        <w:t>。</w:t>
      </w:r>
    </w:p>
    <w:p w14:paraId="694BA4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p>
    <w:p w14:paraId="7BE8C2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14:paraId="5561639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77" w:name="_Toc21737_WPSOffice_Level2"/>
      <w:bookmarkStart w:id="78" w:name="_Toc13694_WPSOffice_Level2"/>
      <w:bookmarkStart w:id="79" w:name="_Toc9989_WPSOffice_Level2"/>
      <w:bookmarkStart w:id="80" w:name="_Toc23005_WPSOffice_Level2"/>
      <w:bookmarkStart w:id="81" w:name="_Toc19665_WPSOffice_Level2"/>
      <w:bookmarkStart w:id="82" w:name="_Toc17398_WPSOffice_Level2"/>
      <w:r>
        <w:rPr>
          <w:rFonts w:hint="eastAsia" w:ascii="楷体" w:hAnsi="楷体" w:eastAsia="楷体" w:cs="楷体"/>
          <w:sz w:val="32"/>
          <w:szCs w:val="32"/>
        </w:rPr>
        <w:t>（一）一般公共预算财政拨款支出决算总体情况</w:t>
      </w:r>
      <w:bookmarkEnd w:id="77"/>
      <w:bookmarkEnd w:id="78"/>
      <w:bookmarkEnd w:id="79"/>
      <w:bookmarkEnd w:id="80"/>
      <w:bookmarkEnd w:id="81"/>
      <w:bookmarkEnd w:id="82"/>
    </w:p>
    <w:p w14:paraId="0B0CF2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sz w:val="32"/>
          <w:szCs w:val="32"/>
          <w:lang w:val="en-US"/>
        </w:rPr>
        <w:t>2025</w:t>
      </w:r>
      <w:r>
        <w:rPr>
          <w:rFonts w:hint="eastAsia" w:ascii="仿宋" w:hAnsi="仿宋" w:eastAsia="仿宋" w:cs="仿宋"/>
          <w:sz w:val="32"/>
          <w:szCs w:val="32"/>
        </w:rPr>
        <w:t>年度一般公共预算财</w:t>
      </w:r>
      <w:r>
        <w:rPr>
          <w:rFonts w:hint="eastAsia" w:ascii="仿宋" w:hAnsi="仿宋" w:eastAsia="仿宋" w:cs="仿宋"/>
          <w:color w:val="auto"/>
          <w:sz w:val="32"/>
          <w:szCs w:val="32"/>
        </w:rPr>
        <w:t>政拨款支出</w:t>
      </w:r>
      <w:r>
        <w:rPr>
          <w:rFonts w:hint="eastAsia" w:ascii="仿宋" w:hAnsi="仿宋" w:eastAsia="仿宋" w:cs="仿宋"/>
          <w:color w:val="auto"/>
          <w:sz w:val="32"/>
          <w:szCs w:val="32"/>
          <w:lang w:val="en-US"/>
        </w:rPr>
        <w:t>2,883.17</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年度相比，一般公共预算财政拨款支出增加</w:t>
      </w:r>
      <w:r>
        <w:rPr>
          <w:rFonts w:hint="eastAsia" w:ascii="仿宋" w:hAnsi="仿宋" w:eastAsia="仿宋" w:cs="仿宋"/>
          <w:color w:val="auto"/>
          <w:sz w:val="32"/>
          <w:szCs w:val="32"/>
          <w:lang w:val="en-US" w:eastAsia="zh-CN"/>
        </w:rPr>
        <w:t>890.77</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30.90</w:t>
      </w:r>
      <w:r>
        <w:rPr>
          <w:rFonts w:hint="eastAsia" w:ascii="仿宋" w:hAnsi="仿宋" w:eastAsia="仿宋" w:cs="仿宋"/>
          <w:color w:val="auto"/>
          <w:sz w:val="32"/>
          <w:szCs w:val="32"/>
        </w:rPr>
        <w:t>%，主要原因是</w:t>
      </w:r>
      <w:r>
        <w:rPr>
          <w:rFonts w:ascii="Times New Roman" w:hAnsi="Times New Roman" w:eastAsia="仿宋" w:cs="Times New Roman"/>
          <w:color w:val="auto"/>
          <w:sz w:val="32"/>
          <w:szCs w:val="32"/>
        </w:rPr>
        <w:t>海口动物隔离场建设项目</w:t>
      </w:r>
      <w:r>
        <w:rPr>
          <w:rFonts w:hint="eastAsia" w:ascii="Times New Roman" w:hAnsi="Times New Roman" w:eastAsia="仿宋" w:cs="Times New Roman"/>
          <w:color w:val="auto"/>
          <w:sz w:val="32"/>
          <w:szCs w:val="32"/>
          <w:lang w:val="en-US" w:eastAsia="zh-CN"/>
        </w:rPr>
        <w:t>经费增加</w:t>
      </w:r>
      <w:r>
        <w:rPr>
          <w:rFonts w:hint="eastAsia" w:ascii="仿宋" w:hAnsi="仿宋" w:eastAsia="仿宋" w:cs="仿宋"/>
          <w:color w:val="auto"/>
          <w:sz w:val="32"/>
          <w:szCs w:val="32"/>
        </w:rPr>
        <w:t>。</w:t>
      </w:r>
    </w:p>
    <w:p w14:paraId="02CF4A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3" w:name="_Toc27767_WPSOffice_Level2"/>
      <w:bookmarkStart w:id="84" w:name="_Toc2711_WPSOffice_Level2"/>
      <w:bookmarkStart w:id="85" w:name="_Toc19075_WPSOffice_Level2"/>
      <w:bookmarkStart w:id="86" w:name="_Toc19535_WPSOffice_Level2"/>
      <w:bookmarkStart w:id="87" w:name="_Toc23864_WPSOffice_Level2"/>
      <w:bookmarkStart w:id="88" w:name="_Toc18793_WPSOffice_Level2"/>
      <w:r>
        <w:rPr>
          <w:rFonts w:hint="eastAsia" w:ascii="楷体" w:hAnsi="楷体" w:eastAsia="楷体" w:cs="楷体"/>
          <w:color w:val="auto"/>
          <w:sz w:val="32"/>
          <w:szCs w:val="32"/>
        </w:rPr>
        <w:t>（二）一般公共预算财政拨款支出决算结构情况</w:t>
      </w:r>
      <w:bookmarkEnd w:id="83"/>
      <w:bookmarkEnd w:id="84"/>
      <w:bookmarkEnd w:id="85"/>
      <w:bookmarkEnd w:id="86"/>
      <w:bookmarkEnd w:id="87"/>
      <w:bookmarkEnd w:id="88"/>
    </w:p>
    <w:p w14:paraId="0B348B2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2,883.17</w:t>
      </w:r>
      <w:r>
        <w:rPr>
          <w:rFonts w:hint="eastAsia" w:ascii="仿宋" w:hAnsi="仿宋" w:eastAsia="仿宋" w:cs="仿宋"/>
          <w:color w:val="auto"/>
          <w:sz w:val="32"/>
          <w:szCs w:val="32"/>
        </w:rPr>
        <w:t>万元，主要用于以下方面：</w:t>
      </w:r>
      <w:r>
        <w:rPr>
          <w:rFonts w:hint="eastAsia" w:ascii="仿宋" w:hAnsi="仿宋" w:eastAsia="仿宋" w:cs="仿宋"/>
          <w:color w:val="auto"/>
          <w:sz w:val="32"/>
          <w:szCs w:val="32"/>
        </w:rPr>
        <w:t>主要用于以下方面：</w:t>
      </w:r>
      <w:r>
        <w:rPr>
          <w:rFonts w:hint="eastAsia" w:ascii="仿宋" w:hAnsi="仿宋" w:eastAsia="仿宋" w:cs="仿宋"/>
          <w:b/>
          <w:color w:val="auto"/>
          <w:sz w:val="32"/>
          <w:szCs w:val="32"/>
        </w:rPr>
        <w:t>社会保障和就业（类）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118.99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4.13</w:t>
      </w:r>
      <w:r>
        <w:rPr>
          <w:rFonts w:hint="eastAsia" w:ascii="仿宋" w:hAnsi="仿宋" w:eastAsia="仿宋" w:cs="仿宋"/>
          <w:color w:val="auto"/>
          <w:sz w:val="32"/>
          <w:szCs w:val="32"/>
        </w:rPr>
        <w:t>%；</w:t>
      </w:r>
      <w:r>
        <w:rPr>
          <w:rFonts w:hint="eastAsia" w:ascii="仿宋" w:hAnsi="仿宋" w:eastAsia="仿宋" w:cs="仿宋"/>
          <w:b/>
          <w:color w:val="auto"/>
          <w:sz w:val="32"/>
          <w:szCs w:val="32"/>
          <w:lang w:eastAsia="zh-CN"/>
        </w:rPr>
        <w:t>卫生健康</w:t>
      </w:r>
      <w:r>
        <w:rPr>
          <w:rFonts w:hint="eastAsia" w:ascii="仿宋" w:hAnsi="仿宋" w:eastAsia="仿宋" w:cs="仿宋"/>
          <w:b/>
          <w:color w:val="auto"/>
          <w:sz w:val="32"/>
          <w:szCs w:val="32"/>
        </w:rPr>
        <w:t>（类）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26.68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0.93</w:t>
      </w:r>
      <w:r>
        <w:rPr>
          <w:rFonts w:hint="eastAsia" w:ascii="仿宋" w:hAnsi="仿宋" w:eastAsia="仿宋" w:cs="仿宋"/>
          <w:color w:val="auto"/>
          <w:sz w:val="32"/>
          <w:szCs w:val="32"/>
        </w:rPr>
        <w:t>%；</w:t>
      </w:r>
      <w:r>
        <w:rPr>
          <w:rFonts w:hint="eastAsia" w:ascii="仿宋" w:hAnsi="仿宋" w:eastAsia="仿宋" w:cs="仿宋"/>
          <w:b/>
          <w:color w:val="auto"/>
          <w:sz w:val="32"/>
          <w:szCs w:val="32"/>
          <w:lang w:eastAsia="zh-CN"/>
        </w:rPr>
        <w:t>农林水</w:t>
      </w:r>
      <w:r>
        <w:rPr>
          <w:rFonts w:hint="eastAsia" w:ascii="仿宋" w:hAnsi="仿宋" w:eastAsia="仿宋" w:cs="仿宋"/>
          <w:b/>
          <w:color w:val="auto"/>
          <w:sz w:val="32"/>
          <w:szCs w:val="32"/>
        </w:rPr>
        <w:t>（类）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2670.31</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92.61</w:t>
      </w:r>
      <w:r>
        <w:rPr>
          <w:rFonts w:hint="eastAsia" w:ascii="仿宋" w:hAnsi="仿宋" w:eastAsia="仿宋" w:cs="仿宋"/>
          <w:color w:val="auto"/>
          <w:sz w:val="32"/>
          <w:szCs w:val="32"/>
        </w:rPr>
        <w:t>%；</w:t>
      </w:r>
      <w:r>
        <w:rPr>
          <w:rFonts w:hint="eastAsia" w:ascii="仿宋" w:hAnsi="仿宋" w:eastAsia="仿宋" w:cs="仿宋"/>
          <w:b/>
          <w:bCs/>
          <w:color w:val="auto"/>
          <w:sz w:val="32"/>
          <w:szCs w:val="32"/>
        </w:rPr>
        <w:t>住房保障（类）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67.20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2.33</w:t>
      </w:r>
      <w:r>
        <w:rPr>
          <w:rFonts w:hint="eastAsia" w:ascii="仿宋" w:hAnsi="仿宋" w:eastAsia="仿宋" w:cs="仿宋"/>
          <w:color w:val="auto"/>
          <w:sz w:val="32"/>
          <w:szCs w:val="32"/>
        </w:rPr>
        <w:t>%。</w:t>
      </w:r>
    </w:p>
    <w:p w14:paraId="51B556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9" w:name="_Toc22318_WPSOffice_Level2"/>
      <w:bookmarkStart w:id="90" w:name="_Toc25136_WPSOffice_Level2"/>
      <w:bookmarkStart w:id="91" w:name="_Toc29364_WPSOffice_Level2"/>
      <w:bookmarkStart w:id="92" w:name="_Toc15415_WPSOffice_Level2"/>
      <w:bookmarkStart w:id="93" w:name="_Toc21701_WPSOffice_Level2"/>
      <w:bookmarkStart w:id="94" w:name="_Toc9502_WPSOffice_Level2"/>
      <w:r>
        <w:rPr>
          <w:rFonts w:hint="eastAsia" w:ascii="楷体" w:hAnsi="楷体" w:eastAsia="楷体" w:cs="楷体"/>
          <w:sz w:val="32"/>
          <w:szCs w:val="32"/>
          <w:lang w:eastAsia="zh-CN"/>
        </w:rPr>
        <w:t>（</w:t>
      </w:r>
      <w:r>
        <w:rPr>
          <w:rFonts w:hint="eastAsia" w:ascii="楷体" w:hAnsi="楷体" w:eastAsia="楷体" w:cs="楷体"/>
          <w:sz w:val="32"/>
          <w:szCs w:val="32"/>
        </w:rPr>
        <w:t>三）一般公共预算财政拨款支出决算具体情况</w:t>
      </w:r>
      <w:bookmarkEnd w:id="89"/>
      <w:bookmarkEnd w:id="90"/>
      <w:bookmarkEnd w:id="91"/>
      <w:bookmarkEnd w:id="92"/>
      <w:bookmarkEnd w:id="93"/>
      <w:bookmarkEnd w:id="94"/>
    </w:p>
    <w:p w14:paraId="04217A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sz w:val="32"/>
          <w:szCs w:val="32"/>
          <w:lang w:val="en-US"/>
        </w:rPr>
        <w:t>2025</w:t>
      </w:r>
      <w:r>
        <w:rPr>
          <w:rFonts w:hint="eastAsia" w:ascii="仿宋" w:hAnsi="仿宋" w:eastAsia="仿宋" w:cs="仿宋"/>
          <w:sz w:val="32"/>
          <w:szCs w:val="32"/>
        </w:rPr>
        <w:t>年度一般公</w:t>
      </w:r>
      <w:r>
        <w:rPr>
          <w:rFonts w:hint="eastAsia" w:ascii="仿宋" w:hAnsi="仿宋" w:eastAsia="仿宋" w:cs="仿宋"/>
          <w:color w:val="auto"/>
          <w:sz w:val="32"/>
          <w:szCs w:val="32"/>
        </w:rPr>
        <w:t>共预算财政拨款支出年初预算为</w:t>
      </w:r>
      <w:r>
        <w:rPr>
          <w:rFonts w:hint="eastAsia" w:ascii="仿宋_GB2312" w:hAnsi="黑体" w:eastAsia="仿宋_GB2312" w:cs="仿宋_GB2312"/>
          <w:color w:val="auto"/>
          <w:sz w:val="32"/>
          <w:szCs w:val="32"/>
          <w:u w:val="none"/>
          <w:lang w:val="en-US" w:eastAsia="zh-CN"/>
        </w:rPr>
        <w:t>1612.61</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2,883.17</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178.79</w:t>
      </w:r>
      <w:r>
        <w:rPr>
          <w:rFonts w:hint="eastAsia" w:ascii="仿宋" w:hAnsi="仿宋" w:eastAsia="仿宋" w:cs="仿宋"/>
          <w:color w:val="auto"/>
          <w:sz w:val="32"/>
          <w:szCs w:val="32"/>
        </w:rPr>
        <w:t>%。其中：</w:t>
      </w:r>
    </w:p>
    <w:p w14:paraId="7500673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b/>
          <w:color w:val="auto"/>
          <w:sz w:val="32"/>
          <w:szCs w:val="32"/>
          <w:highlight w:val="none"/>
          <w:lang w:eastAsia="zh-CN"/>
        </w:rPr>
        <w:t>社会保障和就业支出</w:t>
      </w:r>
      <w:r>
        <w:rPr>
          <w:rFonts w:hint="eastAsia" w:ascii="仿宋" w:hAnsi="仿宋" w:eastAsia="仿宋" w:cs="仿宋"/>
          <w:b/>
          <w:color w:val="auto"/>
          <w:sz w:val="32"/>
          <w:szCs w:val="32"/>
          <w:highlight w:val="none"/>
        </w:rPr>
        <w:t>（类）</w:t>
      </w:r>
      <w:r>
        <w:rPr>
          <w:rFonts w:hint="eastAsia" w:ascii="仿宋" w:hAnsi="仿宋" w:eastAsia="仿宋" w:cs="仿宋"/>
          <w:b/>
          <w:color w:val="auto"/>
          <w:sz w:val="32"/>
          <w:szCs w:val="32"/>
          <w:highlight w:val="none"/>
          <w:lang w:eastAsia="zh-CN"/>
        </w:rPr>
        <w:t>行政事业单位养老支出</w:t>
      </w:r>
      <w:r>
        <w:rPr>
          <w:rFonts w:hint="eastAsia" w:ascii="仿宋" w:hAnsi="仿宋" w:eastAsia="仿宋" w:cs="仿宋"/>
          <w:b/>
          <w:color w:val="auto"/>
          <w:sz w:val="32"/>
          <w:szCs w:val="32"/>
          <w:highlight w:val="none"/>
        </w:rPr>
        <w:t>（款）</w:t>
      </w:r>
      <w:r>
        <w:rPr>
          <w:rFonts w:hint="eastAsia" w:ascii="仿宋" w:hAnsi="仿宋" w:eastAsia="仿宋" w:cs="仿宋"/>
          <w:b/>
          <w:color w:val="auto"/>
          <w:sz w:val="32"/>
          <w:szCs w:val="32"/>
          <w:highlight w:val="none"/>
          <w:lang w:eastAsia="zh-CN"/>
        </w:rPr>
        <w:t>机关事业单位基本养老保险缴费支出</w:t>
      </w:r>
      <w:r>
        <w:rPr>
          <w:rFonts w:hint="eastAsia" w:ascii="仿宋" w:hAnsi="仿宋" w:eastAsia="仿宋" w:cs="仿宋"/>
          <w:b/>
          <w:color w:val="auto"/>
          <w:sz w:val="32"/>
          <w:szCs w:val="32"/>
          <w:highlight w:val="none"/>
        </w:rPr>
        <w:t>（项）。</w:t>
      </w:r>
    </w:p>
    <w:p w14:paraId="2804A07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74.7</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76.38</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102.24</w:t>
      </w:r>
      <w:r>
        <w:rPr>
          <w:rFonts w:hint="eastAsia" w:ascii="仿宋" w:hAnsi="仿宋" w:eastAsia="仿宋" w:cs="仿宋"/>
          <w:color w:val="auto"/>
          <w:sz w:val="32"/>
          <w:szCs w:val="32"/>
          <w:highlight w:val="none"/>
        </w:rPr>
        <w:t>%。决算数大于预算数的主要原因：</w:t>
      </w:r>
      <w:r>
        <w:rPr>
          <w:rFonts w:hint="eastAsia" w:ascii="仿宋" w:hAnsi="仿宋" w:eastAsia="仿宋" w:cs="仿宋"/>
          <w:color w:val="auto"/>
          <w:sz w:val="32"/>
          <w:szCs w:val="32"/>
          <w:highlight w:val="none"/>
          <w:lang w:val="en-US" w:eastAsia="zh-CN"/>
        </w:rPr>
        <w:t>2025年工资调整，单位养老保险基数增加支出</w:t>
      </w:r>
      <w:r>
        <w:rPr>
          <w:rFonts w:hint="eastAsia" w:ascii="仿宋" w:hAnsi="仿宋" w:eastAsia="仿宋" w:cs="仿宋"/>
          <w:color w:val="auto"/>
          <w:sz w:val="32"/>
          <w:szCs w:val="32"/>
          <w:highlight w:val="none"/>
        </w:rPr>
        <w:t>。</w:t>
      </w:r>
    </w:p>
    <w:p w14:paraId="16C88EF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b/>
          <w:color w:val="auto"/>
          <w:sz w:val="32"/>
          <w:szCs w:val="32"/>
          <w:highlight w:val="none"/>
          <w:lang w:eastAsia="zh-CN"/>
        </w:rPr>
        <w:t>社会保障和就业支出</w:t>
      </w:r>
      <w:r>
        <w:rPr>
          <w:rFonts w:hint="eastAsia" w:ascii="仿宋" w:hAnsi="仿宋" w:eastAsia="仿宋" w:cs="仿宋"/>
          <w:b/>
          <w:color w:val="auto"/>
          <w:sz w:val="32"/>
          <w:szCs w:val="32"/>
          <w:highlight w:val="none"/>
        </w:rPr>
        <w:t>（类）</w:t>
      </w:r>
      <w:r>
        <w:rPr>
          <w:rFonts w:hint="eastAsia" w:ascii="仿宋" w:hAnsi="仿宋" w:eastAsia="仿宋" w:cs="仿宋"/>
          <w:b/>
          <w:color w:val="auto"/>
          <w:sz w:val="32"/>
          <w:szCs w:val="32"/>
          <w:highlight w:val="none"/>
          <w:lang w:eastAsia="zh-CN"/>
        </w:rPr>
        <w:t>行政事业单位养老支出</w:t>
      </w:r>
      <w:r>
        <w:rPr>
          <w:rFonts w:hint="eastAsia" w:ascii="仿宋" w:hAnsi="仿宋" w:eastAsia="仿宋" w:cs="仿宋"/>
          <w:b/>
          <w:color w:val="auto"/>
          <w:sz w:val="32"/>
          <w:szCs w:val="32"/>
          <w:highlight w:val="none"/>
        </w:rPr>
        <w:t>（款）</w:t>
      </w:r>
      <w:r>
        <w:rPr>
          <w:rFonts w:hint="eastAsia" w:ascii="仿宋" w:hAnsi="仿宋" w:eastAsia="仿宋" w:cs="仿宋"/>
          <w:b/>
          <w:color w:val="auto"/>
          <w:sz w:val="32"/>
          <w:szCs w:val="32"/>
          <w:highlight w:val="none"/>
          <w:lang w:eastAsia="zh-CN"/>
        </w:rPr>
        <w:t>机关事业单位职业年金缴费支出</w:t>
      </w:r>
      <w:r>
        <w:rPr>
          <w:rFonts w:hint="eastAsia" w:ascii="仿宋" w:hAnsi="仿宋" w:eastAsia="仿宋" w:cs="仿宋"/>
          <w:b/>
          <w:color w:val="auto"/>
          <w:sz w:val="32"/>
          <w:szCs w:val="32"/>
          <w:highlight w:val="none"/>
        </w:rPr>
        <w:t>（项）。</w:t>
      </w:r>
    </w:p>
    <w:p w14:paraId="12E19E0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37.35</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42.61</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114.08</w:t>
      </w:r>
      <w:r>
        <w:rPr>
          <w:rFonts w:hint="eastAsia" w:ascii="仿宋" w:hAnsi="仿宋" w:eastAsia="仿宋" w:cs="仿宋"/>
          <w:color w:val="auto"/>
          <w:sz w:val="32"/>
          <w:szCs w:val="32"/>
          <w:highlight w:val="none"/>
        </w:rPr>
        <w:t>%。决算数大于预算数的主要原因：</w:t>
      </w:r>
      <w:r>
        <w:rPr>
          <w:rFonts w:hint="eastAsia" w:ascii="仿宋" w:hAnsi="仿宋" w:eastAsia="仿宋" w:cs="仿宋"/>
          <w:color w:val="auto"/>
          <w:sz w:val="32"/>
          <w:szCs w:val="32"/>
          <w:highlight w:val="none"/>
          <w:lang w:val="en-US" w:eastAsia="zh-CN"/>
        </w:rPr>
        <w:t>2025年工资调整，单位职业年基数增加支出</w:t>
      </w:r>
      <w:r>
        <w:rPr>
          <w:rFonts w:hint="eastAsia" w:ascii="仿宋" w:hAnsi="仿宋" w:eastAsia="仿宋" w:cs="仿宋"/>
          <w:color w:val="auto"/>
          <w:sz w:val="32"/>
          <w:szCs w:val="32"/>
          <w:highlight w:val="none"/>
        </w:rPr>
        <w:t>。</w:t>
      </w:r>
    </w:p>
    <w:p w14:paraId="143A041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w:t>
      </w:r>
      <w:r>
        <w:rPr>
          <w:rFonts w:hint="eastAsia" w:ascii="仿宋" w:hAnsi="仿宋" w:eastAsia="仿宋" w:cs="仿宋"/>
          <w:b/>
          <w:color w:val="auto"/>
          <w:sz w:val="32"/>
          <w:szCs w:val="32"/>
          <w:highlight w:val="none"/>
          <w:lang w:eastAsia="zh-CN"/>
        </w:rPr>
        <w:t>卫生健康支出</w:t>
      </w:r>
      <w:r>
        <w:rPr>
          <w:rFonts w:hint="eastAsia" w:ascii="仿宋" w:hAnsi="仿宋" w:eastAsia="仿宋" w:cs="仿宋"/>
          <w:b/>
          <w:color w:val="auto"/>
          <w:sz w:val="32"/>
          <w:szCs w:val="32"/>
          <w:highlight w:val="none"/>
        </w:rPr>
        <w:t>（类）</w:t>
      </w:r>
      <w:r>
        <w:rPr>
          <w:rFonts w:hint="eastAsia" w:ascii="仿宋" w:hAnsi="仿宋" w:eastAsia="仿宋" w:cs="仿宋"/>
          <w:b/>
          <w:color w:val="auto"/>
          <w:sz w:val="32"/>
          <w:szCs w:val="32"/>
          <w:highlight w:val="none"/>
          <w:lang w:eastAsia="zh-CN"/>
        </w:rPr>
        <w:t>行政事业单位医疗</w:t>
      </w:r>
      <w:r>
        <w:rPr>
          <w:rFonts w:hint="eastAsia" w:ascii="仿宋" w:hAnsi="仿宋" w:eastAsia="仿宋" w:cs="仿宋"/>
          <w:b/>
          <w:color w:val="auto"/>
          <w:sz w:val="32"/>
          <w:szCs w:val="32"/>
          <w:highlight w:val="none"/>
        </w:rPr>
        <w:t>（款）</w:t>
      </w:r>
      <w:r>
        <w:rPr>
          <w:rFonts w:hint="eastAsia" w:ascii="仿宋" w:hAnsi="仿宋" w:eastAsia="仿宋" w:cs="仿宋"/>
          <w:b/>
          <w:color w:val="auto"/>
          <w:sz w:val="32"/>
          <w:szCs w:val="32"/>
          <w:highlight w:val="none"/>
          <w:lang w:eastAsia="zh-CN"/>
        </w:rPr>
        <w:t>事业单位医疗</w:t>
      </w:r>
      <w:r>
        <w:rPr>
          <w:rFonts w:hint="eastAsia" w:ascii="仿宋" w:hAnsi="仿宋" w:eastAsia="仿宋" w:cs="仿宋"/>
          <w:b/>
          <w:color w:val="auto"/>
          <w:sz w:val="32"/>
          <w:szCs w:val="32"/>
          <w:highlight w:val="none"/>
        </w:rPr>
        <w:t>（项）。</w:t>
      </w:r>
    </w:p>
    <w:p w14:paraId="36F35C7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25.75</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26.68</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103.61</w:t>
      </w:r>
      <w:r>
        <w:rPr>
          <w:rFonts w:hint="eastAsia" w:ascii="仿宋" w:hAnsi="仿宋" w:eastAsia="仿宋" w:cs="仿宋"/>
          <w:color w:val="auto"/>
          <w:sz w:val="32"/>
          <w:szCs w:val="32"/>
          <w:highlight w:val="none"/>
        </w:rPr>
        <w:t>%。决算数大于预算数的主要原因：</w:t>
      </w:r>
      <w:r>
        <w:rPr>
          <w:rFonts w:hint="eastAsia" w:ascii="仿宋" w:hAnsi="仿宋" w:eastAsia="仿宋" w:cs="仿宋"/>
          <w:color w:val="auto"/>
          <w:sz w:val="32"/>
          <w:szCs w:val="32"/>
          <w:highlight w:val="none"/>
          <w:lang w:val="en-US" w:eastAsia="zh-CN"/>
        </w:rPr>
        <w:t>2025年工资调整，事业单位医疗基数增加支出</w:t>
      </w:r>
      <w:r>
        <w:rPr>
          <w:rFonts w:hint="eastAsia" w:ascii="仿宋" w:hAnsi="仿宋" w:eastAsia="仿宋" w:cs="仿宋"/>
          <w:color w:val="auto"/>
          <w:sz w:val="32"/>
          <w:szCs w:val="32"/>
          <w:highlight w:val="none"/>
        </w:rPr>
        <w:t>。</w:t>
      </w:r>
    </w:p>
    <w:p w14:paraId="0714839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w:t>
      </w:r>
      <w:r>
        <w:rPr>
          <w:rFonts w:hint="eastAsia" w:ascii="仿宋" w:hAnsi="仿宋" w:eastAsia="仿宋" w:cs="仿宋"/>
          <w:b/>
          <w:color w:val="auto"/>
          <w:sz w:val="32"/>
          <w:szCs w:val="32"/>
          <w:highlight w:val="none"/>
          <w:lang w:eastAsia="zh-CN"/>
        </w:rPr>
        <w:t>农林水支出</w:t>
      </w:r>
      <w:r>
        <w:rPr>
          <w:rFonts w:hint="eastAsia" w:ascii="仿宋" w:hAnsi="仿宋" w:eastAsia="仿宋" w:cs="仿宋"/>
          <w:b/>
          <w:color w:val="auto"/>
          <w:sz w:val="32"/>
          <w:szCs w:val="32"/>
          <w:highlight w:val="none"/>
        </w:rPr>
        <w:t>（类）</w:t>
      </w:r>
      <w:r>
        <w:rPr>
          <w:rFonts w:hint="eastAsia" w:ascii="仿宋" w:hAnsi="仿宋" w:eastAsia="仿宋" w:cs="仿宋"/>
          <w:b/>
          <w:color w:val="auto"/>
          <w:sz w:val="32"/>
          <w:szCs w:val="32"/>
          <w:highlight w:val="none"/>
          <w:lang w:eastAsia="zh-CN"/>
        </w:rPr>
        <w:t>农业农村</w:t>
      </w:r>
      <w:r>
        <w:rPr>
          <w:rFonts w:hint="eastAsia" w:ascii="仿宋" w:hAnsi="仿宋" w:eastAsia="仿宋" w:cs="仿宋"/>
          <w:b/>
          <w:color w:val="auto"/>
          <w:sz w:val="32"/>
          <w:szCs w:val="32"/>
          <w:highlight w:val="none"/>
        </w:rPr>
        <w:t>（款）</w:t>
      </w:r>
      <w:r>
        <w:rPr>
          <w:rFonts w:hint="eastAsia" w:ascii="仿宋" w:hAnsi="仿宋" w:eastAsia="仿宋" w:cs="仿宋"/>
          <w:b/>
          <w:color w:val="auto"/>
          <w:sz w:val="32"/>
          <w:szCs w:val="32"/>
          <w:highlight w:val="none"/>
          <w:lang w:eastAsia="zh-CN"/>
        </w:rPr>
        <w:t>事业运行</w:t>
      </w:r>
      <w:r>
        <w:rPr>
          <w:rFonts w:hint="eastAsia" w:ascii="仿宋" w:hAnsi="仿宋" w:eastAsia="仿宋" w:cs="仿宋"/>
          <w:b/>
          <w:color w:val="auto"/>
          <w:sz w:val="32"/>
          <w:szCs w:val="32"/>
          <w:highlight w:val="none"/>
        </w:rPr>
        <w:t>（项）。</w:t>
      </w:r>
    </w:p>
    <w:p w14:paraId="6155D0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817.12</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839.76</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102.77</w:t>
      </w:r>
      <w:r>
        <w:rPr>
          <w:rFonts w:hint="eastAsia" w:ascii="仿宋" w:hAnsi="仿宋" w:eastAsia="仿宋" w:cs="仿宋"/>
          <w:color w:val="auto"/>
          <w:sz w:val="32"/>
          <w:szCs w:val="32"/>
          <w:highlight w:val="none"/>
        </w:rPr>
        <w:t>%。决算数大于预算数的主要原因：</w:t>
      </w:r>
      <w:r>
        <w:rPr>
          <w:rFonts w:hint="eastAsia" w:ascii="仿宋" w:hAnsi="仿宋" w:eastAsia="仿宋" w:cs="仿宋"/>
          <w:color w:val="auto"/>
          <w:sz w:val="32"/>
          <w:szCs w:val="32"/>
          <w:highlight w:val="none"/>
          <w:lang w:val="en-US" w:eastAsia="zh-CN"/>
        </w:rPr>
        <w:t>2025年工资调整，职工工资增加</w:t>
      </w:r>
      <w:r>
        <w:rPr>
          <w:rFonts w:hint="eastAsia" w:ascii="仿宋" w:hAnsi="仿宋" w:eastAsia="仿宋" w:cs="仿宋"/>
          <w:color w:val="auto"/>
          <w:sz w:val="32"/>
          <w:szCs w:val="32"/>
          <w:highlight w:val="none"/>
        </w:rPr>
        <w:t>。</w:t>
      </w:r>
    </w:p>
    <w:p w14:paraId="43CF6A8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b/>
          <w:color w:val="auto"/>
          <w:sz w:val="32"/>
          <w:szCs w:val="32"/>
          <w:highlight w:val="none"/>
          <w:lang w:eastAsia="zh-CN"/>
        </w:rPr>
        <w:t>农林水支出</w:t>
      </w:r>
      <w:r>
        <w:rPr>
          <w:rFonts w:hint="eastAsia" w:ascii="仿宋" w:hAnsi="仿宋" w:eastAsia="仿宋" w:cs="仿宋"/>
          <w:b/>
          <w:color w:val="auto"/>
          <w:sz w:val="32"/>
          <w:szCs w:val="32"/>
          <w:highlight w:val="none"/>
        </w:rPr>
        <w:t>（类）</w:t>
      </w:r>
      <w:r>
        <w:rPr>
          <w:rFonts w:hint="eastAsia" w:ascii="仿宋" w:hAnsi="仿宋" w:eastAsia="仿宋" w:cs="仿宋"/>
          <w:b/>
          <w:color w:val="auto"/>
          <w:sz w:val="32"/>
          <w:szCs w:val="32"/>
          <w:highlight w:val="none"/>
          <w:lang w:eastAsia="zh-CN"/>
        </w:rPr>
        <w:t>农业农村</w:t>
      </w:r>
      <w:r>
        <w:rPr>
          <w:rFonts w:hint="eastAsia" w:ascii="仿宋" w:hAnsi="仿宋" w:eastAsia="仿宋" w:cs="仿宋"/>
          <w:b/>
          <w:color w:val="auto"/>
          <w:sz w:val="32"/>
          <w:szCs w:val="32"/>
          <w:highlight w:val="none"/>
        </w:rPr>
        <w:t>（款）</w:t>
      </w:r>
      <w:r>
        <w:rPr>
          <w:rFonts w:hint="eastAsia" w:ascii="仿宋" w:hAnsi="仿宋" w:eastAsia="仿宋" w:cs="仿宋"/>
          <w:b/>
          <w:color w:val="auto"/>
          <w:sz w:val="32"/>
          <w:szCs w:val="32"/>
          <w:highlight w:val="none"/>
          <w:lang w:val="en-US" w:eastAsia="zh-CN"/>
        </w:rPr>
        <w:t>执法监管</w:t>
      </w:r>
      <w:r>
        <w:rPr>
          <w:rFonts w:hint="eastAsia" w:ascii="仿宋" w:hAnsi="仿宋" w:eastAsia="仿宋" w:cs="仿宋"/>
          <w:b/>
          <w:color w:val="auto"/>
          <w:sz w:val="32"/>
          <w:szCs w:val="32"/>
          <w:highlight w:val="none"/>
        </w:rPr>
        <w:t>（项）。</w:t>
      </w:r>
    </w:p>
    <w:p w14:paraId="04D4CA53">
      <w:pPr>
        <w:spacing w:line="590" w:lineRule="exact"/>
        <w:ind w:firstLine="640" w:firstLineChars="200"/>
        <w:rPr>
          <w:rFonts w:hint="eastAsia" w:ascii="仿宋" w:hAnsi="仿宋" w:eastAsia="仿宋" w:cs="仿宋"/>
          <w:color w:val="auto"/>
          <w:sz w:val="32"/>
          <w:szCs w:val="32"/>
          <w:highlight w:val="yellow"/>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594.40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1830.55</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307.97</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val="en-US" w:eastAsia="zh-CN"/>
        </w:rPr>
        <w:t>大</w:t>
      </w:r>
      <w:r>
        <w:rPr>
          <w:rFonts w:hint="eastAsia" w:ascii="仿宋" w:hAnsi="仿宋" w:eastAsia="仿宋" w:cs="仿宋"/>
          <w:color w:val="auto"/>
          <w:sz w:val="32"/>
          <w:szCs w:val="32"/>
          <w:highlight w:val="none"/>
        </w:rPr>
        <w:t>于预算数的主要原因：</w:t>
      </w:r>
      <w:r>
        <w:rPr>
          <w:rFonts w:hint="eastAsia" w:ascii="仿宋_GB2312" w:hAnsi="黑体" w:eastAsia="仿宋_GB2312"/>
          <w:sz w:val="32"/>
          <w:szCs w:val="32"/>
          <w:highlight w:val="none"/>
          <w:u w:val="none"/>
          <w:lang w:val="en-US" w:eastAsia="zh-CN"/>
        </w:rPr>
        <w:t>增加</w:t>
      </w:r>
      <w:r>
        <w:rPr>
          <w:rFonts w:ascii="Times New Roman" w:hAnsi="Times New Roman" w:eastAsia="仿宋" w:cs="Times New Roman"/>
          <w:sz w:val="32"/>
          <w:szCs w:val="32"/>
          <w:highlight w:val="none"/>
        </w:rPr>
        <w:t>海</w:t>
      </w:r>
      <w:r>
        <w:rPr>
          <w:rFonts w:ascii="Times New Roman" w:hAnsi="Times New Roman" w:eastAsia="仿宋" w:cs="Times New Roman"/>
          <w:sz w:val="32"/>
          <w:szCs w:val="32"/>
        </w:rPr>
        <w:t>口动物隔离场建设项目</w:t>
      </w:r>
      <w:r>
        <w:rPr>
          <w:rFonts w:hint="eastAsia" w:ascii="Times New Roman" w:hAnsi="Times New Roman" w:eastAsia="仿宋" w:cs="Times New Roman"/>
          <w:sz w:val="32"/>
          <w:szCs w:val="32"/>
          <w:lang w:val="en-US" w:eastAsia="zh-CN"/>
        </w:rPr>
        <w:t>经费</w:t>
      </w:r>
      <w:r>
        <w:rPr>
          <w:rFonts w:hint="eastAsia" w:ascii="仿宋_GB2312" w:hAnsi="黑体" w:eastAsia="仿宋_GB2312"/>
          <w:sz w:val="32"/>
          <w:szCs w:val="32"/>
          <w:u w:val="none"/>
          <w:lang w:eastAsia="zh-CN"/>
        </w:rPr>
        <w:t>。</w:t>
      </w:r>
    </w:p>
    <w:p w14:paraId="7ABEBD1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8.</w:t>
      </w:r>
      <w:r>
        <w:rPr>
          <w:rFonts w:hint="eastAsia" w:ascii="仿宋" w:hAnsi="仿宋" w:eastAsia="仿宋" w:cs="仿宋"/>
          <w:b/>
          <w:color w:val="auto"/>
          <w:sz w:val="32"/>
          <w:szCs w:val="32"/>
          <w:highlight w:val="none"/>
          <w:lang w:eastAsia="zh-CN"/>
        </w:rPr>
        <w:t>住房保障支出</w:t>
      </w:r>
      <w:r>
        <w:rPr>
          <w:rFonts w:hint="eastAsia" w:ascii="仿宋" w:hAnsi="仿宋" w:eastAsia="仿宋" w:cs="仿宋"/>
          <w:b/>
          <w:color w:val="auto"/>
          <w:sz w:val="32"/>
          <w:szCs w:val="32"/>
          <w:highlight w:val="none"/>
        </w:rPr>
        <w:t>（类）</w:t>
      </w:r>
      <w:r>
        <w:rPr>
          <w:rFonts w:hint="eastAsia" w:ascii="仿宋" w:hAnsi="仿宋" w:eastAsia="仿宋" w:cs="仿宋"/>
          <w:b/>
          <w:color w:val="auto"/>
          <w:sz w:val="32"/>
          <w:szCs w:val="32"/>
          <w:highlight w:val="none"/>
          <w:lang w:eastAsia="zh-CN"/>
        </w:rPr>
        <w:t>住房改革支出</w:t>
      </w:r>
      <w:r>
        <w:rPr>
          <w:rFonts w:hint="eastAsia" w:ascii="仿宋" w:hAnsi="仿宋" w:eastAsia="仿宋" w:cs="仿宋"/>
          <w:b/>
          <w:color w:val="auto"/>
          <w:sz w:val="32"/>
          <w:szCs w:val="32"/>
          <w:highlight w:val="none"/>
        </w:rPr>
        <w:t>（款）</w:t>
      </w:r>
      <w:r>
        <w:rPr>
          <w:rFonts w:hint="eastAsia" w:ascii="仿宋" w:hAnsi="仿宋" w:eastAsia="仿宋" w:cs="仿宋"/>
          <w:b/>
          <w:color w:val="auto"/>
          <w:sz w:val="32"/>
          <w:szCs w:val="32"/>
          <w:highlight w:val="none"/>
          <w:lang w:eastAsia="zh-CN"/>
        </w:rPr>
        <w:t>住房公积金</w:t>
      </w:r>
      <w:r>
        <w:rPr>
          <w:rFonts w:hint="eastAsia" w:ascii="仿宋" w:hAnsi="仿宋" w:eastAsia="仿宋" w:cs="仿宋"/>
          <w:b/>
          <w:color w:val="auto"/>
          <w:sz w:val="32"/>
          <w:szCs w:val="32"/>
          <w:highlight w:val="none"/>
        </w:rPr>
        <w:t>（项）。</w:t>
      </w:r>
    </w:p>
    <w:p w14:paraId="7D5EC97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63.29</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67.2</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106.18</w:t>
      </w:r>
      <w:r>
        <w:rPr>
          <w:rFonts w:hint="eastAsia" w:ascii="仿宋" w:hAnsi="仿宋" w:eastAsia="仿宋" w:cs="仿宋"/>
          <w:color w:val="auto"/>
          <w:sz w:val="32"/>
          <w:szCs w:val="32"/>
          <w:highlight w:val="none"/>
        </w:rPr>
        <w:t>%。决算数大于预算数的主要原因：</w:t>
      </w:r>
      <w:r>
        <w:rPr>
          <w:rFonts w:hint="eastAsia" w:ascii="仿宋" w:hAnsi="仿宋" w:eastAsia="仿宋" w:cs="仿宋"/>
          <w:color w:val="auto"/>
          <w:sz w:val="32"/>
          <w:szCs w:val="32"/>
          <w:highlight w:val="none"/>
          <w:lang w:val="en-US" w:eastAsia="zh-CN"/>
        </w:rPr>
        <w:t>2025年工资调整，住房公积金基数增加</w:t>
      </w:r>
      <w:r>
        <w:rPr>
          <w:rFonts w:hint="eastAsia" w:ascii="仿宋" w:hAnsi="仿宋" w:eastAsia="仿宋" w:cs="仿宋"/>
          <w:color w:val="auto"/>
          <w:sz w:val="32"/>
          <w:szCs w:val="32"/>
          <w:highlight w:val="none"/>
        </w:rPr>
        <w:t>。</w:t>
      </w:r>
    </w:p>
    <w:p w14:paraId="6EAB98C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bCs/>
          <w:sz w:val="32"/>
          <w:szCs w:val="32"/>
        </w:rPr>
        <w:t>六、一般公共预算财政拨</w:t>
      </w:r>
      <w:r>
        <w:rPr>
          <w:rFonts w:hint="eastAsia" w:ascii="黑体" w:hAnsi="黑体" w:eastAsia="黑体" w:cs="黑体"/>
          <w:bCs/>
          <w:color w:val="auto"/>
          <w:sz w:val="32"/>
          <w:szCs w:val="32"/>
        </w:rPr>
        <w:t>款基本支出决算情况说明</w:t>
      </w:r>
    </w:p>
    <w:p w14:paraId="6C24DF02">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
          <w:sz w:val="32"/>
          <w:szCs w:val="32"/>
          <w:lang w:val="en-US" w:eastAsia="zh-CN"/>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rPr>
        <w:t>1,052.63</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rPr>
        <w:t>955.37</w:t>
      </w:r>
      <w:r>
        <w:rPr>
          <w:rFonts w:hint="eastAsia" w:ascii="仿宋" w:hAnsi="仿宋" w:eastAsia="仿宋" w:cs="仿宋"/>
          <w:color w:val="auto"/>
          <w:sz w:val="32"/>
          <w:szCs w:val="32"/>
        </w:rPr>
        <w:t>万元，主要包括：工资福利支出中的基本工资、津贴补贴、奖金、伙食补助费、绩效工资、机关事业单位基本养老保险缴费、职业年金缴费、职工基本医疗保险缴费、公务</w:t>
      </w:r>
      <w:r>
        <w:rPr>
          <w:rFonts w:hint="eastAsia" w:ascii="仿宋" w:hAnsi="仿宋" w:eastAsia="仿宋" w:cs="仿宋"/>
          <w:sz w:val="32"/>
          <w:szCs w:val="32"/>
        </w:rPr>
        <w:t>员医疗补助缴费、其他社会保障缴费、住房公积金、医疗费、其他工资福利支出；对个人和家庭的补助中的离休费、退休费、退职（役）费、抚恤金、生活补助、救济费、医疗费补助、助学金、奖励金、个人农业</w:t>
      </w:r>
      <w:r>
        <w:rPr>
          <w:rFonts w:hint="eastAsia" w:ascii="仿宋" w:hAnsi="仿宋" w:eastAsia="仿宋" w:cs="仿宋"/>
          <w:color w:val="auto"/>
          <w:sz w:val="32"/>
          <w:szCs w:val="32"/>
        </w:rPr>
        <w:t>生产补贴、代缴社会保险费、其他对个人和家庭的补助。公用经费</w:t>
      </w:r>
      <w:r>
        <w:rPr>
          <w:rFonts w:hint="eastAsia" w:ascii="仿宋" w:hAnsi="仿宋" w:eastAsia="仿宋" w:cs="仿宋"/>
          <w:color w:val="auto"/>
          <w:sz w:val="32"/>
          <w:szCs w:val="32"/>
          <w:lang w:val="en-US"/>
        </w:rPr>
        <w:t>97.26</w:t>
      </w:r>
      <w:r>
        <w:rPr>
          <w:rFonts w:hint="eastAsia" w:ascii="仿宋" w:hAnsi="仿宋" w:eastAsia="仿宋" w:cs="仿宋"/>
          <w:color w:val="auto"/>
          <w:sz w:val="32"/>
          <w:szCs w:val="32"/>
        </w:rPr>
        <w:t>万元，主要包括：</w:t>
      </w:r>
      <w:r>
        <w:rPr>
          <w:rFonts w:hint="eastAsia" w:ascii="仿宋" w:hAnsi="仿宋" w:eastAsia="仿宋" w:cs="仿宋"/>
          <w:color w:val="auto"/>
          <w:sz w:val="32"/>
          <w:szCs w:val="32"/>
          <w:highlight w:val="none"/>
        </w:rPr>
        <w:t>主要包括：商品和服务支出中的办公费、印</w:t>
      </w:r>
      <w:r>
        <w:rPr>
          <w:rFonts w:hint="eastAsia" w:ascii="仿宋" w:hAnsi="仿宋" w:eastAsia="仿宋" w:cs="仿宋"/>
          <w:sz w:val="32"/>
          <w:szCs w:val="32"/>
          <w:highlight w:val="none"/>
        </w:rPr>
        <w:t>刷费、邮电费、差旅费、维修（护）费、租赁费、培训费、公务接待费、专用材料费、被装购置费、专用燃料费、劳务费、委托业务费、工会经费、福利费、公务用车运行维护费、其他交通费用、其他商品和服务支出；资本性支出中的办公设备购置</w:t>
      </w:r>
      <w:r>
        <w:rPr>
          <w:rFonts w:hint="eastAsia" w:ascii="仿宋" w:hAnsi="仿宋" w:eastAsia="仿宋" w:cs="仿宋"/>
          <w:sz w:val="32"/>
          <w:szCs w:val="32"/>
          <w:highlight w:val="none"/>
          <w:lang w:eastAsia="zh-CN"/>
        </w:rPr>
        <w:t>。</w:t>
      </w:r>
    </w:p>
    <w:p w14:paraId="7241B08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14:paraId="643B85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（一）政府性基金预算财政拨款支出决算总体情况</w:t>
      </w:r>
    </w:p>
    <w:p w14:paraId="3200F8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rPr>
        <w:t>2025</w:t>
      </w:r>
      <w:r>
        <w:rPr>
          <w:rFonts w:hint="eastAsia" w:ascii="仿宋" w:hAnsi="仿宋" w:eastAsia="仿宋" w:cs="仿宋"/>
          <w:sz w:val="32"/>
          <w:szCs w:val="32"/>
        </w:rPr>
        <w:t>年度政府性基金预算财政拨款</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rPr>
        <w:t>1,642.00</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w:t>
      </w:r>
      <w:r>
        <w:rPr>
          <w:rFonts w:hint="eastAsia" w:ascii="仿宋" w:hAnsi="仿宋" w:eastAsia="仿宋" w:cs="仿宋"/>
          <w:color w:val="auto"/>
          <w:sz w:val="32"/>
          <w:szCs w:val="32"/>
          <w:lang w:val="en-US" w:eastAsia="zh-CN"/>
        </w:rPr>
        <w:t>没有政府</w:t>
      </w:r>
      <w:r>
        <w:rPr>
          <w:rFonts w:hint="eastAsia" w:ascii="仿宋" w:hAnsi="仿宋" w:eastAsia="仿宋" w:cs="仿宋"/>
          <w:color w:val="auto"/>
          <w:sz w:val="32"/>
          <w:szCs w:val="32"/>
        </w:rPr>
        <w:t>性基金预算财政拨款</w:t>
      </w:r>
      <w:r>
        <w:rPr>
          <w:rFonts w:hint="eastAsia" w:ascii="仿宋" w:hAnsi="仿宋" w:eastAsia="仿宋" w:cs="仿宋"/>
          <w:color w:val="auto"/>
          <w:sz w:val="32"/>
          <w:szCs w:val="32"/>
          <w:lang w:val="en-US" w:eastAsia="zh-CN"/>
        </w:rPr>
        <w:t>收入。</w:t>
      </w:r>
    </w:p>
    <w:p w14:paraId="06BD91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（二）政府性基金预算财政拨款支出决算结构情况</w:t>
      </w:r>
    </w:p>
    <w:p w14:paraId="7B5BDB8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年度政府性基金预算财政拨款支出</w:t>
      </w:r>
      <w:r>
        <w:rPr>
          <w:rFonts w:hint="eastAsia" w:ascii="仿宋" w:hAnsi="仿宋" w:eastAsia="仿宋" w:cs="仿宋"/>
          <w:color w:val="auto"/>
          <w:sz w:val="32"/>
          <w:szCs w:val="32"/>
          <w:lang w:val="en-US"/>
        </w:rPr>
        <w:t>1,642.00</w:t>
      </w:r>
      <w:r>
        <w:rPr>
          <w:rFonts w:hint="eastAsia" w:ascii="仿宋" w:hAnsi="仿宋" w:eastAsia="仿宋" w:cs="仿宋"/>
          <w:color w:val="auto"/>
          <w:sz w:val="32"/>
          <w:szCs w:val="32"/>
        </w:rPr>
        <w:t>万元，主要用于</w:t>
      </w:r>
      <w:r>
        <w:rPr>
          <w:rFonts w:hint="eastAsia" w:ascii="仿宋" w:hAnsi="仿宋" w:eastAsia="仿宋" w:cs="仿宋"/>
          <w:color w:val="auto"/>
          <w:sz w:val="32"/>
          <w:szCs w:val="32"/>
          <w:lang w:val="en-US" w:eastAsia="zh-CN"/>
        </w:rPr>
        <w:t>海口动物隔离场建设</w:t>
      </w:r>
      <w:r>
        <w:rPr>
          <w:rFonts w:hint="eastAsia" w:ascii="仿宋" w:hAnsi="仿宋" w:eastAsia="仿宋" w:cs="仿宋"/>
          <w:color w:val="auto"/>
          <w:sz w:val="32"/>
          <w:szCs w:val="32"/>
        </w:rPr>
        <w:t>。</w:t>
      </w:r>
    </w:p>
    <w:p w14:paraId="2AA5798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（三）政府性基金预算财政拨款支出决算具体情况</w:t>
      </w:r>
    </w:p>
    <w:p w14:paraId="184DD07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年度政府性基金预算财政拨款支出年初预算为</w:t>
      </w:r>
      <w:r>
        <w:rPr>
          <w:rFonts w:hint="eastAsia" w:ascii="仿宋" w:hAnsi="仿宋" w:eastAsia="仿宋" w:cs="仿宋"/>
          <w:color w:val="auto"/>
          <w:sz w:val="32"/>
          <w:szCs w:val="32"/>
          <w:lang w:val="en-US" w:eastAsia="zh-CN"/>
        </w:rPr>
        <w:t>1642</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1,642.00</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%。其中：</w:t>
      </w:r>
    </w:p>
    <w:p w14:paraId="1EE42A3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rPr>
        <w:t>城乡社区支出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rPr>
        <w:t>国有土地使用权出让收入安排的支出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rPr>
        <w:t>征地和拆迁补偿支出</w:t>
      </w:r>
      <w:r>
        <w:rPr>
          <w:rFonts w:hint="eastAsia" w:ascii="仿宋" w:hAnsi="仿宋" w:eastAsia="仿宋" w:cs="仿宋"/>
          <w:color w:val="auto"/>
          <w:sz w:val="32"/>
          <w:szCs w:val="32"/>
        </w:rPr>
        <w:t>（项）。</w:t>
      </w:r>
    </w:p>
    <w:p w14:paraId="2CDFA0A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910.69</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910.69</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14:paraId="546F334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rPr>
        <w:t>城乡社区支出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rPr>
        <w:t>国有土地使用权出让收入安排的支出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rPr>
        <w:t>土地开发支出</w:t>
      </w:r>
      <w:r>
        <w:rPr>
          <w:rFonts w:hint="eastAsia" w:ascii="仿宋" w:hAnsi="仿宋" w:eastAsia="仿宋" w:cs="仿宋"/>
          <w:color w:val="auto"/>
          <w:sz w:val="32"/>
          <w:szCs w:val="32"/>
        </w:rPr>
        <w:t>（项）。</w:t>
      </w:r>
    </w:p>
    <w:p w14:paraId="5E2A6D6E">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731.31</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731.31</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14:paraId="101E92BC">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14:paraId="1600908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（一）国有资本经营预算财政拨款支出决算总体情况</w:t>
      </w:r>
    </w:p>
    <w:p w14:paraId="597048F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7F0C568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（二）国有资本经营预算财政拨款支出决算结构情况</w:t>
      </w:r>
    </w:p>
    <w:p w14:paraId="1926DF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6DA2D67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（三）国有资本经营预算财政拨款支出决算具体情况</w:t>
      </w:r>
    </w:p>
    <w:p w14:paraId="36DB8B8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5834EC2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14:paraId="18F9E7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sz w:val="32"/>
          <w:szCs w:val="32"/>
        </w:rPr>
        <w:t>（一）财政拨款“三公”经费支</w:t>
      </w:r>
      <w:r>
        <w:rPr>
          <w:rFonts w:hint="eastAsia" w:ascii="楷体" w:hAnsi="楷体" w:eastAsia="楷体" w:cs="楷体"/>
          <w:bCs/>
          <w:color w:val="auto"/>
          <w:sz w:val="32"/>
          <w:szCs w:val="32"/>
        </w:rPr>
        <w:t>出决算总体情况说明</w:t>
      </w:r>
    </w:p>
    <w:p w14:paraId="1367A270">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年度财政拨款“三公”经费支出预算为</w:t>
      </w:r>
      <w:r>
        <w:rPr>
          <w:rFonts w:hint="eastAsia" w:ascii="仿宋" w:hAnsi="仿宋" w:eastAsia="仿宋" w:cs="仿宋"/>
          <w:color w:val="auto"/>
          <w:sz w:val="32"/>
          <w:szCs w:val="32"/>
          <w:lang w:val="en-US"/>
        </w:rPr>
        <w:t>7.64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5.67</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74.21</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年度相比，“三公”经费支出减少</w:t>
      </w:r>
      <w:r>
        <w:rPr>
          <w:rFonts w:hint="eastAsia" w:ascii="仿宋" w:hAnsi="仿宋" w:eastAsia="仿宋" w:cs="仿宋"/>
          <w:color w:val="auto"/>
          <w:sz w:val="32"/>
          <w:szCs w:val="32"/>
          <w:lang w:val="en-US" w:eastAsia="zh-CN"/>
        </w:rPr>
        <w:t>0.19</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3.24</w:t>
      </w:r>
      <w:r>
        <w:rPr>
          <w:rFonts w:hint="eastAsia" w:ascii="仿宋" w:hAnsi="仿宋" w:eastAsia="仿宋" w:cs="仿宋"/>
          <w:color w:val="auto"/>
          <w:sz w:val="32"/>
          <w:szCs w:val="32"/>
        </w:rPr>
        <w:t>%，主要原因是</w:t>
      </w:r>
      <w:r>
        <w:rPr>
          <w:rFonts w:hint="eastAsia" w:ascii="仿宋_GB2312" w:hAnsi="ˎ̥" w:eastAsia="仿宋_GB2312"/>
          <w:color w:val="auto"/>
          <w:sz w:val="32"/>
          <w:szCs w:val="32"/>
          <w:lang w:val="en-US" w:eastAsia="zh-CN"/>
        </w:rPr>
        <w:t>中央八项规定精神严格落实，预算管理制度强化以及厉行节约政策的持续推进</w:t>
      </w:r>
      <w:r>
        <w:rPr>
          <w:rFonts w:hint="eastAsia" w:ascii="仿宋_GB2312" w:hAnsi="ˎ̥" w:eastAsia="仿宋_GB2312"/>
          <w:color w:val="auto"/>
          <w:sz w:val="32"/>
          <w:szCs w:val="32"/>
        </w:rPr>
        <w:t>。</w:t>
      </w:r>
    </w:p>
    <w:p w14:paraId="0787B1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（二）财政拨款“三公”经费支出决算具体情况说明</w:t>
      </w:r>
    </w:p>
    <w:p w14:paraId="7B26A5C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年度财政拨款“三公”经费支出决算中，</w:t>
      </w:r>
      <w:r>
        <w:rPr>
          <w:rFonts w:hint="eastAsia" w:ascii="仿宋" w:hAnsi="仿宋" w:eastAsia="仿宋" w:cs="仿宋"/>
          <w:color w:val="auto"/>
          <w:sz w:val="32"/>
          <w:szCs w:val="32"/>
        </w:rPr>
        <w:t>因公出国（境）费</w:t>
      </w:r>
      <w:r>
        <w:rPr>
          <w:rFonts w:hint="eastAsia" w:ascii="仿宋" w:hAnsi="仿宋" w:eastAsia="仿宋" w:cs="仿宋"/>
          <w:color w:val="auto"/>
          <w:sz w:val="32"/>
          <w:szCs w:val="32"/>
          <w:lang w:val="en-US" w:eastAsia="zh-CN"/>
        </w:rPr>
        <w:t>用</w:t>
      </w:r>
      <w:r>
        <w:rPr>
          <w:rFonts w:hint="eastAsia" w:ascii="仿宋" w:hAnsi="仿宋" w:eastAsia="仿宋" w:cs="仿宋"/>
          <w:color w:val="auto"/>
          <w:sz w:val="32"/>
          <w:szCs w:val="32"/>
        </w:rPr>
        <w:t>支出决算</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%；公务用车购置及运行维护费支出决算</w:t>
      </w:r>
      <w:r>
        <w:rPr>
          <w:rFonts w:hint="eastAsia" w:ascii="仿宋" w:hAnsi="仿宋" w:eastAsia="仿宋" w:cs="仿宋"/>
          <w:color w:val="auto"/>
          <w:sz w:val="32"/>
          <w:szCs w:val="32"/>
          <w:lang w:val="en-US"/>
        </w:rPr>
        <w:t>5.47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71.60</w:t>
      </w:r>
      <w:r>
        <w:rPr>
          <w:rFonts w:hint="eastAsia" w:ascii="仿宋" w:hAnsi="仿宋" w:eastAsia="仿宋" w:cs="仿宋"/>
          <w:color w:val="auto"/>
          <w:sz w:val="32"/>
          <w:szCs w:val="32"/>
        </w:rPr>
        <w:t>%；公务接待费支出决算</w:t>
      </w:r>
      <w:r>
        <w:rPr>
          <w:rFonts w:hint="eastAsia" w:ascii="仿宋" w:hAnsi="仿宋" w:eastAsia="仿宋" w:cs="仿宋"/>
          <w:color w:val="auto"/>
          <w:sz w:val="32"/>
          <w:szCs w:val="32"/>
          <w:lang w:val="en-US"/>
        </w:rPr>
        <w:t>0.19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2.49</w:t>
      </w:r>
      <w:r>
        <w:rPr>
          <w:rFonts w:hint="eastAsia" w:ascii="仿宋" w:hAnsi="仿宋" w:eastAsia="仿宋" w:cs="仿宋"/>
          <w:color w:val="auto"/>
          <w:sz w:val="32"/>
          <w:szCs w:val="32"/>
        </w:rPr>
        <w:t>%。具体情况如下：</w:t>
      </w:r>
    </w:p>
    <w:p w14:paraId="398AB8F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1.因公出国（境）费</w:t>
      </w:r>
      <w:r>
        <w:rPr>
          <w:rFonts w:hint="eastAsia" w:ascii="仿宋" w:hAnsi="仿宋" w:eastAsia="仿宋" w:cs="仿宋"/>
          <w:b/>
          <w:color w:val="auto"/>
          <w:sz w:val="32"/>
          <w:szCs w:val="32"/>
          <w:lang w:val="en-US" w:eastAsia="zh-CN"/>
        </w:rPr>
        <w:t>用</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万元。全年安排因公出国（境）团组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个，因公出国（境）</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人次。开支内容包括：</w:t>
      </w:r>
    </w:p>
    <w:p w14:paraId="732BBD5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因公出国（境）费</w:t>
      </w:r>
      <w:r>
        <w:rPr>
          <w:rFonts w:hint="eastAsia" w:ascii="仿宋" w:hAnsi="仿宋" w:eastAsia="仿宋" w:cs="仿宋"/>
          <w:color w:val="auto"/>
          <w:sz w:val="32"/>
          <w:szCs w:val="32"/>
          <w:lang w:val="en-US" w:eastAsia="zh-CN"/>
        </w:rPr>
        <w:t>用</w:t>
      </w:r>
      <w:r>
        <w:rPr>
          <w:rFonts w:hint="eastAsia" w:ascii="仿宋" w:hAnsi="仿宋" w:eastAsia="仿宋" w:cs="仿宋"/>
          <w:color w:val="auto"/>
          <w:sz w:val="32"/>
          <w:szCs w:val="32"/>
        </w:rPr>
        <w:t>支出决算</w:t>
      </w:r>
      <w:r>
        <w:rPr>
          <w:rFonts w:hint="eastAsia" w:ascii="仿宋" w:hAnsi="仿宋" w:eastAsia="仿宋" w:cs="仿宋"/>
          <w:color w:val="auto"/>
          <w:sz w:val="32"/>
          <w:szCs w:val="32"/>
          <w:lang w:val="en-US" w:eastAsia="zh-CN"/>
        </w:rPr>
        <w:t>数</w:t>
      </w:r>
      <w:r>
        <w:rPr>
          <w:rFonts w:hint="eastAsia" w:ascii="仿宋" w:hAnsi="仿宋" w:eastAsia="仿宋" w:cs="仿宋"/>
          <w:color w:val="auto"/>
          <w:sz w:val="32"/>
          <w:szCs w:val="32"/>
        </w:rPr>
        <w:t>比预算数增加（减少）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完成预算的0%</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年度相比，因公出国（境）费</w:t>
      </w:r>
      <w:r>
        <w:rPr>
          <w:rFonts w:hint="eastAsia" w:ascii="仿宋" w:hAnsi="仿宋" w:eastAsia="仿宋" w:cs="仿宋"/>
          <w:color w:val="auto"/>
          <w:sz w:val="32"/>
          <w:szCs w:val="32"/>
          <w:lang w:val="en-US" w:eastAsia="zh-CN"/>
        </w:rPr>
        <w:t>用</w:t>
      </w:r>
      <w:r>
        <w:rPr>
          <w:rFonts w:hint="eastAsia" w:ascii="仿宋" w:hAnsi="仿宋" w:eastAsia="仿宋" w:cs="仿宋"/>
          <w:color w:val="auto"/>
          <w:sz w:val="32"/>
          <w:szCs w:val="32"/>
        </w:rPr>
        <w:t>支出增加（减少）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万元，增长（下降）</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7772B67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2.公务用车购置及运行维护费</w:t>
      </w:r>
      <w:r>
        <w:rPr>
          <w:rFonts w:hint="eastAsia" w:ascii="仿宋" w:hAnsi="仿宋" w:eastAsia="仿宋" w:cs="仿宋"/>
          <w:b w:val="0"/>
          <w:bCs/>
          <w:color w:val="auto"/>
          <w:sz w:val="32"/>
          <w:szCs w:val="32"/>
        </w:rPr>
        <w:t>支出</w:t>
      </w:r>
      <w:r>
        <w:rPr>
          <w:rFonts w:hint="eastAsia" w:ascii="仿宋" w:hAnsi="仿宋" w:eastAsia="仿宋" w:cs="仿宋"/>
          <w:color w:val="auto"/>
          <w:sz w:val="32"/>
          <w:szCs w:val="32"/>
          <w:lang w:val="en-US"/>
        </w:rPr>
        <w:t>5.47</w:t>
      </w:r>
      <w:r>
        <w:rPr>
          <w:rFonts w:hint="eastAsia" w:ascii="仿宋" w:hAnsi="仿宋" w:eastAsia="仿宋" w:cs="仿宋"/>
          <w:color w:val="auto"/>
          <w:sz w:val="32"/>
          <w:szCs w:val="32"/>
        </w:rPr>
        <w:t>万元。其中：</w:t>
      </w:r>
    </w:p>
    <w:p w14:paraId="0BB159C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公务用车购置</w:t>
      </w:r>
      <w:r>
        <w:rPr>
          <w:rFonts w:hint="eastAsia" w:ascii="仿宋" w:hAnsi="仿宋" w:eastAsia="仿宋" w:cs="仿宋"/>
          <w:b w:val="0"/>
          <w:bCs/>
          <w:color w:val="auto"/>
          <w:sz w:val="32"/>
          <w:szCs w:val="32"/>
        </w:rPr>
        <w:t>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万元，全年购置公务用车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辆，年</w:t>
      </w:r>
      <w:r>
        <w:rPr>
          <w:rFonts w:hint="eastAsia" w:ascii="仿宋" w:hAnsi="仿宋" w:eastAsia="仿宋" w:cs="仿宋"/>
          <w:sz w:val="32"/>
          <w:szCs w:val="32"/>
        </w:rPr>
        <w:t>末公</w:t>
      </w:r>
      <w:r>
        <w:rPr>
          <w:rFonts w:hint="eastAsia" w:ascii="仿宋" w:hAnsi="仿宋" w:eastAsia="仿宋" w:cs="仿宋"/>
          <w:color w:val="auto"/>
          <w:sz w:val="32"/>
          <w:szCs w:val="32"/>
        </w:rPr>
        <w:t>务用车保有量</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p>
    <w:p w14:paraId="2F0F80C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公务用车运行维护费</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rPr>
        <w:t>5.47</w:t>
      </w:r>
      <w:r>
        <w:rPr>
          <w:rFonts w:hint="eastAsia" w:ascii="仿宋" w:hAnsi="仿宋" w:eastAsia="仿宋" w:cs="仿宋"/>
          <w:color w:val="auto"/>
          <w:sz w:val="32"/>
          <w:szCs w:val="32"/>
        </w:rPr>
        <w:t>万元，主要用于</w:t>
      </w:r>
      <w:r>
        <w:rPr>
          <w:rFonts w:hint="eastAsia" w:ascii="仿宋" w:hAnsi="仿宋" w:eastAsia="仿宋" w:cs="仿宋"/>
          <w:b w:val="0"/>
          <w:bCs/>
          <w:color w:val="auto"/>
          <w:sz w:val="32"/>
          <w:szCs w:val="32"/>
          <w:lang w:eastAsia="zh-CN"/>
        </w:rPr>
        <w:t>车辆维修维护费等</w:t>
      </w:r>
      <w:r>
        <w:rPr>
          <w:rFonts w:hint="eastAsia" w:ascii="仿宋" w:hAnsi="仿宋" w:eastAsia="仿宋" w:cs="仿宋"/>
          <w:color w:val="auto"/>
          <w:sz w:val="32"/>
          <w:szCs w:val="32"/>
        </w:rPr>
        <w:t>。</w:t>
      </w:r>
    </w:p>
    <w:p w14:paraId="314933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公务用车购置及运行维护费支出决算数</w:t>
      </w:r>
      <w:r>
        <w:rPr>
          <w:rFonts w:hint="eastAsia" w:ascii="仿宋" w:hAnsi="仿宋" w:eastAsia="仿宋" w:cs="仿宋"/>
          <w:color w:val="auto"/>
          <w:sz w:val="32"/>
          <w:szCs w:val="32"/>
        </w:rPr>
        <w:t>比预算数减少</w:t>
      </w:r>
      <w:r>
        <w:rPr>
          <w:rFonts w:hint="eastAsia" w:ascii="仿宋" w:hAnsi="仿宋" w:eastAsia="仿宋" w:cs="仿宋"/>
          <w:color w:val="auto"/>
          <w:sz w:val="32"/>
          <w:szCs w:val="32"/>
          <w:lang w:val="en-US" w:eastAsia="zh-CN"/>
        </w:rPr>
        <w:t>1.97</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完成预算的76.61</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w:t>
      </w:r>
      <w:r>
        <w:rPr>
          <w:rFonts w:hint="eastAsia" w:ascii="仿宋" w:hAnsi="仿宋" w:eastAsia="仿宋" w:cs="仿宋"/>
          <w:bCs/>
          <w:color w:val="auto"/>
          <w:sz w:val="32"/>
          <w:szCs w:val="32"/>
        </w:rPr>
        <w:t>公务用车购置及运行维护费</w:t>
      </w:r>
      <w:r>
        <w:rPr>
          <w:rFonts w:hint="eastAsia" w:ascii="仿宋" w:hAnsi="仿宋" w:eastAsia="仿宋" w:cs="仿宋"/>
          <w:color w:val="auto"/>
          <w:sz w:val="32"/>
          <w:szCs w:val="32"/>
        </w:rPr>
        <w:t>支出减少</w:t>
      </w:r>
      <w:r>
        <w:rPr>
          <w:rFonts w:hint="eastAsia" w:ascii="仿宋" w:hAnsi="仿宋" w:eastAsia="仿宋" w:cs="仿宋"/>
          <w:color w:val="auto"/>
          <w:sz w:val="32"/>
          <w:szCs w:val="32"/>
          <w:lang w:val="en-US" w:eastAsia="zh-CN"/>
        </w:rPr>
        <w:t>1.97</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23.39</w:t>
      </w:r>
      <w:r>
        <w:rPr>
          <w:rFonts w:hint="eastAsia" w:ascii="仿宋" w:hAnsi="仿宋" w:eastAsia="仿宋" w:cs="仿宋"/>
          <w:color w:val="auto"/>
          <w:sz w:val="32"/>
          <w:szCs w:val="32"/>
        </w:rPr>
        <w:t>%，主要原因是</w:t>
      </w:r>
      <w:r>
        <w:rPr>
          <w:rFonts w:hint="eastAsia" w:ascii="仿宋_GB2312" w:hAnsi="ˎ̥" w:eastAsia="仿宋_GB2312"/>
          <w:color w:val="auto"/>
          <w:sz w:val="32"/>
          <w:szCs w:val="32"/>
          <w:highlight w:val="none"/>
          <w:lang w:val="en-US" w:eastAsia="zh-CN"/>
        </w:rPr>
        <w:t>中央八项规定精神严格落实，预算管理制度强化以及厉行节约政策的持续推进</w:t>
      </w:r>
      <w:r>
        <w:rPr>
          <w:rFonts w:hint="eastAsia" w:ascii="仿宋" w:hAnsi="仿宋" w:eastAsia="仿宋" w:cs="仿宋"/>
          <w:color w:val="auto"/>
          <w:sz w:val="32"/>
          <w:szCs w:val="32"/>
        </w:rPr>
        <w:t>。</w:t>
      </w:r>
    </w:p>
    <w:p w14:paraId="4815CAD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3.公务接待费</w:t>
      </w:r>
      <w:r>
        <w:rPr>
          <w:rFonts w:hint="eastAsia" w:ascii="仿宋" w:hAnsi="仿宋" w:eastAsia="仿宋" w:cs="仿宋"/>
          <w:b w:val="0"/>
          <w:bCs/>
          <w:color w:val="auto"/>
          <w:sz w:val="32"/>
          <w:szCs w:val="32"/>
        </w:rPr>
        <w:t>支出</w:t>
      </w:r>
      <w:r>
        <w:rPr>
          <w:rFonts w:hint="eastAsia" w:ascii="仿宋" w:hAnsi="仿宋" w:eastAsia="仿宋" w:cs="仿宋"/>
          <w:color w:val="auto"/>
          <w:sz w:val="32"/>
          <w:szCs w:val="32"/>
          <w:lang w:val="en-US"/>
        </w:rPr>
        <w:t>0.19</w:t>
      </w:r>
      <w:r>
        <w:rPr>
          <w:rFonts w:hint="eastAsia" w:ascii="仿宋" w:hAnsi="仿宋" w:eastAsia="仿宋" w:cs="仿宋"/>
          <w:color w:val="auto"/>
          <w:sz w:val="32"/>
          <w:szCs w:val="32"/>
        </w:rPr>
        <w:t>万元，其中：</w:t>
      </w:r>
    </w:p>
    <w:p w14:paraId="0444BB1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国内接待费</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0.19</w:t>
      </w:r>
      <w:r>
        <w:rPr>
          <w:rFonts w:hint="eastAsia" w:ascii="仿宋" w:hAnsi="仿宋" w:eastAsia="仿宋" w:cs="仿宋"/>
          <w:color w:val="auto"/>
          <w:sz w:val="32"/>
          <w:szCs w:val="32"/>
        </w:rPr>
        <w:t>万元，国内公务接待</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批次，接待</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人次；主要用于</w:t>
      </w:r>
      <w:r>
        <w:rPr>
          <w:rFonts w:hint="eastAsia" w:ascii="仿宋_GB2312" w:hAnsi="ˎ̥" w:eastAsia="仿宋_GB2312"/>
          <w:color w:val="auto"/>
          <w:sz w:val="32"/>
          <w:szCs w:val="32"/>
          <w:lang w:eastAsia="zh-CN"/>
        </w:rPr>
        <w:t>业务工作接待费</w:t>
      </w:r>
      <w:r>
        <w:rPr>
          <w:rFonts w:hint="eastAsia" w:ascii="仿宋" w:hAnsi="仿宋" w:eastAsia="仿宋" w:cs="仿宋"/>
          <w:color w:val="auto"/>
          <w:sz w:val="32"/>
          <w:szCs w:val="32"/>
        </w:rPr>
        <w:t>。</w:t>
      </w:r>
    </w:p>
    <w:p w14:paraId="4AC126C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国（境）外接待费</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万元，国（境）外公务接待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批次</w:t>
      </w:r>
      <w:r>
        <w:rPr>
          <w:rFonts w:hint="eastAsia" w:ascii="仿宋" w:hAnsi="仿宋" w:eastAsia="仿宋" w:cs="仿宋"/>
          <w:sz w:val="32"/>
          <w:szCs w:val="32"/>
        </w:rPr>
        <w:t>，接</w:t>
      </w:r>
      <w:r>
        <w:rPr>
          <w:rFonts w:hint="eastAsia" w:ascii="仿宋" w:hAnsi="仿宋" w:eastAsia="仿宋" w:cs="仿宋"/>
          <w:color w:val="auto"/>
          <w:sz w:val="32"/>
          <w:szCs w:val="32"/>
        </w:rPr>
        <w:t>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w:t>
      </w:r>
    </w:p>
    <w:p w14:paraId="5D95B4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color w:val="auto"/>
          <w:sz w:val="32"/>
          <w:szCs w:val="32"/>
        </w:rPr>
        <w:t>公务接待费支出决算数比预算数减少</w:t>
      </w:r>
      <w:r>
        <w:rPr>
          <w:rFonts w:hint="eastAsia" w:ascii="仿宋" w:hAnsi="仿宋" w:eastAsia="仿宋" w:cs="仿宋"/>
          <w:color w:val="auto"/>
          <w:sz w:val="32"/>
          <w:szCs w:val="32"/>
          <w:lang w:val="en-US" w:eastAsia="zh-CN"/>
        </w:rPr>
        <w:t>0.31</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完成预算的38</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w:t>
      </w:r>
      <w:r>
        <w:rPr>
          <w:rFonts w:hint="eastAsia" w:ascii="仿宋" w:hAnsi="仿宋" w:eastAsia="仿宋" w:cs="仿宋"/>
          <w:bCs/>
          <w:color w:val="auto"/>
          <w:sz w:val="32"/>
          <w:szCs w:val="32"/>
        </w:rPr>
        <w:t>公务接待费</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没发生变化</w:t>
      </w:r>
      <w:r>
        <w:rPr>
          <w:rFonts w:hint="eastAsia" w:ascii="仿宋" w:hAnsi="仿宋" w:eastAsia="仿宋" w:cs="仿宋"/>
          <w:color w:val="auto"/>
          <w:sz w:val="32"/>
          <w:szCs w:val="32"/>
        </w:rPr>
        <w:t>，主要原因是</w:t>
      </w:r>
      <w:r>
        <w:rPr>
          <w:rFonts w:hint="eastAsia" w:ascii="仿宋_GB2312" w:hAnsi="ˎ̥" w:eastAsia="仿宋_GB2312"/>
          <w:color w:val="auto"/>
          <w:sz w:val="32"/>
          <w:szCs w:val="32"/>
          <w:highlight w:val="none"/>
          <w:lang w:val="en-US" w:eastAsia="zh-CN"/>
        </w:rPr>
        <w:t>中央八项规定精神严格落实，预算管理制度强化以及厉行节约政策的持续推进</w:t>
      </w:r>
      <w:r>
        <w:rPr>
          <w:rFonts w:hint="eastAsia" w:ascii="仿宋" w:hAnsi="仿宋" w:eastAsia="仿宋" w:cs="仿宋"/>
          <w:sz w:val="32"/>
          <w:szCs w:val="32"/>
        </w:rPr>
        <w:t>。</w:t>
      </w:r>
    </w:p>
    <w:p w14:paraId="3B8181B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14:paraId="16F958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（一）绩效管理工作开展情况</w:t>
      </w:r>
    </w:p>
    <w:p w14:paraId="0DA4C82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根据预算管理要求，我单位组织对</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年度一般公共预算项目支出全面开展绩效自评</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val="en-US" w:eastAsia="zh-CN"/>
        </w:rPr>
        <w:t>共涉及资金405.72万元，占一般公共预算项目支出总额的14.07%</w:t>
      </w:r>
      <w:r>
        <w:rPr>
          <w:rFonts w:hint="eastAsia" w:ascii="仿宋" w:hAnsi="仿宋" w:eastAsia="仿宋" w:cs="仿宋"/>
          <w:color w:val="auto"/>
          <w:sz w:val="32"/>
          <w:szCs w:val="32"/>
        </w:rPr>
        <w:t>。</w:t>
      </w:r>
    </w:p>
    <w:p w14:paraId="16FFC1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bCs/>
          <w:sz w:val="32"/>
          <w:szCs w:val="32"/>
        </w:rPr>
      </w:pPr>
      <w:r>
        <w:rPr>
          <w:rFonts w:hint="eastAsia" w:ascii="楷体" w:hAnsi="楷体" w:eastAsia="楷体" w:cs="楷体"/>
          <w:bCs/>
          <w:sz w:val="32"/>
          <w:szCs w:val="32"/>
        </w:rPr>
        <w:t>（二）部门决算中项目绩效自评结果（预算部门、单位可根据实际情况反映重点项目绩效自评结果）</w:t>
      </w:r>
    </w:p>
    <w:p w14:paraId="0BA4C591">
      <w:pPr>
        <w:spacing w:line="578"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我单位在部门决算中反映</w:t>
      </w:r>
      <w:r>
        <w:rPr>
          <w:rFonts w:hint="eastAsia" w:ascii="仿宋_GB2312" w:eastAsia="仿宋_GB2312"/>
          <w:color w:val="auto"/>
          <w:sz w:val="32"/>
          <w:szCs w:val="32"/>
          <w:lang w:val="en-US" w:eastAsia="zh-CN"/>
        </w:rPr>
        <w:t>动物“疫病防控经费</w:t>
      </w:r>
      <w:r>
        <w:rPr>
          <w:rFonts w:hint="eastAsia" w:ascii="仿宋_GB2312" w:eastAsia="仿宋_GB2312"/>
          <w:color w:val="auto"/>
          <w:sz w:val="32"/>
          <w:szCs w:val="32"/>
        </w:rPr>
        <w:t>项目</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1个</w:t>
      </w:r>
      <w:r>
        <w:rPr>
          <w:rFonts w:hint="eastAsia" w:ascii="仿宋_GB2312" w:eastAsia="仿宋_GB2312"/>
          <w:color w:val="auto"/>
          <w:sz w:val="32"/>
          <w:szCs w:val="32"/>
        </w:rPr>
        <w:t>绩效自评结果。</w:t>
      </w:r>
    </w:p>
    <w:p w14:paraId="35E5BFD5">
      <w:pPr>
        <w:spacing w:line="578"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动物疫病防控经费</w:t>
      </w:r>
      <w:r>
        <w:rPr>
          <w:rFonts w:hint="eastAsia" w:ascii="仿宋_GB2312" w:eastAsia="仿宋_GB2312"/>
          <w:color w:val="auto"/>
          <w:sz w:val="32"/>
          <w:szCs w:val="32"/>
        </w:rPr>
        <w:t>项目绩效自评表：</w:t>
      </w:r>
      <w:r>
        <w:rPr>
          <w:rFonts w:hint="eastAsia" w:ascii="仿宋_GB2312" w:eastAsia="仿宋_GB2312"/>
          <w:color w:val="auto"/>
          <w:sz w:val="32"/>
          <w:szCs w:val="32"/>
          <w:lang w:eastAsia="zh-CN"/>
        </w:rPr>
        <w:t>自评表见附件</w:t>
      </w:r>
      <w:r>
        <w:rPr>
          <w:rFonts w:hint="eastAsia" w:ascii="仿宋_GB2312" w:eastAsia="仿宋_GB2312"/>
          <w:color w:val="auto"/>
          <w:sz w:val="32"/>
          <w:szCs w:val="32"/>
          <w:lang w:val="en-US" w:eastAsia="zh-CN"/>
        </w:rPr>
        <w:t>2</w:t>
      </w:r>
    </w:p>
    <w:p w14:paraId="08214F57">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rPr>
          <w:rFonts w:hint="default" w:ascii="Times New Roman" w:hAnsi="Times New Roman" w:eastAsia="仿宋" w:cs="Times New Roman"/>
          <w:color w:val="auto"/>
          <w:sz w:val="32"/>
          <w:szCs w:val="32"/>
          <w:lang w:val="en-US" w:eastAsia="zh-CN"/>
        </w:rPr>
      </w:pPr>
      <w:r>
        <w:rPr>
          <w:rFonts w:hint="eastAsia" w:ascii="仿宋_GB2312" w:eastAsia="仿宋_GB2312"/>
          <w:color w:val="auto"/>
          <w:sz w:val="32"/>
          <w:szCs w:val="32"/>
          <w:lang w:val="en-US" w:eastAsia="zh-CN"/>
        </w:rPr>
        <w:t>动物疫病防控经费</w:t>
      </w:r>
      <w:r>
        <w:rPr>
          <w:rFonts w:hint="eastAsia" w:ascii="仿宋_GB2312" w:eastAsia="仿宋_GB2312"/>
          <w:color w:val="auto"/>
          <w:sz w:val="32"/>
          <w:szCs w:val="32"/>
        </w:rPr>
        <w:t>项目绩效自评报告：根据年初设定的绩效目标，项目绩效自评得分为</w:t>
      </w:r>
      <w:r>
        <w:rPr>
          <w:rFonts w:hint="eastAsia" w:ascii="仿宋_GB2312" w:eastAsia="仿宋_GB2312"/>
          <w:color w:val="auto"/>
          <w:sz w:val="32"/>
          <w:szCs w:val="32"/>
          <w:lang w:val="en-US" w:eastAsia="zh-CN"/>
        </w:rPr>
        <w:t>99.29</w:t>
      </w:r>
      <w:r>
        <w:rPr>
          <w:rFonts w:hint="eastAsia" w:ascii="仿宋_GB2312" w:eastAsia="仿宋_GB2312"/>
          <w:color w:val="auto"/>
          <w:sz w:val="32"/>
          <w:szCs w:val="32"/>
        </w:rPr>
        <w:t>分。全年预算数为</w:t>
      </w:r>
      <w:r>
        <w:rPr>
          <w:rFonts w:hint="eastAsia" w:ascii="仿宋_GB2312" w:eastAsia="仿宋_GB2312"/>
          <w:color w:val="auto"/>
          <w:sz w:val="32"/>
          <w:szCs w:val="32"/>
          <w:lang w:val="en-US" w:eastAsia="zh-CN"/>
        </w:rPr>
        <w:t>405.72</w:t>
      </w:r>
      <w:r>
        <w:rPr>
          <w:rFonts w:hint="eastAsia" w:ascii="仿宋_GB2312" w:eastAsia="仿宋_GB2312"/>
          <w:color w:val="auto"/>
          <w:sz w:val="32"/>
          <w:szCs w:val="32"/>
        </w:rPr>
        <w:t>万元，执行数为</w:t>
      </w:r>
      <w:r>
        <w:rPr>
          <w:rFonts w:hint="eastAsia" w:ascii="仿宋_GB2312" w:eastAsia="仿宋_GB2312"/>
          <w:color w:val="auto"/>
          <w:sz w:val="32"/>
          <w:szCs w:val="32"/>
          <w:lang w:val="en-US" w:eastAsia="zh-CN"/>
        </w:rPr>
        <w:t>376.85</w:t>
      </w:r>
      <w:r>
        <w:rPr>
          <w:rFonts w:hint="eastAsia" w:ascii="仿宋_GB2312" w:eastAsia="仿宋_GB2312"/>
          <w:color w:val="auto"/>
          <w:sz w:val="32"/>
          <w:szCs w:val="32"/>
        </w:rPr>
        <w:t>万元，完成预算的</w:t>
      </w:r>
      <w:r>
        <w:rPr>
          <w:rFonts w:hint="eastAsia" w:ascii="仿宋_GB2312" w:eastAsia="仿宋_GB2312"/>
          <w:color w:val="auto"/>
          <w:sz w:val="32"/>
          <w:szCs w:val="32"/>
          <w:lang w:val="en-US" w:eastAsia="zh-CN"/>
        </w:rPr>
        <w:t>92.88</w:t>
      </w:r>
      <w:r>
        <w:rPr>
          <w:rFonts w:hint="eastAsia" w:ascii="仿宋_GB2312" w:eastAsia="仿宋_GB2312"/>
          <w:color w:val="auto"/>
          <w:sz w:val="32"/>
          <w:szCs w:val="32"/>
        </w:rPr>
        <w:t>%。项目绩效目标完成情况：</w:t>
      </w:r>
      <w:r>
        <w:rPr>
          <w:rFonts w:hint="default" w:ascii="Times New Roman" w:hAnsi="Times New Roman" w:eastAsia="仿宋" w:cs="Times New Roman"/>
          <w:color w:val="auto"/>
          <w:sz w:val="32"/>
          <w:szCs w:val="32"/>
        </w:rPr>
        <w:t>一是完成劳务派遣人员43人的工资发放；二是完成检查站监督执法人员业务培训，进一步提升基层工作水平。三是提升动物检疫信息化服务能力建设。对当前使用的动物检疫合格证明电子出证系统进行升级完善，设立了线上动物检疫申报窗口，建立动物合格证明信息和车辆备案信息公众查询服务平台，真正做到便民利民；四是强化动物检疫业务培训。</w:t>
      </w:r>
      <w:r>
        <w:rPr>
          <w:rFonts w:hint="eastAsia" w:ascii="Times New Roman" w:hAnsi="Times New Roman" w:eastAsia="仿宋" w:cs="Times New Roman"/>
          <w:color w:val="auto"/>
          <w:sz w:val="32"/>
          <w:szCs w:val="32"/>
          <w:lang w:val="en-US" w:eastAsia="zh-CN"/>
        </w:rPr>
        <w:t>五是</w:t>
      </w:r>
      <w:r>
        <w:rPr>
          <w:rFonts w:hint="eastAsia" w:ascii="Times New Roman" w:hAnsi="Times New Roman" w:eastAsia="仿宋" w:cs="Times New Roman"/>
          <w:color w:val="auto"/>
          <w:sz w:val="32"/>
          <w:szCs w:val="32"/>
          <w:lang w:val="en-US" w:eastAsia="zh-CN"/>
        </w:rPr>
        <w:t>根据厅里工作部署推进省际动物卫生监督检查站建设项目（徐闻物流园）建设，2025年底已建成并投入使用。</w:t>
      </w:r>
    </w:p>
    <w:p w14:paraId="11CE76C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 w:cs="Times New Roman"/>
          <w:color w:val="auto"/>
          <w:sz w:val="32"/>
          <w:szCs w:val="32"/>
          <w:lang w:val="en-US"/>
        </w:rPr>
      </w:pPr>
      <w:r>
        <w:rPr>
          <w:rFonts w:hint="eastAsia" w:ascii="Times New Roman" w:hAnsi="Times New Roman" w:eastAsia="仿宋" w:cs="Times New Roman"/>
          <w:color w:val="auto"/>
          <w:sz w:val="32"/>
          <w:szCs w:val="32"/>
        </w:rPr>
        <w:t>发现的主要问题及原因：一是基层动物检疫队伍业务素质有待提高。基层官方兽医队伍整体业务素质水平不高，老龄化程度较大，职业道德水平和专业知识水平亟待提高。部分官方兽医在产地检疫、屠宰检疫、监督指导无害化处理工作中，存在专业理论知识和专业技术水平不精，工作能力不强等问题，综合素质能力有待提高；二是</w:t>
      </w:r>
      <w:r>
        <w:rPr>
          <w:rFonts w:hint="eastAsia" w:ascii="Times New Roman" w:hAnsi="Times New Roman" w:eastAsia="仿宋" w:cs="Times New Roman"/>
          <w:color w:val="auto"/>
          <w:sz w:val="32"/>
          <w:szCs w:val="32"/>
          <w:lang w:val="en-US" w:eastAsia="zh-CN"/>
        </w:rPr>
        <w:t>省际检查站属地管理推进缓慢。《海南省无规定动物疫病区管理条例》于2024年10月1日起施行，我所已与市县做好交接工作，但由于市县人员、资金等一时无法解决，导致市县目前没有能力承接省际检查站的管理工作，省际检查站属地管理推进缓慢</w:t>
      </w:r>
      <w:r>
        <w:rPr>
          <w:rFonts w:hint="eastAsia" w:eastAsia="仿宋" w:cs="Times New Roman"/>
          <w:color w:val="auto"/>
          <w:sz w:val="32"/>
          <w:szCs w:val="32"/>
          <w:lang w:val="en-US" w:eastAsia="zh-CN"/>
        </w:rPr>
        <w:t>。</w:t>
      </w:r>
    </w:p>
    <w:p w14:paraId="222D15DA">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rPr>
          <w:rFonts w:hint="default"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rPr>
        <w:t>下一步改进措施：一是进一步规范动物检疫管理，开展新版《动物检疫管理办法》宣贯工作，提高基层官方兽医队伍的理论水平和实践能力。二是开展全省动物检疫技能竞赛，以赛促业务水平稳步提升，为基层锻炼一支高素质、强技能、有活力的动物检疫队伍。三是组建省级官方兽医师资队伍，发挥传帮带作用，提升基层官方兽医能力水平。四是常态化开展监督执法业务培训，通过理论学习、案例分析、实操演练等形式，提升动物卫生监督执法队伍素质。</w:t>
      </w:r>
      <w:r>
        <w:rPr>
          <w:rFonts w:hint="eastAsia" w:eastAsia="仿宋" w:cs="Times New Roman"/>
          <w:color w:val="auto"/>
          <w:sz w:val="32"/>
          <w:szCs w:val="32"/>
          <w:lang w:val="en-US" w:eastAsia="zh-CN"/>
        </w:rPr>
        <w:t>五</w:t>
      </w:r>
      <w:r>
        <w:rPr>
          <w:rFonts w:hint="eastAsia" w:ascii="Times New Roman" w:hAnsi="Times New Roman" w:eastAsia="仿宋" w:cs="Times New Roman"/>
          <w:color w:val="auto"/>
          <w:sz w:val="32"/>
          <w:szCs w:val="32"/>
          <w:lang w:val="en-US" w:eastAsia="zh-CN"/>
        </w:rPr>
        <w:t>是争取财政资金，协同代管单位加快推动海口动物隔离场项目建设。</w:t>
      </w:r>
    </w:p>
    <w:p w14:paraId="3A9BED1D">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部门评价结果</w:t>
      </w:r>
    </w:p>
    <w:p w14:paraId="7D55DE39">
      <w:pPr>
        <w:keepNext w:val="0"/>
        <w:keepLines w:val="0"/>
        <w:pageBreakBefore w:val="0"/>
        <w:widowControl w:val="0"/>
        <w:numPr>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yellow"/>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52EA427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（四）财政评价结果</w:t>
      </w:r>
    </w:p>
    <w:p w14:paraId="35D200A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2488CE3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lang w:val="zh-CN"/>
        </w:rPr>
      </w:pPr>
      <w:r>
        <w:rPr>
          <w:rFonts w:hint="eastAsia" w:ascii="黑体" w:hAnsi="黑体" w:eastAsia="黑体" w:cs="黑体"/>
          <w:bCs/>
          <w:sz w:val="32"/>
          <w:szCs w:val="32"/>
          <w:lang w:val="zh-CN"/>
        </w:rPr>
        <w:t>十一、落实习惯过紧日子要求、保障重点支出情况说明</w:t>
      </w:r>
    </w:p>
    <w:p w14:paraId="224973F4">
      <w:pPr>
        <w:numPr>
          <w:numId w:val="0"/>
        </w:numPr>
        <w:spacing w:after="0" w:line="590" w:lineRule="exact"/>
        <w:ind w:firstLine="640" w:firstLineChars="200"/>
        <w:jc w:val="both"/>
        <w:rPr>
          <w:rFonts w:ascii="Times New Roman" w:hAnsi="Times New Roman" w:eastAsia="仿宋" w:cs="Times New Roman"/>
          <w:color w:val="000000"/>
          <w:sz w:val="32"/>
          <w:szCs w:val="32"/>
        </w:rPr>
      </w:pPr>
      <w:r>
        <w:rPr>
          <w:rFonts w:hint="eastAsia" w:ascii="仿宋" w:hAnsi="仿宋" w:eastAsia="仿宋" w:cs="仿宋"/>
          <w:color w:val="auto"/>
          <w:sz w:val="32"/>
          <w:szCs w:val="32"/>
          <w:lang w:val="zh-CN"/>
        </w:rPr>
        <w:t>按照党中央、国务院关于党政机关习惯过紧日子的有关要求，厉行节约办一切事业，严控一般性支出。</w:t>
      </w:r>
      <w:r>
        <w:rPr>
          <w:rFonts w:hint="eastAsia" w:ascii="仿宋" w:hAnsi="仿宋" w:eastAsia="仿宋" w:cs="仿宋"/>
          <w:color w:val="auto"/>
          <w:sz w:val="32"/>
          <w:szCs w:val="32"/>
          <w:lang w:val="zh-CN" w:eastAsia="zh-CN"/>
        </w:rPr>
        <w:t>在日常办公过程中，严格控制办公耗材的使用，减少不必要的培训和活动开支，精简文件印发数量等。</w:t>
      </w:r>
      <w:r>
        <w:rPr>
          <w:rFonts w:hint="eastAsia" w:ascii="仿宋" w:hAnsi="仿宋" w:eastAsia="仿宋" w:cs="仿宋"/>
          <w:color w:val="auto"/>
          <w:sz w:val="32"/>
          <w:szCs w:val="32"/>
          <w:lang w:val="zh-CN"/>
        </w:rPr>
        <w:t>同时坚持有保有压，优化支出结构，提高资金使用效率，合理保障业务工作等重点支出，体现在有关支出科目中。二是在</w:t>
      </w:r>
      <w:r>
        <w:rPr>
          <w:rFonts w:hint="eastAsia" w:ascii="仿宋" w:hAnsi="仿宋" w:eastAsia="仿宋" w:cs="仿宋"/>
          <w:color w:val="auto"/>
          <w:sz w:val="32"/>
          <w:szCs w:val="32"/>
          <w:lang w:val="zh-CN" w:eastAsia="zh-CN"/>
        </w:rPr>
        <w:t>一般公共预算支出方面</w:t>
      </w: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en-US" w:eastAsia="zh-CN"/>
        </w:rPr>
        <w:t>动物疫病防控经费</w:t>
      </w:r>
      <w:r>
        <w:rPr>
          <w:rFonts w:hint="eastAsia" w:ascii="仿宋" w:hAnsi="仿宋" w:eastAsia="仿宋" w:cs="仿宋"/>
          <w:color w:val="auto"/>
          <w:sz w:val="32"/>
          <w:szCs w:val="32"/>
          <w:lang w:val="zh-CN"/>
        </w:rPr>
        <w:t>的支出占财政拨款支出总额的比重较高，主要是：</w:t>
      </w:r>
      <w:r>
        <w:rPr>
          <w:rFonts w:hint="eastAsia" w:ascii="仿宋" w:hAnsi="仿宋" w:eastAsia="仿宋" w:cs="仿宋"/>
          <w:color w:val="auto"/>
          <w:sz w:val="32"/>
          <w:szCs w:val="32"/>
          <w:lang w:val="en-US" w:eastAsia="zh-CN"/>
        </w:rPr>
        <w:t>劳务派遣人员工资发放；</w:t>
      </w:r>
      <w:r>
        <w:rPr>
          <w:rFonts w:hint="eastAsia" w:ascii="仿宋" w:hAnsi="仿宋" w:eastAsia="仿宋" w:cs="仿宋"/>
          <w:color w:val="auto"/>
          <w:sz w:val="32"/>
          <w:szCs w:val="32"/>
          <w:lang w:val="zh-CN"/>
        </w:rPr>
        <w:t>2025年度决算数为</w:t>
      </w:r>
      <w:r>
        <w:rPr>
          <w:rFonts w:hint="eastAsia" w:ascii="仿宋" w:hAnsi="仿宋" w:eastAsia="仿宋" w:cs="仿宋"/>
          <w:color w:val="auto"/>
          <w:sz w:val="32"/>
          <w:szCs w:val="32"/>
          <w:lang w:val="en-US" w:eastAsia="zh-CN"/>
        </w:rPr>
        <w:t>405.69</w:t>
      </w:r>
      <w:r>
        <w:rPr>
          <w:rFonts w:hint="eastAsia" w:ascii="仿宋" w:hAnsi="仿宋" w:eastAsia="仿宋" w:cs="仿宋"/>
          <w:color w:val="auto"/>
          <w:sz w:val="32"/>
          <w:szCs w:val="32"/>
          <w:lang w:val="zh-CN"/>
        </w:rPr>
        <w:t>万元，占财政拨款支出总额的</w:t>
      </w:r>
      <w:r>
        <w:rPr>
          <w:rFonts w:hint="eastAsia" w:ascii="仿宋" w:hAnsi="仿宋" w:eastAsia="仿宋" w:cs="仿宋"/>
          <w:color w:val="auto"/>
          <w:sz w:val="32"/>
          <w:szCs w:val="32"/>
          <w:lang w:val="en-US" w:eastAsia="zh-CN"/>
        </w:rPr>
        <w:t>14.07</w:t>
      </w:r>
      <w:r>
        <w:rPr>
          <w:rFonts w:hint="eastAsia" w:ascii="仿宋" w:hAnsi="仿宋" w:eastAsia="仿宋" w:cs="仿宋"/>
          <w:color w:val="auto"/>
          <w:sz w:val="32"/>
          <w:szCs w:val="32"/>
          <w:lang w:val="zh-CN"/>
        </w:rPr>
        <w:t>%，主要用于</w:t>
      </w:r>
      <w:r>
        <w:rPr>
          <w:rFonts w:hint="eastAsia" w:ascii="仿宋" w:hAnsi="仿宋" w:eastAsia="仿宋" w:cs="仿宋"/>
          <w:color w:val="auto"/>
          <w:sz w:val="32"/>
          <w:szCs w:val="32"/>
          <w:lang w:val="en-US" w:eastAsia="zh-CN"/>
        </w:rPr>
        <w:t>劳务派遣人员43人工资发放等</w:t>
      </w:r>
      <w:r>
        <w:rPr>
          <w:rFonts w:hint="eastAsia" w:ascii="仿宋" w:hAnsi="仿宋" w:eastAsia="仿宋" w:cs="仿宋"/>
          <w:color w:val="auto"/>
          <w:sz w:val="32"/>
          <w:szCs w:val="32"/>
          <w:lang w:val="zh-CN"/>
        </w:rPr>
        <w:t>支出。</w:t>
      </w:r>
      <w:r>
        <w:rPr>
          <w:rFonts w:hint="eastAsia" w:ascii="仿宋" w:hAnsi="仿宋" w:eastAsia="仿宋" w:cs="仿宋"/>
          <w:color w:val="auto"/>
          <w:sz w:val="32"/>
          <w:szCs w:val="32"/>
        </w:rPr>
        <w:t>通过项目实施</w:t>
      </w:r>
      <w:r>
        <w:rPr>
          <w:rFonts w:ascii="Times New Roman" w:hAnsi="Times New Roman" w:eastAsia="仿宋" w:cs="Times New Roman"/>
          <w:sz w:val="32"/>
          <w:szCs w:val="32"/>
        </w:rPr>
        <w:t>完成后，</w:t>
      </w:r>
      <w:r>
        <w:rPr>
          <w:rFonts w:ascii="Times New Roman" w:hAnsi="Times New Roman" w:eastAsia="仿宋" w:cs="Times New Roman"/>
          <w:color w:val="000000"/>
          <w:sz w:val="32"/>
          <w:szCs w:val="32"/>
        </w:rPr>
        <w:t>将</w:t>
      </w:r>
      <w:r>
        <w:rPr>
          <w:rFonts w:ascii="Times New Roman" w:hAnsi="Times New Roman" w:eastAsia="仿宋" w:cs="Times New Roman"/>
          <w:sz w:val="32"/>
          <w:szCs w:val="32"/>
        </w:rPr>
        <w:t>进一步提升我省动物卫生监督执法能力和水平，加强对引入省外动物及动物产品和出岛生猪等畜产品的检疫监管和偷运省外活体肉用动物等违法违规行为的整治打击，</w:t>
      </w:r>
      <w:r>
        <w:rPr>
          <w:rFonts w:ascii="Times New Roman" w:hAnsi="Times New Roman" w:eastAsia="仿宋" w:cs="Times New Roman"/>
          <w:color w:val="000000"/>
          <w:sz w:val="32"/>
          <w:szCs w:val="32"/>
        </w:rPr>
        <w:t>严防省外动物疫病传入我省，确保海南无疫区安全，维护海南无疫区的品牌。</w:t>
      </w:r>
    </w:p>
    <w:p w14:paraId="7FDC30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w:t>
      </w:r>
      <w:r>
        <w:rPr>
          <w:rFonts w:hint="eastAsia" w:ascii="黑体" w:hAnsi="黑体" w:eastAsia="黑体" w:cs="黑体"/>
          <w:bCs/>
          <w:sz w:val="32"/>
          <w:szCs w:val="32"/>
          <w:lang w:val="en-US" w:eastAsia="zh-CN"/>
        </w:rPr>
        <w:t>二</w:t>
      </w:r>
      <w:r>
        <w:rPr>
          <w:rFonts w:hint="eastAsia" w:ascii="黑体" w:hAnsi="黑体" w:eastAsia="黑体" w:cs="黑体"/>
          <w:bCs/>
          <w:sz w:val="32"/>
          <w:szCs w:val="32"/>
        </w:rPr>
        <w:t>、其他重要事项情况说明</w:t>
      </w:r>
    </w:p>
    <w:p w14:paraId="42D67D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5" w:name="_Toc18325_WPSOffice_Level2"/>
      <w:bookmarkStart w:id="96" w:name="_Toc15565_WPSOffice_Level2"/>
      <w:bookmarkStart w:id="97" w:name="_Toc5978_WPSOffice_Level2"/>
      <w:bookmarkStart w:id="98" w:name="_Toc23598_WPSOffice_Level2"/>
      <w:bookmarkStart w:id="99" w:name="_Toc15262_WPSOffice_Level2"/>
      <w:bookmarkStart w:id="100" w:name="_Toc32639_WPSOffice_Level2"/>
      <w:r>
        <w:rPr>
          <w:rFonts w:hint="eastAsia" w:ascii="楷体" w:hAnsi="楷体" w:eastAsia="楷体" w:cs="楷体"/>
          <w:bCs/>
          <w:sz w:val="32"/>
          <w:szCs w:val="32"/>
        </w:rPr>
        <w:t>（一）机关运行经费支出情况</w:t>
      </w:r>
      <w:bookmarkEnd w:id="95"/>
      <w:bookmarkEnd w:id="96"/>
      <w:bookmarkEnd w:id="97"/>
      <w:bookmarkEnd w:id="98"/>
      <w:bookmarkEnd w:id="99"/>
      <w:bookmarkEnd w:id="100"/>
    </w:p>
    <w:p w14:paraId="7E039D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bookmarkStart w:id="101" w:name="_Toc25333_WPSOffice_Level2"/>
      <w:bookmarkStart w:id="102" w:name="_Toc30383_WPSOffice_Level2"/>
      <w:bookmarkStart w:id="103" w:name="_Toc23966_WPSOffice_Level2"/>
      <w:bookmarkStart w:id="104" w:name="_Toc3131_WPSOffice_Level2"/>
      <w:bookmarkStart w:id="105" w:name="_Toc13084_WPSOffice_Level2"/>
      <w:bookmarkStart w:id="106" w:name="_Toc32689_WPSOffice_Level2"/>
      <w:r>
        <w:rPr>
          <w:rFonts w:hint="eastAsia" w:ascii="仿宋" w:hAnsi="仿宋" w:eastAsia="仿宋" w:cs="仿宋"/>
          <w:color w:val="auto"/>
          <w:sz w:val="32"/>
          <w:szCs w:val="32"/>
          <w:lang w:val="en-US"/>
        </w:rPr>
        <w:t>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我单位是公益一类的事业单位，没有机关运行经费支出</w:t>
      </w:r>
      <w:r>
        <w:rPr>
          <w:rFonts w:hint="eastAsia" w:ascii="仿宋" w:hAnsi="仿宋" w:eastAsia="仿宋" w:cs="仿宋"/>
          <w:color w:val="auto"/>
          <w:sz w:val="32"/>
          <w:szCs w:val="32"/>
        </w:rPr>
        <w:t>。</w:t>
      </w:r>
    </w:p>
    <w:p w14:paraId="32FB8A2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（二）政府采购支出情况</w:t>
      </w:r>
      <w:bookmarkEnd w:id="101"/>
      <w:bookmarkEnd w:id="102"/>
      <w:bookmarkEnd w:id="103"/>
      <w:bookmarkEnd w:id="104"/>
      <w:bookmarkEnd w:id="105"/>
      <w:bookmarkEnd w:id="106"/>
    </w:p>
    <w:p w14:paraId="12604D69">
      <w:pPr>
        <w:pStyle w:val="4"/>
        <w:numPr>
          <w:ilvl w:val="0"/>
          <w:numId w:val="0"/>
        </w:numPr>
        <w:ind w:left="0" w:leftChars="0" w:firstLine="640" w:firstLineChars="200"/>
        <w:rPr>
          <w:rFonts w:hint="eastAsia" w:ascii="仿宋" w:hAnsi="仿宋" w:eastAsia="仿宋" w:cs="仿宋"/>
          <w:color w:val="auto"/>
          <w:sz w:val="32"/>
          <w:szCs w:val="32"/>
        </w:rPr>
      </w:pPr>
      <w:bookmarkStart w:id="107" w:name="_Toc10902_WPSOffice_Level2"/>
      <w:bookmarkStart w:id="108" w:name="_Toc527_WPSOffice_Level2"/>
      <w:bookmarkStart w:id="109" w:name="_Toc15129_WPSOffice_Level2"/>
      <w:bookmarkStart w:id="110" w:name="_Toc29584_WPSOffice_Level2"/>
      <w:bookmarkStart w:id="111" w:name="_Toc6016_WPSOffice_Level2"/>
      <w:bookmarkStart w:id="112" w:name="_Toc19989_WPSOffice_Level2"/>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3061DC4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sz w:val="32"/>
          <w:szCs w:val="32"/>
        </w:rPr>
        <w:t>（三）国有资产占用情况</w:t>
      </w:r>
      <w:bookmarkEnd w:id="107"/>
      <w:bookmarkEnd w:id="108"/>
      <w:bookmarkEnd w:id="109"/>
      <w:bookmarkEnd w:id="110"/>
      <w:bookmarkEnd w:id="111"/>
      <w:bookmarkEnd w:id="112"/>
    </w:p>
    <w:p w14:paraId="4FC4FEB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bCs/>
          <w:color w:val="auto"/>
          <w:sz w:val="32"/>
          <w:szCs w:val="32"/>
        </w:rPr>
        <w:t>截至</w:t>
      </w:r>
      <w:r>
        <w:rPr>
          <w:rFonts w:hint="eastAsia" w:ascii="仿宋" w:hAnsi="仿宋" w:eastAsia="仿宋" w:cs="仿宋"/>
          <w:bCs/>
          <w:color w:val="auto"/>
          <w:sz w:val="32"/>
          <w:szCs w:val="32"/>
          <w:lang w:val="en-US"/>
        </w:rPr>
        <w:t>2025</w:t>
      </w:r>
      <w:r>
        <w:rPr>
          <w:rFonts w:hint="eastAsia" w:ascii="仿宋" w:hAnsi="仿宋" w:eastAsia="仿宋" w:cs="仿宋"/>
          <w:bCs/>
          <w:color w:val="auto"/>
          <w:sz w:val="32"/>
          <w:szCs w:val="32"/>
        </w:rPr>
        <w:t>年12月31日，本部门拥有</w:t>
      </w:r>
      <w:r>
        <w:rPr>
          <w:rFonts w:hint="eastAsia" w:ascii="仿宋" w:hAnsi="仿宋" w:eastAsia="仿宋" w:cs="仿宋"/>
          <w:color w:val="auto"/>
          <w:sz w:val="32"/>
          <w:szCs w:val="32"/>
        </w:rPr>
        <w:t>房屋面积</w:t>
      </w:r>
      <w:r>
        <w:rPr>
          <w:rFonts w:hint="eastAsia" w:ascii="仿宋" w:hAnsi="仿宋" w:eastAsia="仿宋" w:cs="仿宋"/>
          <w:color w:val="auto"/>
          <w:sz w:val="32"/>
          <w:szCs w:val="32"/>
          <w:lang w:val="en-US" w:eastAsia="zh-CN"/>
        </w:rPr>
        <w:t>2854</w:t>
      </w:r>
      <w:r>
        <w:rPr>
          <w:rFonts w:hint="eastAsia" w:ascii="仿宋" w:hAnsi="仿宋" w:eastAsia="仿宋" w:cs="仿宋"/>
          <w:color w:val="auto"/>
          <w:sz w:val="32"/>
          <w:szCs w:val="32"/>
        </w:rPr>
        <w:t>平方米</w:t>
      </w:r>
      <w:r>
        <w:rPr>
          <w:rFonts w:hint="eastAsia" w:ascii="仿宋" w:hAnsi="仿宋" w:eastAsia="仿宋" w:cs="仿宋"/>
          <w:color w:val="auto"/>
          <w:sz w:val="32"/>
          <w:szCs w:val="32"/>
          <w:lang w:eastAsia="zh-CN"/>
        </w:rPr>
        <w:t>。</w:t>
      </w:r>
    </w:p>
    <w:p w14:paraId="1E9C75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本部门共有车辆</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辆，其中，</w:t>
      </w:r>
      <w:r>
        <w:rPr>
          <w:rFonts w:hint="eastAsia" w:ascii="仿宋_GB2312" w:hAnsi="ˎ̥" w:eastAsia="仿宋_GB2312"/>
          <w:color w:val="auto"/>
          <w:sz w:val="32"/>
          <w:szCs w:val="32"/>
        </w:rPr>
        <w:t>执法执勤用车</w:t>
      </w:r>
      <w:r>
        <w:rPr>
          <w:rFonts w:hint="eastAsia" w:ascii="仿宋_GB2312" w:hAnsi="ˎ̥" w:eastAsia="仿宋_GB2312"/>
          <w:color w:val="auto"/>
          <w:sz w:val="32"/>
          <w:szCs w:val="32"/>
          <w:lang w:val="en-US" w:eastAsia="zh-CN"/>
        </w:rPr>
        <w:t>1</w:t>
      </w:r>
      <w:r>
        <w:rPr>
          <w:rFonts w:hint="eastAsia" w:ascii="仿宋_GB2312" w:hAnsi="ˎ̥" w:eastAsia="仿宋_GB2312"/>
          <w:color w:val="auto"/>
          <w:sz w:val="32"/>
          <w:szCs w:val="32"/>
        </w:rPr>
        <w:t>辆</w:t>
      </w:r>
      <w:r>
        <w:rPr>
          <w:rFonts w:hint="eastAsia" w:ascii="仿宋_GB2312" w:hAnsi="ˎ̥" w:eastAsia="仿宋_GB2312"/>
          <w:color w:val="auto"/>
          <w:sz w:val="32"/>
          <w:szCs w:val="32"/>
          <w:lang w:eastAsia="zh-CN"/>
        </w:rPr>
        <w:t>、</w:t>
      </w:r>
      <w:r>
        <w:rPr>
          <w:rFonts w:hint="eastAsia" w:ascii="仿宋" w:hAnsi="仿宋" w:eastAsia="仿宋" w:cs="仿宋"/>
          <w:color w:val="auto"/>
          <w:sz w:val="32"/>
          <w:szCs w:val="32"/>
        </w:rPr>
        <w:t>特种专业技术用车</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辆、其他用车</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辆，其他用车主要是</w:t>
      </w:r>
      <w:r>
        <w:rPr>
          <w:rFonts w:hint="default" w:ascii="Times New Roman" w:hAnsi="Times New Roman" w:eastAsia="仿宋" w:cs="Times New Roman"/>
          <w:color w:val="auto"/>
          <w:sz w:val="32"/>
          <w:szCs w:val="32"/>
        </w:rPr>
        <w:t>单位开展业务用车</w:t>
      </w:r>
      <w:r>
        <w:rPr>
          <w:rFonts w:hint="eastAsia" w:ascii="仿宋_GB2312" w:hAnsi="ˎ̥" w:eastAsia="仿宋_GB2312"/>
          <w:color w:val="auto"/>
          <w:sz w:val="32"/>
          <w:szCs w:val="32"/>
        </w:rPr>
        <w:t>。</w:t>
      </w:r>
      <w:r>
        <w:rPr>
          <w:rFonts w:hint="eastAsia" w:ascii="仿宋_GB2312" w:hAnsi="ˎ̥" w:eastAsia="仿宋_GB2312"/>
          <w:color w:val="auto"/>
          <w:sz w:val="32"/>
          <w:szCs w:val="32"/>
          <w:lang w:val="en-US" w:eastAsia="zh-CN"/>
        </w:rPr>
        <w:t xml:space="preserve">     </w:t>
      </w:r>
      <w:r>
        <w:rPr>
          <w:rFonts w:hint="eastAsia" w:ascii="仿宋" w:hAnsi="仿宋" w:eastAsia="仿宋" w:cs="仿宋"/>
          <w:color w:val="auto"/>
          <w:sz w:val="32"/>
          <w:szCs w:val="32"/>
          <w:lang w:val="en-US" w:eastAsia="zh-CN"/>
        </w:rPr>
        <w:t xml:space="preserve"> </w:t>
      </w:r>
    </w:p>
    <w:p w14:paraId="485A50A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单价100万元（含）以上设备（不含车辆）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w:t>
      </w:r>
      <w:bookmarkStart w:id="113" w:name="_Toc15425_WPSOffice_Level1"/>
      <w:bookmarkStart w:id="114" w:name="_Toc8808_WPSOffice_Level1"/>
      <w:bookmarkStart w:id="115" w:name="_Toc11039_WPSOffice_Level1"/>
      <w:bookmarkStart w:id="116" w:name="_Toc8874_WPSOffice_Level1"/>
      <w:bookmarkStart w:id="117" w:name="_Toc4398_WPSOffice_Level1"/>
      <w:bookmarkStart w:id="118" w:name="_Toc17580_WPSOffice_Level1"/>
    </w:p>
    <w:p w14:paraId="005C8DA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年末在建工程</w:t>
      </w:r>
      <w:r>
        <w:rPr>
          <w:rFonts w:hint="eastAsia" w:ascii="仿宋_GB2312" w:hAnsi="ˎ̥" w:eastAsia="仿宋_GB2312"/>
          <w:color w:val="auto"/>
          <w:sz w:val="32"/>
          <w:szCs w:val="32"/>
          <w:lang w:val="en-US" w:eastAsia="zh-CN"/>
        </w:rPr>
        <w:t>7785.95</w:t>
      </w:r>
      <w:r>
        <w:rPr>
          <w:rFonts w:hint="eastAsia" w:ascii="仿宋_GB2312" w:hAnsi="ˎ̥" w:eastAsia="仿宋_GB2312"/>
          <w:color w:val="auto"/>
          <w:sz w:val="32"/>
          <w:szCs w:val="32"/>
        </w:rPr>
        <w:t>万元。</w:t>
      </w:r>
    </w:p>
    <w:p w14:paraId="4F004D13">
      <w:pPr>
        <w:pStyle w:val="2"/>
        <w:rPr>
          <w:rFonts w:hint="eastAsia" w:ascii="仿宋_GB2312" w:hAnsi="ˎ̥" w:eastAsia="仿宋_GB2312"/>
          <w:color w:val="auto"/>
          <w:sz w:val="32"/>
          <w:szCs w:val="32"/>
        </w:rPr>
      </w:pPr>
    </w:p>
    <w:p w14:paraId="62820CA0">
      <w:pPr>
        <w:rPr>
          <w:rFonts w:hint="eastAsia" w:ascii="仿宋_GB2312" w:hAnsi="ˎ̥" w:eastAsia="仿宋_GB2312"/>
          <w:color w:val="auto"/>
          <w:sz w:val="32"/>
          <w:szCs w:val="32"/>
        </w:rPr>
      </w:pPr>
    </w:p>
    <w:p w14:paraId="4B7734AB">
      <w:pPr>
        <w:pStyle w:val="2"/>
        <w:rPr>
          <w:rFonts w:hint="eastAsia" w:ascii="仿宋_GB2312" w:hAnsi="ˎ̥" w:eastAsia="仿宋_GB2312"/>
          <w:color w:val="auto"/>
          <w:sz w:val="32"/>
          <w:szCs w:val="32"/>
        </w:rPr>
      </w:pPr>
    </w:p>
    <w:p w14:paraId="1B686A37">
      <w:pPr>
        <w:rPr>
          <w:rFonts w:hint="eastAsia" w:ascii="仿宋_GB2312" w:hAnsi="ˎ̥" w:eastAsia="仿宋_GB2312"/>
          <w:color w:val="auto"/>
          <w:sz w:val="32"/>
          <w:szCs w:val="32"/>
        </w:rPr>
      </w:pPr>
    </w:p>
    <w:p w14:paraId="0A6AEBA5">
      <w:pPr>
        <w:pStyle w:val="2"/>
        <w:rPr>
          <w:rFonts w:hint="eastAsia" w:ascii="仿宋_GB2312" w:hAnsi="ˎ̥" w:eastAsia="仿宋_GB2312"/>
          <w:color w:val="auto"/>
          <w:sz w:val="32"/>
          <w:szCs w:val="32"/>
        </w:rPr>
      </w:pPr>
    </w:p>
    <w:p w14:paraId="41862C92">
      <w:pPr>
        <w:rPr>
          <w:rFonts w:hint="eastAsia" w:ascii="仿宋_GB2312" w:hAnsi="ˎ̥" w:eastAsia="仿宋_GB2312"/>
          <w:color w:val="auto"/>
          <w:sz w:val="32"/>
          <w:szCs w:val="32"/>
        </w:rPr>
      </w:pPr>
    </w:p>
    <w:p w14:paraId="1F4C85E6">
      <w:pPr>
        <w:pStyle w:val="2"/>
        <w:rPr>
          <w:rFonts w:hint="eastAsia" w:ascii="仿宋_GB2312" w:hAnsi="ˎ̥" w:eastAsia="仿宋_GB2312"/>
          <w:color w:val="auto"/>
          <w:sz w:val="32"/>
          <w:szCs w:val="32"/>
        </w:rPr>
      </w:pPr>
    </w:p>
    <w:p w14:paraId="31229939">
      <w:pPr>
        <w:rPr>
          <w:rFonts w:hint="eastAsia"/>
        </w:rPr>
      </w:pPr>
    </w:p>
    <w:p w14:paraId="54D45A71">
      <w:pPr>
        <w:rPr>
          <w:rFonts w:hint="eastAsia"/>
        </w:rPr>
      </w:pPr>
    </w:p>
    <w:p w14:paraId="6D5FF3D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sz w:val="32"/>
          <w:szCs w:val="32"/>
        </w:rPr>
      </w:pPr>
    </w:p>
    <w:p w14:paraId="7BB6F58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sz w:val="32"/>
          <w:szCs w:val="32"/>
        </w:rPr>
      </w:pPr>
    </w:p>
    <w:p w14:paraId="25071E3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sz w:val="32"/>
          <w:szCs w:val="32"/>
        </w:rPr>
      </w:pPr>
    </w:p>
    <w:p w14:paraId="4B8C09A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sz w:val="32"/>
          <w:szCs w:val="32"/>
        </w:rPr>
      </w:pPr>
    </w:p>
    <w:p w14:paraId="7D7EA2A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sz w:val="32"/>
          <w:szCs w:val="32"/>
        </w:rPr>
      </w:pPr>
      <w:bookmarkStart w:id="119" w:name="_GoBack"/>
      <w:bookmarkEnd w:id="119"/>
      <w:r>
        <w:rPr>
          <w:rFonts w:hint="eastAsia" w:ascii="黑体" w:hAnsi="ˎ̥" w:eastAsia="黑体"/>
          <w:sz w:val="32"/>
          <w:szCs w:val="32"/>
        </w:rPr>
        <w:t>第四部分  名词解释</w:t>
      </w:r>
      <w:bookmarkEnd w:id="113"/>
      <w:bookmarkEnd w:id="114"/>
      <w:bookmarkEnd w:id="115"/>
      <w:bookmarkEnd w:id="116"/>
      <w:bookmarkEnd w:id="117"/>
      <w:bookmarkEnd w:id="118"/>
    </w:p>
    <w:p w14:paraId="20DF719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14:paraId="7197CEF9">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财政拨款收入：指同级政府财政部门当年拨付的各类财政拨款。</w:t>
      </w:r>
    </w:p>
    <w:p w14:paraId="7DA2B54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二、上级补助收入：指事业单位从主管部门和上级单位取得的非财政补助收入。</w:t>
      </w:r>
    </w:p>
    <w:p w14:paraId="2A9320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三、事业收入：指事业单位开展专业业务活动及辅助活动取得的收入。</w:t>
      </w:r>
    </w:p>
    <w:p w14:paraId="07958E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四、经营收入：指事业单位在专业业务活动及其辅助活动之外开展非独立核算经营活动取得的收入。</w:t>
      </w:r>
    </w:p>
    <w:p w14:paraId="2092876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五、附属单位上缴收入：指事业单位取得附属独立核算单位根据有关规定上缴的收入。</w:t>
      </w:r>
    </w:p>
    <w:p w14:paraId="2323CEA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六、其他收入：指除上述“财政拨款收入”“事业收入”“上级补助收入”“经营收入”“附属单位上缴收入”等以外的收入。</w:t>
      </w:r>
    </w:p>
    <w:p w14:paraId="4062D03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14:paraId="64AEE7C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八、年初结转和结余：指以前年度尚未完成、结转到本年按有关规定继续使用的资金，或项目已完成等产生的结余资金。</w:t>
      </w:r>
    </w:p>
    <w:p w14:paraId="24D18E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九、结余分配：指事业单位缴纳企业所得税以及从非财政拨款结余或经营结余中提取各类结余的情况。</w:t>
      </w:r>
    </w:p>
    <w:p w14:paraId="5625F05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14:paraId="66457C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十一、基本支出：指为保障机构正常运转、完成日常工作任务而发生的人员支出和公用支出。</w:t>
      </w:r>
    </w:p>
    <w:p w14:paraId="29DCB54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十二、项目支出：指在基本支出之外为完成特定行政任务和事业发展目标所发生的支出。</w:t>
      </w:r>
    </w:p>
    <w:p w14:paraId="2BF293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十三、经营支出：指事业单位在专业业务活动及其辅助活动之外开展非独立核算经营活动发生的支出。</w:t>
      </w:r>
    </w:p>
    <w:p w14:paraId="4BFE06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、公务用车购置及运行维护费和公务接待费。其中，因公出国（境）费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670215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76F30C3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十六、支出功能分类：</w:t>
      </w:r>
    </w:p>
    <w:p w14:paraId="6D9EF2F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XXXX（类）XXXX（款）XXXX（项），……；</w:t>
      </w:r>
    </w:p>
    <w:p w14:paraId="35EC19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XXXX（类）XXXX（款）XXXX（项），……</w:t>
      </w:r>
      <w:r>
        <w:rPr>
          <w:rFonts w:hint="eastAsia" w:ascii="仿宋" w:hAnsi="仿宋" w:eastAsia="仿宋" w:cs="仿宋"/>
          <w:sz w:val="32"/>
          <w:szCs w:val="32"/>
          <w:highlight w:val="none"/>
          <w:lang w:eastAsia="zh-CN"/>
        </w:rPr>
        <w:t>。</w:t>
      </w:r>
    </w:p>
    <w:p w14:paraId="670D29B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（注：支出功能分类的名词解释，各</w:t>
      </w:r>
      <w:r>
        <w:rPr>
          <w:rFonts w:hint="eastAsia" w:ascii="仿宋" w:hAnsi="仿宋" w:eastAsia="仿宋" w:cs="仿宋"/>
          <w:sz w:val="32"/>
          <w:szCs w:val="32"/>
          <w:highlight w:val="none"/>
          <w:lang w:eastAsia="zh-CN"/>
        </w:rPr>
        <w:t>预算</w:t>
      </w:r>
      <w:r>
        <w:rPr>
          <w:rFonts w:hint="eastAsia" w:ascii="仿宋" w:hAnsi="仿宋" w:eastAsia="仿宋" w:cs="仿宋"/>
          <w:sz w:val="32"/>
          <w:szCs w:val="32"/>
          <w:highlight w:val="none"/>
        </w:rPr>
        <w:t>部门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单位根据实际支出情况填列，可参阅财政部印发的《202</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年政府收支分类科目》</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w:t>
      </w:r>
    </w:p>
    <w:p w14:paraId="382C0B44">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pP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KSOFF21A05E0">
    <w:panose1 w:val="020B0503020204020204"/>
    <w:charset w:val="86"/>
    <w:family w:val="auto"/>
    <w:pitch w:val="default"/>
    <w:sig w:usb0="00000001"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9E08A">
    <w:pPr>
      <w:pStyle w:val="7"/>
      <w:framePr w:wrap="around" w:vAnchor="text" w:hAnchor="margin" w:xAlign="center" w:y="1"/>
      <w:rPr>
        <w:rStyle w:val="13"/>
        <w:rFonts w:hint="eastAsia" w:ascii="宋体" w:hAnsi="宋体" w:eastAsia="宋体" w:cs="宋体"/>
        <w:sz w:val="28"/>
        <w:szCs w:val="28"/>
      </w:rPr>
    </w:pPr>
    <w:r>
      <w:rPr>
        <w:rFonts w:hint="eastAsia" w:ascii="宋体" w:hAnsi="宋体" w:eastAsia="宋体" w:cs="宋体"/>
        <w:sz w:val="28"/>
        <w:szCs w:val="28"/>
      </w:rPr>
      <w:fldChar w:fldCharType="begin"/>
    </w:r>
    <w:r>
      <w:rPr>
        <w:rStyle w:val="13"/>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3"/>
        <w:rFonts w:hint="eastAsia" w:ascii="宋体" w:hAnsi="宋体" w:eastAsia="宋体" w:cs="宋体"/>
        <w:sz w:val="28"/>
        <w:szCs w:val="28"/>
      </w:rPr>
      <w:t>18</w:t>
    </w:r>
    <w:r>
      <w:rPr>
        <w:rFonts w:hint="eastAsia" w:ascii="宋体" w:hAnsi="宋体" w:eastAsia="宋体" w:cs="宋体"/>
        <w:sz w:val="28"/>
        <w:szCs w:val="28"/>
      </w:rPr>
      <w:fldChar w:fldCharType="end"/>
    </w:r>
  </w:p>
  <w:p w14:paraId="1BD1ED8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6F60F">
    <w:pPr>
      <w:pStyle w:val="7"/>
      <w:framePr w:wrap="around" w:vAnchor="text" w:hAnchor="margin" w:xAlign="center" w:y="1"/>
      <w:rPr>
        <w:rStyle w:val="13"/>
      </w:rPr>
    </w:pPr>
    <w:r>
      <w:fldChar w:fldCharType="begin"/>
    </w:r>
    <w:r>
      <w:rPr>
        <w:rStyle w:val="13"/>
      </w:rPr>
      <w:instrText xml:space="preserve">PAGE  </w:instrText>
    </w:r>
    <w:r>
      <w:fldChar w:fldCharType="separate"/>
    </w:r>
    <w:r>
      <w:fldChar w:fldCharType="end"/>
    </w:r>
  </w:p>
  <w:p w14:paraId="07FD915D">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55E7DA"/>
    <w:multiLevelType w:val="singleLevel"/>
    <w:tmpl w:val="9A55E7DA"/>
    <w:lvl w:ilvl="0" w:tentative="0">
      <w:start w:val="1"/>
      <w:numFmt w:val="chineseCounting"/>
      <w:suff w:val="nothing"/>
      <w:lvlText w:val="%1、"/>
      <w:lvlJc w:val="left"/>
      <w:rPr>
        <w:rFonts w:hint="eastAsia"/>
      </w:rPr>
    </w:lvl>
  </w:abstractNum>
  <w:abstractNum w:abstractNumId="1">
    <w:nsid w:val="AFFC2DCC"/>
    <w:multiLevelType w:val="singleLevel"/>
    <w:tmpl w:val="AFFC2DCC"/>
    <w:lvl w:ilvl="0" w:tentative="0">
      <w:start w:val="1"/>
      <w:numFmt w:val="chineseCounting"/>
      <w:suff w:val="nothing"/>
      <w:lvlText w:val="%1、"/>
      <w:lvlJc w:val="left"/>
      <w:rPr>
        <w:rFonts w:hint="eastAsia"/>
      </w:rPr>
    </w:lvl>
  </w:abstractNum>
  <w:abstractNum w:abstractNumId="2">
    <w:nsid w:val="DE7ABA8A"/>
    <w:multiLevelType w:val="singleLevel"/>
    <w:tmpl w:val="DE7ABA8A"/>
    <w:lvl w:ilvl="0" w:tentative="0">
      <w:start w:val="1"/>
      <w:numFmt w:val="chineseCounting"/>
      <w:suff w:val="nothing"/>
      <w:lvlText w:val="%1、"/>
      <w:lvlJc w:val="left"/>
      <w:rPr>
        <w:rFonts w:hint="eastAsia"/>
      </w:rPr>
    </w:lvl>
  </w:abstractNum>
  <w:abstractNum w:abstractNumId="3">
    <w:nsid w:val="26C24D1C"/>
    <w:multiLevelType w:val="singleLevel"/>
    <w:tmpl w:val="26C24D1C"/>
    <w:lvl w:ilvl="0" w:tentative="0">
      <w:start w:val="1"/>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35166A0"/>
    <w:rsid w:val="03AF1619"/>
    <w:rsid w:val="04CB1139"/>
    <w:rsid w:val="06400C4E"/>
    <w:rsid w:val="080B7C62"/>
    <w:rsid w:val="09201287"/>
    <w:rsid w:val="0AF81AF7"/>
    <w:rsid w:val="0B8646CF"/>
    <w:rsid w:val="0F0D0E98"/>
    <w:rsid w:val="0F5B4403"/>
    <w:rsid w:val="0F64775C"/>
    <w:rsid w:val="0FC80124"/>
    <w:rsid w:val="105B0B5E"/>
    <w:rsid w:val="106D0892"/>
    <w:rsid w:val="136F98C7"/>
    <w:rsid w:val="13CC1D73"/>
    <w:rsid w:val="15962639"/>
    <w:rsid w:val="17427E68"/>
    <w:rsid w:val="1755065F"/>
    <w:rsid w:val="17F378CF"/>
    <w:rsid w:val="198509FA"/>
    <w:rsid w:val="1AFC29C9"/>
    <w:rsid w:val="1CA52F2E"/>
    <w:rsid w:val="1DF4614E"/>
    <w:rsid w:val="1E3630B9"/>
    <w:rsid w:val="1E766B63"/>
    <w:rsid w:val="1EB61656"/>
    <w:rsid w:val="1F417171"/>
    <w:rsid w:val="22FB1D2D"/>
    <w:rsid w:val="24013373"/>
    <w:rsid w:val="25184E18"/>
    <w:rsid w:val="26EEC2B5"/>
    <w:rsid w:val="29472309"/>
    <w:rsid w:val="2A6C52BE"/>
    <w:rsid w:val="2B406E77"/>
    <w:rsid w:val="2BF67536"/>
    <w:rsid w:val="2C2A0C43"/>
    <w:rsid w:val="2C895B0F"/>
    <w:rsid w:val="2D1E73A5"/>
    <w:rsid w:val="2D984D48"/>
    <w:rsid w:val="2DAA682A"/>
    <w:rsid w:val="2E6A7D67"/>
    <w:rsid w:val="32717154"/>
    <w:rsid w:val="34B63260"/>
    <w:rsid w:val="35D232BF"/>
    <w:rsid w:val="35F965A0"/>
    <w:rsid w:val="37CD1A92"/>
    <w:rsid w:val="37FDA7E2"/>
    <w:rsid w:val="389D2A9B"/>
    <w:rsid w:val="3A314D88"/>
    <w:rsid w:val="3A746883"/>
    <w:rsid w:val="3C8A1D00"/>
    <w:rsid w:val="3CA15DE9"/>
    <w:rsid w:val="3D0F0457"/>
    <w:rsid w:val="3DFA2EB5"/>
    <w:rsid w:val="3FD02B45"/>
    <w:rsid w:val="3FE61EE5"/>
    <w:rsid w:val="406508EE"/>
    <w:rsid w:val="408D6263"/>
    <w:rsid w:val="41B40CEE"/>
    <w:rsid w:val="42834F1E"/>
    <w:rsid w:val="45060392"/>
    <w:rsid w:val="46773AE2"/>
    <w:rsid w:val="48317291"/>
    <w:rsid w:val="484D5079"/>
    <w:rsid w:val="485F7024"/>
    <w:rsid w:val="486F7C52"/>
    <w:rsid w:val="488F68F0"/>
    <w:rsid w:val="48C447EC"/>
    <w:rsid w:val="48E70666"/>
    <w:rsid w:val="4B0574CC"/>
    <w:rsid w:val="4C6877E5"/>
    <w:rsid w:val="4D4E6D7A"/>
    <w:rsid w:val="4D6A468D"/>
    <w:rsid w:val="4EA86137"/>
    <w:rsid w:val="51DA7627"/>
    <w:rsid w:val="5245699D"/>
    <w:rsid w:val="54AB6860"/>
    <w:rsid w:val="55384597"/>
    <w:rsid w:val="56031AB3"/>
    <w:rsid w:val="56B81EA5"/>
    <w:rsid w:val="56CA7FD0"/>
    <w:rsid w:val="57832294"/>
    <w:rsid w:val="57FA38D1"/>
    <w:rsid w:val="58174786"/>
    <w:rsid w:val="5A6A4AC7"/>
    <w:rsid w:val="5AB97EAE"/>
    <w:rsid w:val="5BAF30D9"/>
    <w:rsid w:val="5D9E1657"/>
    <w:rsid w:val="5F7D3333"/>
    <w:rsid w:val="601D7037"/>
    <w:rsid w:val="61385890"/>
    <w:rsid w:val="64CC0566"/>
    <w:rsid w:val="64E060B2"/>
    <w:rsid w:val="66CB4B3F"/>
    <w:rsid w:val="687436E1"/>
    <w:rsid w:val="6A6B4546"/>
    <w:rsid w:val="6A8E20AF"/>
    <w:rsid w:val="6DA45C50"/>
    <w:rsid w:val="6E787225"/>
    <w:rsid w:val="6E9A7825"/>
    <w:rsid w:val="6F670F9B"/>
    <w:rsid w:val="737450E0"/>
    <w:rsid w:val="74054476"/>
    <w:rsid w:val="742F38C4"/>
    <w:rsid w:val="74AB66DC"/>
    <w:rsid w:val="74C4154C"/>
    <w:rsid w:val="75956FFF"/>
    <w:rsid w:val="76051E1C"/>
    <w:rsid w:val="772C33D8"/>
    <w:rsid w:val="778D20C9"/>
    <w:rsid w:val="77AA2D01"/>
    <w:rsid w:val="783C4637"/>
    <w:rsid w:val="793C6888"/>
    <w:rsid w:val="79BB7A1A"/>
    <w:rsid w:val="7CDE1DBD"/>
    <w:rsid w:val="7D6C09D3"/>
    <w:rsid w:val="7D943A85"/>
    <w:rsid w:val="7DB0448C"/>
    <w:rsid w:val="7E257EF5"/>
    <w:rsid w:val="7E5F9AA4"/>
    <w:rsid w:val="7F070B5C"/>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link w:val="15"/>
    <w:qFormat/>
    <w:uiPriority w:val="0"/>
    <w:pPr>
      <w:jc w:val="left"/>
    </w:pPr>
  </w:style>
  <w:style w:type="paragraph" w:styleId="4">
    <w:name w:val="Body Text"/>
    <w:basedOn w:val="1"/>
    <w:next w:val="1"/>
    <w:unhideWhenUsed/>
    <w:qFormat/>
    <w:uiPriority w:val="99"/>
    <w:pPr>
      <w:ind w:left="106" w:firstLine="480"/>
    </w:pPr>
    <w:rPr>
      <w:rFonts w:ascii="仿宋_GB2312" w:hAnsi="仿宋_GB2312" w:eastAsia="仿宋_GB2312"/>
      <w:sz w:val="24"/>
      <w:szCs w:val="24"/>
    </w:rPr>
  </w:style>
  <w:style w:type="paragraph" w:styleId="5">
    <w:name w:val="Body Text Indent"/>
    <w:basedOn w:val="1"/>
    <w:next w:val="1"/>
    <w:qFormat/>
    <w:uiPriority w:val="0"/>
    <w:pPr>
      <w:ind w:firstLine="480"/>
    </w:pPr>
    <w:rPr>
      <w:rFonts w:ascii="宋体" w:hAnsi="宋体"/>
      <w:kern w:val="0"/>
      <w:sz w:val="24"/>
      <w:szCs w:val="21"/>
    </w:rPr>
  </w:style>
  <w:style w:type="paragraph" w:styleId="6">
    <w:name w:val="Balloon Text"/>
    <w:basedOn w:val="1"/>
    <w:link w:val="16"/>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Title"/>
    <w:basedOn w:val="1"/>
    <w:next w:val="5"/>
    <w:qFormat/>
    <w:uiPriority w:val="10"/>
    <w:pPr>
      <w:spacing w:before="240" w:after="60"/>
      <w:jc w:val="center"/>
      <w:outlineLvl w:val="0"/>
    </w:pPr>
    <w:rPr>
      <w:rFonts w:ascii="Cambria" w:hAnsi="Cambria"/>
      <w:b/>
      <w:bCs/>
      <w:kern w:val="0"/>
      <w:sz w:val="32"/>
      <w:szCs w:val="32"/>
    </w:rPr>
  </w:style>
  <w:style w:type="paragraph" w:styleId="10">
    <w:name w:val="annotation subject"/>
    <w:basedOn w:val="3"/>
    <w:next w:val="3"/>
    <w:link w:val="18"/>
    <w:qFormat/>
    <w:uiPriority w:val="0"/>
    <w:rPr>
      <w:b/>
      <w:bCs/>
    </w:rPr>
  </w:style>
  <w:style w:type="character" w:styleId="13">
    <w:name w:val="page number"/>
    <w:qFormat/>
    <w:uiPriority w:val="0"/>
  </w:style>
  <w:style w:type="character" w:styleId="14">
    <w:name w:val="annotation reference"/>
    <w:qFormat/>
    <w:uiPriority w:val="0"/>
    <w:rPr>
      <w:sz w:val="21"/>
      <w:szCs w:val="21"/>
    </w:rPr>
  </w:style>
  <w:style w:type="character" w:customStyle="1" w:styleId="15">
    <w:name w:val="批注文字 Char"/>
    <w:link w:val="3"/>
    <w:qFormat/>
    <w:uiPriority w:val="0"/>
    <w:rPr>
      <w:kern w:val="2"/>
      <w:sz w:val="21"/>
      <w:szCs w:val="24"/>
    </w:rPr>
  </w:style>
  <w:style w:type="character" w:customStyle="1" w:styleId="16">
    <w:name w:val="批注框文本 Char"/>
    <w:link w:val="6"/>
    <w:qFormat/>
    <w:uiPriority w:val="0"/>
    <w:rPr>
      <w:kern w:val="2"/>
      <w:sz w:val="18"/>
      <w:szCs w:val="18"/>
    </w:rPr>
  </w:style>
  <w:style w:type="character" w:customStyle="1" w:styleId="17">
    <w:name w:val="页眉 Char"/>
    <w:link w:val="8"/>
    <w:qFormat/>
    <w:uiPriority w:val="0"/>
    <w:rPr>
      <w:kern w:val="2"/>
      <w:sz w:val="18"/>
      <w:szCs w:val="18"/>
    </w:rPr>
  </w:style>
  <w:style w:type="character" w:customStyle="1" w:styleId="18">
    <w:name w:val="批注主题 Char"/>
    <w:link w:val="10"/>
    <w:qFormat/>
    <w:uiPriority w:val="0"/>
    <w:rPr>
      <w:b/>
      <w:bCs/>
      <w:kern w:val="2"/>
      <w:sz w:val="21"/>
      <w:szCs w:val="24"/>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WPSOffice手动目录 2"/>
    <w:qFormat/>
    <w:uiPriority w:val="0"/>
    <w:pPr>
      <w:ind w:leftChars="200"/>
    </w:pPr>
    <w:rPr>
      <w:rFonts w:ascii="Times New Roman" w:hAnsi="Times New Roman" w:eastAsia="宋体" w:cs="Times New Roman"/>
      <w:lang w:val="en-US" w:eastAsia="zh-CN" w:bidi="ar-SA"/>
    </w:rPr>
  </w:style>
  <w:style w:type="paragraph" w:customStyle="1" w:styleId="21">
    <w:name w:val="正文1 Char Char Char"/>
    <w:basedOn w:val="1"/>
    <w:qFormat/>
    <w:uiPriority w:val="0"/>
    <w:pPr>
      <w:spacing w:line="360" w:lineRule="auto"/>
      <w:ind w:firstLine="200" w:firstLineChars="200"/>
    </w:pPr>
  </w:style>
  <w:style w:type="paragraph" w:customStyle="1" w:styleId="22">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7649</Words>
  <Characters>8602</Characters>
  <Lines>67</Lines>
  <Paragraphs>18</Paragraphs>
  <TotalTime>12</TotalTime>
  <ScaleCrop>false</ScaleCrop>
  <LinksUpToDate>false</LinksUpToDate>
  <CharactersWithSpaces>8660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张文</cp:lastModifiedBy>
  <cp:lastPrinted>2023-08-03T00:58:00Z</cp:lastPrinted>
  <dcterms:modified xsi:type="dcterms:W3CDTF">2026-09-01T10:56:20Z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03AE7F14E2DC4BACB053764200FF950D_13</vt:lpwstr>
  </property>
  <property fmtid="{D5CDD505-2E9C-101B-9397-08002B2CF9AE}" pid="4" name="KSOTemplateDocerSaveRecord">
    <vt:lpwstr>eyJoZGlkIjoiNzFmYTZiMTNhZjEwYWM3MGRiN2EwNzFkNTQ4NmJiOTMiLCJ1c2VySWQiOiIxMjA5MTY0NDMyIn0=</vt:lpwstr>
  </property>
</Properties>
</file>