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AC634">
      <w:pPr>
        <w:pStyle w:val="4"/>
        <w:keepNext w:val="0"/>
        <w:keepLines w:val="0"/>
        <w:widowControl/>
        <w:suppressLineNumbers w:val="0"/>
        <w:spacing w:line="525" w:lineRule="atLeast"/>
        <w:ind w:left="0" w:firstLine="225"/>
        <w:jc w:val="center"/>
        <w:rPr>
          <w:rFonts w:hint="eastAsia" w:ascii="宋体" w:hAnsi="宋体" w:eastAsia="宋体" w:cs="宋体"/>
          <w:b w:val="0"/>
          <w:bCs w:val="0"/>
          <w:kern w:val="0"/>
          <w:sz w:val="44"/>
          <w:szCs w:val="44"/>
        </w:rPr>
      </w:pPr>
      <w:r>
        <w:rPr>
          <w:rStyle w:val="5"/>
          <w:rFonts w:hint="eastAsia" w:ascii="黑体" w:hAnsi="宋体" w:eastAsia="黑体" w:cs="黑体"/>
          <w:b w:val="0"/>
          <w:bCs w:val="0"/>
          <w:sz w:val="44"/>
          <w:szCs w:val="44"/>
        </w:rPr>
        <w:t>农产品质量安全监测项目绩效自评报告</w:t>
      </w:r>
      <w:r>
        <w:rPr>
          <w:rStyle w:val="5"/>
          <w:rFonts w:hint="eastAsia" w:ascii="宋体" w:hAnsi="宋体" w:eastAsia="宋体" w:cs="宋体"/>
          <w:b w:val="0"/>
          <w:bCs w:val="0"/>
          <w:sz w:val="44"/>
          <w:szCs w:val="44"/>
        </w:rPr>
        <w:t xml:space="preserve"> </w:t>
      </w:r>
    </w:p>
    <w:p w14:paraId="79FCEE91">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24"/>
          <w:szCs w:val="24"/>
        </w:rPr>
      </w:pPr>
      <w:r>
        <w:rPr>
          <w:rFonts w:hint="eastAsia" w:ascii="黑体" w:hAnsi="宋体" w:eastAsia="黑体" w:cs="黑体"/>
          <w:kern w:val="0"/>
          <w:sz w:val="32"/>
          <w:szCs w:val="32"/>
        </w:rPr>
        <w:t xml:space="preserve">一、项目年度预算绩效目标和绩效指标完成情况 </w:t>
      </w:r>
      <w:r>
        <w:rPr>
          <w:rFonts w:hint="default" w:ascii="仿宋_GB2312" w:hAnsi="宋体" w:eastAsia="仿宋_GB2312" w:cs="仿宋_GB2312"/>
          <w:kern w:val="0"/>
          <w:sz w:val="31"/>
          <w:szCs w:val="31"/>
        </w:rPr>
        <w:t xml:space="preserve"> </w:t>
      </w:r>
    </w:p>
    <w:p w14:paraId="35F4D480">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1"/>
          <w:szCs w:val="31"/>
        </w:rPr>
      </w:pPr>
      <w:r>
        <w:rPr>
          <w:rFonts w:hint="eastAsia" w:ascii="仿宋" w:hAnsi="仿宋" w:eastAsia="仿宋" w:cs="仿宋"/>
          <w:b w:val="0"/>
          <w:bCs w:val="0"/>
          <w:kern w:val="0"/>
          <w:sz w:val="32"/>
          <w:szCs w:val="32"/>
        </w:rPr>
        <w:t>2025年度农产品质量安全监测项目资金为577.17万元，主要用于开展出岛农产品快速定性检测、实验室和三</w:t>
      </w:r>
      <w:bookmarkStart w:id="0" w:name="_GoBack"/>
      <w:bookmarkEnd w:id="0"/>
      <w:r>
        <w:rPr>
          <w:rFonts w:hint="eastAsia" w:ascii="仿宋" w:hAnsi="仿宋" w:eastAsia="仿宋" w:cs="仿宋"/>
          <w:b w:val="0"/>
          <w:bCs w:val="0"/>
          <w:kern w:val="0"/>
          <w:sz w:val="32"/>
          <w:szCs w:val="32"/>
        </w:rPr>
        <w:t>个码头检查检测站工作期间正常运转、全省检测技术人员培训、覆盖18个市县开展瓜果菜农产品农药残留抽检等业务。</w:t>
      </w:r>
    </w:p>
    <w:p w14:paraId="0BBAC837">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b w:val="0"/>
          <w:bCs w:val="0"/>
          <w:kern w:val="0"/>
          <w:sz w:val="24"/>
          <w:szCs w:val="24"/>
        </w:rPr>
      </w:pPr>
      <w:r>
        <w:rPr>
          <w:rFonts w:hint="default" w:ascii="仿宋_GB2312" w:hAnsi="宋体" w:eastAsia="仿宋_GB2312" w:cs="仿宋_GB2312"/>
          <w:b w:val="0"/>
          <w:bCs w:val="0"/>
          <w:kern w:val="0"/>
          <w:sz w:val="31"/>
          <w:szCs w:val="31"/>
        </w:rPr>
        <w:t>总体目标：开展定量检测2000个样；</w:t>
      </w:r>
      <w:r>
        <w:rPr>
          <w:rFonts w:hint="default" w:ascii="CESI仿宋-GB2312" w:hAnsi="CESI仿宋-GB2312" w:eastAsia="CESI仿宋-GB2312" w:cs="CESI仿宋-GB2312"/>
          <w:b w:val="0"/>
          <w:bCs w:val="0"/>
          <w:kern w:val="0"/>
          <w:sz w:val="32"/>
          <w:szCs w:val="32"/>
        </w:rPr>
        <w:t>实验室正常运转天数大于等于271天、保障设备可用率大于等于98%；完成派员外出培训17人次；组织完成18个市县跟班培训四期；组织完成全省检测技术人员技术培训班1期；</w:t>
      </w:r>
      <w:r>
        <w:rPr>
          <w:rFonts w:hint="eastAsia" w:ascii="仿宋" w:hAnsi="仿宋" w:eastAsia="仿宋" w:cs="仿宋"/>
          <w:b w:val="0"/>
          <w:bCs w:val="0"/>
          <w:kern w:val="2"/>
          <w:sz w:val="32"/>
          <w:szCs w:val="32"/>
        </w:rPr>
        <w:t>保障瓜果菜农产品持有</w:t>
      </w:r>
      <w:r>
        <w:rPr>
          <w:rFonts w:hint="eastAsia" w:ascii="仿宋" w:hAnsi="仿宋" w:eastAsia="仿宋" w:cs="仿宋"/>
          <w:b w:val="0"/>
          <w:bCs w:val="0"/>
          <w:kern w:val="0"/>
          <w:sz w:val="32"/>
          <w:szCs w:val="32"/>
        </w:rPr>
        <w:t>农药残留检测报告单、承诺达标合格证出岛，推进</w:t>
      </w:r>
      <w:r>
        <w:rPr>
          <w:rFonts w:hint="eastAsia" w:ascii="仿宋" w:hAnsi="仿宋" w:eastAsia="仿宋" w:cs="仿宋"/>
          <w:b w:val="0"/>
          <w:bCs w:val="0"/>
          <w:kern w:val="2"/>
          <w:sz w:val="32"/>
          <w:szCs w:val="32"/>
        </w:rPr>
        <w:t>产地监管责任有效落实，落实习近平总书记就农产品质量安全“四个最严”的指示要求，保障全省瓜果菜农产品质量不发生重大安全事故。</w:t>
      </w:r>
    </w:p>
    <w:p w14:paraId="319A6F27">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当年年度目标完成情况：开展定量检测2000个样；实验室正常运转天数大于等于271天、保障设备可用率大于等于98%；完成派员外出培训17人次；组织完成18个市县跟班培训四期；组织完成全省检测技术人员技术培训班1期；完成快速半定量检测41132个；覆盖18个市县开展瓜果菜农产品农药残留抽检。</w:t>
      </w:r>
    </w:p>
    <w:p w14:paraId="12735A35">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eastAsia" w:ascii="黑体" w:hAnsi="宋体" w:eastAsia="黑体" w:cs="黑体"/>
          <w:kern w:val="0"/>
          <w:sz w:val="32"/>
          <w:szCs w:val="32"/>
        </w:rPr>
        <w:t>二、项目决策及资金使用管理情况</w:t>
      </w:r>
    </w:p>
    <w:p w14:paraId="68F6F14A">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（一）项目决策情况</w:t>
      </w:r>
    </w:p>
    <w:p w14:paraId="40D0E450">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1.前期论证：由技术设备科、业务室、检测室、质量室负责组织讨论实施方案内容及绩效目标；</w:t>
      </w:r>
    </w:p>
    <w:p w14:paraId="0985F052">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2.会议审批：总体方案报中心领导审核，经省预警中心支委会审议通过后实施；</w:t>
      </w:r>
    </w:p>
    <w:p w14:paraId="1E2DFB9F">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3.严格执行：财政预算批复下达后，由技术设备科、业务室、检测室、质量室科室负责人组织完成各项绩效目标，严格依照《海南省现代农业检验检测预警防控中心关于印发财务管理制度的通知》实施采购与监管。</w:t>
      </w:r>
    </w:p>
    <w:p w14:paraId="600A20EF">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default" w:ascii="仿宋_GB2312" w:hAnsi="宋体" w:eastAsia="仿宋_GB2312" w:cs="仿宋_GB2312"/>
          <w:kern w:val="0"/>
          <w:sz w:val="32"/>
          <w:szCs w:val="32"/>
        </w:rPr>
        <w:t>（二）项目资金安排落实、总投入情况</w:t>
      </w:r>
    </w:p>
    <w:p w14:paraId="4C7D5170">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default" w:ascii="仿宋_GB2312" w:hAnsi="宋体" w:eastAsia="仿宋_GB2312" w:cs="仿宋_GB2312"/>
          <w:kern w:val="0"/>
          <w:sz w:val="32"/>
          <w:szCs w:val="32"/>
        </w:rPr>
        <w:t>省财政厅2025年年初安排我中心用于农产品质量安全监测项目资金577.17万元，无自筹资金，全部用于农产品质量安全监测项目。</w:t>
      </w:r>
    </w:p>
    <w:p w14:paraId="54938BD0">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default" w:ascii="仿宋_GB2312" w:hAnsi="宋体" w:eastAsia="仿宋_GB2312" w:cs="仿宋_GB2312"/>
          <w:kern w:val="0"/>
          <w:sz w:val="32"/>
          <w:szCs w:val="32"/>
        </w:rPr>
        <w:t>（三）项目资金实际使用情况</w:t>
      </w:r>
    </w:p>
    <w:p w14:paraId="54F15FE0">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资金执行情况如下：项目资金总额577.17万元，全年实际支出5427590.42元，资金总额-执行率94.03%。</w:t>
      </w:r>
    </w:p>
    <w:p w14:paraId="61D9A8B3">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645" w:leftChars="0" w:right="0" w:rightChars="0"/>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（四）项目资金管理情况</w:t>
      </w:r>
    </w:p>
    <w:p w14:paraId="1E6ECC85">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right="0" w:rightChars="0" w:firstLine="640" w:firstLineChars="200"/>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项目资金按照中心《财务管理制度》等财务管理制度有关规定、审批程序和手续管理使用资金。</w:t>
      </w:r>
    </w:p>
    <w:p w14:paraId="439397E3">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eastAsia" w:ascii="黑体" w:hAnsi="宋体" w:eastAsia="黑体" w:cs="黑体"/>
          <w:kern w:val="0"/>
          <w:sz w:val="32"/>
          <w:szCs w:val="32"/>
        </w:rPr>
        <w:t>三、项目组织实施情况</w:t>
      </w:r>
    </w:p>
    <w:p w14:paraId="6B5294C7">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（一）制度保障：项目严格按照省财政厅及中心有关规定，明确资金用途，质量验收标准及风险管控措施。</w:t>
      </w:r>
    </w:p>
    <w:p w14:paraId="25E618E7">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（二）过程监管：根据项目进展情况定期或不定期开展监督检查，跟踪、监督项目实施，确保财政资金安全。.</w:t>
      </w:r>
    </w:p>
    <w:p w14:paraId="61DD2347">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（三）支出管理：严格按照《海南省现代农业检验检测预警防控中心关于印发财务管理制度的通知》要求进行验收支付，验收支付资料完整归档。</w:t>
      </w:r>
    </w:p>
    <w:p w14:paraId="263530EE">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eastAsia" w:ascii="黑体" w:hAnsi="宋体" w:eastAsia="黑体" w:cs="黑体"/>
          <w:kern w:val="0"/>
          <w:sz w:val="32"/>
          <w:szCs w:val="32"/>
        </w:rPr>
        <w:t>四、项目绩效情况</w:t>
      </w:r>
    </w:p>
    <w:p w14:paraId="7845376A">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项目绩效目标未完成情况及原因分析</w:t>
      </w:r>
    </w:p>
    <w:p w14:paraId="6108420B">
      <w:pPr>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0" w:firstLineChars="200"/>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未完成项目：快速半定量检测5万个样绩效目标</w:t>
      </w:r>
    </w:p>
    <w:p w14:paraId="76411921">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原因分析：根据《海南省农业农村厅关于共同落实&lt;关于在港口开展检验检疫、质量安全管理职能前推后移的实施方案&gt;的函》（琼农便函[2023]2451号）、《关于印发“二线口岸”验收节点任务清单和问题清单的函》（琼口办函[2024]169号）有关工作要求，农业部门须在“封关”前完成监管职能“前推后移”。三港码头检查检测站于2025年3月底4月初撤出港口，根据实况制定《海南省农产品出岛检查检测站前推后移过渡期工作方案》，并于4月开始派遣港口人员赴指定地区，将港口抽样检测工作前推至市县乡镇，强化质量安全风险产地监管；码头检测站已于 2025 年 3 月底至 4 月初撤出三港码头，原港口人员也于 4 月初下沉至市县开展工作。​受此调整影响，相关数量指标同步变更：原计划开展的出岛农产品快速定性检测量 50000 个样，现调整为农产品快速定性检测量（酶试剂）20000 个样、农产品快速定性检测量（胶体金）20000 个样。同时，指标完成时间由 2025 年 1 月 - 12 月调整为 2025 年 3 月 - 2026 年 3 月。</w:t>
      </w:r>
    </w:p>
    <w:p w14:paraId="02C16C4A">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完成值计算，1月1日至4月2日，码头定性检测1945个样；4月2日至12月31日，定性检测（酶试剂）25629个样，完成年度任务的128.1%(25629/20000)、定性检测（胶体金）13558个样，完成年度任务的 67.8%（13558/20000）；</w:t>
      </w:r>
    </w:p>
    <w:p w14:paraId="5D3C634F">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仿宋" w:hAnsi="仿宋" w:eastAsia="仿宋" w:cs="仿宋"/>
          <w:kern w:val="0"/>
          <w:sz w:val="32"/>
          <w:szCs w:val="32"/>
        </w:rPr>
      </w:pPr>
      <w:r>
        <w:rPr>
          <w:rFonts w:hint="eastAsia" w:ascii="仿宋" w:hAnsi="仿宋" w:eastAsia="仿宋" w:cs="仿宋"/>
          <w:kern w:val="0"/>
          <w:sz w:val="32"/>
          <w:szCs w:val="32"/>
        </w:rPr>
        <w:t>总完成值：1945+25629+13558=41132个样</w:t>
      </w:r>
    </w:p>
    <w:p w14:paraId="5949EF32">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ind w:left="0" w:firstLine="645"/>
        <w:jc w:val="both"/>
        <w:textAlignment w:val="auto"/>
        <w:rPr>
          <w:rFonts w:hint="eastAsia" w:ascii="宋体" w:hAnsi="宋体" w:eastAsia="宋体" w:cs="宋体"/>
          <w:kern w:val="0"/>
          <w:sz w:val="32"/>
          <w:szCs w:val="32"/>
        </w:rPr>
      </w:pPr>
      <w:r>
        <w:rPr>
          <w:rFonts w:hint="eastAsia" w:ascii="黑体" w:hAnsi="宋体" w:eastAsia="黑体" w:cs="黑体"/>
          <w:kern w:val="0"/>
          <w:sz w:val="32"/>
          <w:szCs w:val="32"/>
        </w:rPr>
        <w:t>五、其他需要说明的问题</w:t>
      </w:r>
    </w:p>
    <w:p w14:paraId="04871962">
      <w:pPr>
        <w:pStyle w:val="4"/>
        <w:keepNext w:val="0"/>
        <w:keepLines w:val="0"/>
        <w:pageBreakBefore w:val="0"/>
        <w:widowControl/>
        <w:suppressLineNumbers w:val="0"/>
        <w:kinsoku/>
        <w:wordWrap/>
        <w:overflowPunct/>
        <w:topLinePunct w:val="0"/>
        <w:autoSpaceDE w:val="0"/>
        <w:autoSpaceDN/>
        <w:bidi w:val="0"/>
        <w:adjustRightInd w:val="0"/>
        <w:snapToGrid/>
        <w:spacing w:beforeAutospacing="0" w:afterAutospacing="0" w:line="550" w:lineRule="exact"/>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仿宋" w:hAnsi="仿宋" w:eastAsia="仿宋" w:cs="仿宋"/>
          <w:kern w:val="0"/>
          <w:sz w:val="32"/>
          <w:szCs w:val="32"/>
        </w:rPr>
        <w:t>无。</w:t>
      </w:r>
    </w:p>
    <w:p w14:paraId="43A1C77C">
      <w:pPr>
        <w:keepNext w:val="0"/>
        <w:keepLines w:val="0"/>
        <w:pageBreakBefore w:val="0"/>
        <w:widowControl/>
        <w:kinsoku/>
        <w:wordWrap/>
        <w:overflowPunct/>
        <w:topLinePunct w:val="0"/>
        <w:autoSpaceDN/>
        <w:bidi w:val="0"/>
        <w:snapToGrid/>
        <w:spacing w:beforeAutospacing="0" w:afterAutospacing="0" w:line="550" w:lineRule="exact"/>
        <w:textAlignment w:val="auto"/>
      </w:pPr>
    </w:p>
    <w:sectPr>
      <w:pgSz w:w="11906" w:h="16839"/>
      <w:pgMar w:top="1440" w:right="1706" w:bottom="1440" w:left="156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1D3292"/>
    <w:rsid w:val="679A1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99"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nhideWhenUsed/>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普通(网站)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
    <w:name w:val="19"/>
    <w:basedOn w:val="3"/>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1528</Words>
  <Characters>1701</Characters>
  <Lines>0</Lines>
  <Paragraphs>0</Paragraphs>
  <TotalTime>0</TotalTime>
  <ScaleCrop>false</ScaleCrop>
  <LinksUpToDate>false</LinksUpToDate>
  <CharactersWithSpaces>1738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2026-03-12T09:01:00Z</dcterms:created>
  <dc:creator>82403</dc:creator>
  <cp:lastModifiedBy>劉</cp:lastModifiedBy>
  <dcterms:modified xsi:type="dcterms:W3CDTF">2026-03-12T09:03:43Z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eyJoZGlkIjoiZGExZDE1MWY5ZjEyZWM2NGJiNjU1Y2U3OGNmMmEzMjEiLCJ1c2VySWQiOiIyODY0MzgzNTIifQ==</vt:lpwstr>
  </property>
  <property fmtid="{D5CDD505-2E9C-101B-9397-08002B2CF9AE}" pid="4" name="ICV">
    <vt:lpwstr>9ECEA2B1B312419D93A04078809F244B_12</vt:lpwstr>
  </property>
</Properties>
</file>