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E356A">
      <w:pPr>
        <w:spacing w:line="578" w:lineRule="exact"/>
        <w:jc w:val="center"/>
        <w:rPr>
          <w:rFonts w:hint="eastAsia" w:asciiTheme="majorEastAsia" w:hAnsiTheme="majorEastAsia" w:eastAsiaTheme="majorEastAsia" w:cstheme="majorEastAsia"/>
          <w:b/>
          <w:bCs/>
          <w:color w:val="auto"/>
          <w:sz w:val="44"/>
          <w:szCs w:val="44"/>
        </w:rPr>
      </w:pPr>
      <w:r>
        <w:rPr>
          <w:rFonts w:hint="eastAsia" w:asciiTheme="majorEastAsia" w:hAnsiTheme="majorEastAsia" w:eastAsiaTheme="majorEastAsia" w:cstheme="majorEastAsia"/>
          <w:b/>
          <w:bCs/>
          <w:color w:val="auto"/>
          <w:sz w:val="44"/>
          <w:szCs w:val="44"/>
        </w:rPr>
        <w:t>海南省畜牧技术推广总站</w:t>
      </w:r>
      <w:r>
        <w:rPr>
          <w:rFonts w:hint="default" w:asciiTheme="majorEastAsia" w:hAnsiTheme="majorEastAsia" w:eastAsiaTheme="majorEastAsia" w:cstheme="majorEastAsia"/>
          <w:b/>
          <w:bCs/>
          <w:color w:val="auto"/>
          <w:sz w:val="44"/>
          <w:szCs w:val="44"/>
          <w:lang w:val="en-US"/>
        </w:rPr>
        <w:t>2025</w:t>
      </w:r>
      <w:r>
        <w:rPr>
          <w:rFonts w:hint="eastAsia" w:asciiTheme="majorEastAsia" w:hAnsiTheme="majorEastAsia" w:eastAsiaTheme="majorEastAsia" w:cstheme="majorEastAsia"/>
          <w:b/>
          <w:bCs/>
          <w:color w:val="auto"/>
          <w:sz w:val="44"/>
          <w:szCs w:val="44"/>
        </w:rPr>
        <w:t>年度部门决算公开报告</w:t>
      </w:r>
    </w:p>
    <w:p w14:paraId="6C2B2D3A">
      <w:pPr>
        <w:spacing w:line="578" w:lineRule="exact"/>
        <w:jc w:val="center"/>
        <w:rPr>
          <w:rFonts w:hint="eastAsia" w:ascii="黑体" w:hAnsi="ˎ̥" w:eastAsia="黑体"/>
          <w:b/>
          <w:color w:val="auto"/>
          <w:sz w:val="32"/>
          <w:szCs w:val="32"/>
        </w:rPr>
      </w:pPr>
    </w:p>
    <w:p w14:paraId="6A8F1018">
      <w:pPr>
        <w:spacing w:line="578" w:lineRule="exact"/>
        <w:jc w:val="center"/>
        <w:rPr>
          <w:rFonts w:hint="eastAsia" w:ascii="黑体" w:hAnsi="黑体" w:eastAsia="黑体" w:cs="黑体"/>
          <w:color w:val="auto"/>
          <w:sz w:val="44"/>
          <w:szCs w:val="44"/>
        </w:rPr>
      </w:pPr>
      <w:bookmarkStart w:id="0" w:name="_Toc11440_WPSOffice_Type2"/>
      <w:r>
        <w:rPr>
          <w:rFonts w:hint="eastAsia" w:ascii="黑体" w:hAnsi="黑体" w:eastAsia="黑体" w:cs="黑体"/>
          <w:color w:val="auto"/>
          <w:sz w:val="44"/>
          <w:szCs w:val="44"/>
        </w:rPr>
        <w:t>目  录</w:t>
      </w:r>
    </w:p>
    <w:p w14:paraId="6A2F743B">
      <w:pPr>
        <w:pStyle w:val="18"/>
        <w:tabs>
          <w:tab w:val="right" w:leader="dot" w:pos="8306"/>
        </w:tabs>
        <w:spacing w:line="578" w:lineRule="exact"/>
        <w:rPr>
          <w:rFonts w:hint="eastAsia"/>
          <w:color w:val="auto"/>
          <w:sz w:val="32"/>
          <w:szCs w:val="32"/>
        </w:rPr>
      </w:pPr>
      <w:r>
        <w:rPr>
          <w:color w:val="auto"/>
          <w:sz w:val="32"/>
          <w:szCs w:val="32"/>
        </w:rPr>
        <w:fldChar w:fldCharType="begin"/>
      </w:r>
      <w:r>
        <w:rPr>
          <w:color w:val="auto"/>
          <w:sz w:val="32"/>
          <w:szCs w:val="32"/>
        </w:rPr>
        <w:instrText xml:space="preserve"> HYPERLINK \l _Toc1704_WPSOffice_Level1 </w:instrText>
      </w:r>
      <w:r>
        <w:rPr>
          <w:color w:val="auto"/>
          <w:sz w:val="32"/>
          <w:szCs w:val="32"/>
        </w:rPr>
        <w:fldChar w:fldCharType="separate"/>
      </w:r>
      <w:r>
        <w:rPr>
          <w:rFonts w:hint="eastAsia" w:ascii="黑体" w:hAnsi="ˎ̥" w:eastAsia="黑体"/>
          <w:color w:val="auto"/>
          <w:sz w:val="32"/>
          <w:szCs w:val="32"/>
        </w:rPr>
        <w:t>第一部分 基本情况</w:t>
      </w:r>
      <w:r>
        <w:rPr>
          <w:color w:val="auto"/>
          <w:sz w:val="32"/>
          <w:szCs w:val="32"/>
        </w:rPr>
        <w:tab/>
      </w:r>
      <w:r>
        <w:rPr>
          <w:color w:val="auto"/>
          <w:sz w:val="32"/>
          <w:szCs w:val="32"/>
        </w:rPr>
        <w:fldChar w:fldCharType="end"/>
      </w:r>
      <w:r>
        <w:rPr>
          <w:rFonts w:hint="eastAsia"/>
          <w:color w:val="auto"/>
          <w:sz w:val="32"/>
          <w:szCs w:val="32"/>
        </w:rPr>
        <w:t>2</w:t>
      </w:r>
    </w:p>
    <w:p w14:paraId="29CBFE79">
      <w:pPr>
        <w:pStyle w:val="19"/>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_Toc20274_WPSOffice_Level2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一、部门（单位）职责</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2</w:t>
      </w:r>
    </w:p>
    <w:p w14:paraId="09089809">
      <w:pPr>
        <w:pStyle w:val="19"/>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_Toc4833_WPSOffice_Level2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二、机构设置</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2</w:t>
      </w:r>
    </w:p>
    <w:p w14:paraId="3B013F23">
      <w:pPr>
        <w:pStyle w:val="18"/>
        <w:tabs>
          <w:tab w:val="right" w:leader="dot" w:pos="8306"/>
        </w:tabs>
        <w:spacing w:line="578" w:lineRule="exact"/>
        <w:rPr>
          <w:rFonts w:hint="eastAsia" w:eastAsia="宋体"/>
          <w:color w:val="auto"/>
          <w:sz w:val="32"/>
          <w:szCs w:val="32"/>
          <w:lang w:val="en-US" w:eastAsia="zh-CN"/>
        </w:rPr>
      </w:pPr>
      <w:r>
        <w:rPr>
          <w:color w:val="auto"/>
          <w:sz w:val="32"/>
          <w:szCs w:val="32"/>
        </w:rPr>
        <w:fldChar w:fldCharType="begin"/>
      </w:r>
      <w:r>
        <w:rPr>
          <w:color w:val="auto"/>
          <w:sz w:val="32"/>
          <w:szCs w:val="32"/>
        </w:rPr>
        <w:instrText xml:space="preserve"> HYPERLINK \l _Toc28253_WPSOffice_Level1 </w:instrText>
      </w:r>
      <w:r>
        <w:rPr>
          <w:color w:val="auto"/>
          <w:sz w:val="32"/>
          <w:szCs w:val="32"/>
        </w:rPr>
        <w:fldChar w:fldCharType="separate"/>
      </w:r>
      <w:r>
        <w:rPr>
          <w:rFonts w:hint="eastAsia" w:ascii="黑体" w:hAnsi="ˎ̥" w:eastAsia="黑体"/>
          <w:color w:val="auto"/>
          <w:sz w:val="32"/>
          <w:szCs w:val="32"/>
        </w:rPr>
        <w:t xml:space="preserve">第二部分  </w:t>
      </w:r>
      <w:r>
        <w:rPr>
          <w:rFonts w:hint="default" w:ascii="黑体" w:hAnsi="ˎ̥" w:eastAsia="黑体"/>
          <w:color w:val="auto"/>
          <w:sz w:val="32"/>
          <w:szCs w:val="32"/>
          <w:lang w:val="en-US"/>
        </w:rPr>
        <w:t>2025</w:t>
      </w:r>
      <w:r>
        <w:rPr>
          <w:rFonts w:hint="eastAsia" w:ascii="黑体" w:hAnsi="ˎ̥" w:eastAsia="黑体"/>
          <w:color w:val="auto"/>
          <w:sz w:val="32"/>
          <w:szCs w:val="32"/>
        </w:rPr>
        <w:t>年度部门决算公开表</w:t>
      </w:r>
      <w:r>
        <w:rPr>
          <w:color w:val="auto"/>
          <w:sz w:val="32"/>
          <w:szCs w:val="32"/>
        </w:rPr>
        <w:tab/>
      </w:r>
      <w:r>
        <w:rPr>
          <w:color w:val="auto"/>
          <w:sz w:val="32"/>
          <w:szCs w:val="32"/>
        </w:rPr>
        <w:fldChar w:fldCharType="end"/>
      </w:r>
      <w:r>
        <w:rPr>
          <w:rFonts w:hint="eastAsia"/>
          <w:color w:val="auto"/>
          <w:sz w:val="32"/>
          <w:szCs w:val="32"/>
          <w:lang w:val="en-US" w:eastAsia="zh-CN"/>
        </w:rPr>
        <w:t>3</w:t>
      </w:r>
    </w:p>
    <w:p w14:paraId="6E57563D">
      <w:pPr>
        <w:pStyle w:val="18"/>
        <w:tabs>
          <w:tab w:val="right" w:leader="dot" w:pos="8306"/>
        </w:tabs>
        <w:spacing w:line="578" w:lineRule="exact"/>
        <w:rPr>
          <w:rFonts w:hint="eastAsia" w:eastAsia="宋体"/>
          <w:color w:val="auto"/>
          <w:sz w:val="32"/>
          <w:szCs w:val="32"/>
          <w:lang w:val="en-US" w:eastAsia="zh-CN"/>
        </w:rPr>
      </w:pPr>
      <w:r>
        <w:rPr>
          <w:color w:val="auto"/>
          <w:sz w:val="32"/>
          <w:szCs w:val="32"/>
        </w:rPr>
        <w:fldChar w:fldCharType="begin"/>
      </w:r>
      <w:r>
        <w:rPr>
          <w:color w:val="auto"/>
          <w:sz w:val="32"/>
          <w:szCs w:val="32"/>
        </w:rPr>
        <w:instrText xml:space="preserve"> HYPERLINK \l _Toc27590_WPSOffice_Level1 </w:instrText>
      </w:r>
      <w:r>
        <w:rPr>
          <w:color w:val="auto"/>
          <w:sz w:val="32"/>
          <w:szCs w:val="32"/>
        </w:rPr>
        <w:fldChar w:fldCharType="separate"/>
      </w:r>
      <w:r>
        <w:rPr>
          <w:rFonts w:hint="eastAsia" w:ascii="黑体" w:hAnsi="黑体" w:eastAsia="黑体" w:cs="黑体"/>
          <w:color w:val="auto"/>
          <w:sz w:val="32"/>
          <w:szCs w:val="32"/>
        </w:rPr>
        <w:t>第三部分</w:t>
      </w:r>
      <w:r>
        <w:rPr>
          <w:rFonts w:hint="eastAsia"/>
          <w:color w:val="auto"/>
          <w:sz w:val="32"/>
          <w:szCs w:val="32"/>
        </w:rPr>
        <w:t xml:space="preserve">  </w:t>
      </w:r>
      <w:r>
        <w:rPr>
          <w:rFonts w:hint="default" w:ascii="黑体" w:hAnsi="ˎ̥" w:eastAsia="黑体"/>
          <w:color w:val="auto"/>
          <w:sz w:val="32"/>
          <w:szCs w:val="32"/>
          <w:lang w:val="en-US"/>
        </w:rPr>
        <w:t>2025</w:t>
      </w:r>
      <w:r>
        <w:rPr>
          <w:rFonts w:hint="eastAsia" w:ascii="黑体" w:hAnsi="ˎ̥" w:eastAsia="黑体"/>
          <w:color w:val="auto"/>
          <w:sz w:val="32"/>
          <w:szCs w:val="32"/>
        </w:rPr>
        <w:t>年度部门决算情况说明</w:t>
      </w:r>
      <w:r>
        <w:rPr>
          <w:color w:val="auto"/>
          <w:sz w:val="32"/>
          <w:szCs w:val="32"/>
        </w:rPr>
        <w:tab/>
      </w:r>
      <w:r>
        <w:rPr>
          <w:color w:val="auto"/>
          <w:sz w:val="32"/>
          <w:szCs w:val="32"/>
        </w:rPr>
        <w:fldChar w:fldCharType="end"/>
      </w:r>
      <w:r>
        <w:rPr>
          <w:rFonts w:hint="eastAsia"/>
          <w:color w:val="auto"/>
          <w:sz w:val="32"/>
          <w:szCs w:val="32"/>
          <w:lang w:val="en-US" w:eastAsia="zh-CN"/>
        </w:rPr>
        <w:t>4</w:t>
      </w:r>
    </w:p>
    <w:p w14:paraId="65C40179">
      <w:pPr>
        <w:pStyle w:val="19"/>
        <w:tabs>
          <w:tab w:val="right" w:leader="dot" w:pos="8306"/>
        </w:tabs>
        <w:spacing w:line="578" w:lineRule="exact"/>
        <w:ind w:leftChars="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_Toc21737_WPSOffice_Level2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一、收入支出总体情况说明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lang w:val="en-US" w:eastAsia="zh-CN"/>
        </w:rPr>
        <w:t>4</w:t>
      </w:r>
    </w:p>
    <w:p w14:paraId="4BD7D57F">
      <w:pPr>
        <w:pStyle w:val="19"/>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二、收入决算情况说明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4</w:t>
      </w:r>
    </w:p>
    <w:p w14:paraId="0C54764D">
      <w:pPr>
        <w:pStyle w:val="19"/>
        <w:tabs>
          <w:tab w:val="right" w:leader="dot" w:pos="8306"/>
        </w:tabs>
        <w:spacing w:line="578" w:lineRule="exact"/>
        <w:ind w:leftChars="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三、支出决算情况说明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lang w:val="en-US" w:eastAsia="zh-CN"/>
        </w:rPr>
        <w:t>5</w:t>
      </w:r>
    </w:p>
    <w:p w14:paraId="51FC70A3">
      <w:pPr>
        <w:pStyle w:val="19"/>
        <w:tabs>
          <w:tab w:val="right" w:leader="dot" w:pos="8306"/>
        </w:tabs>
        <w:spacing w:line="578" w:lineRule="exact"/>
        <w:ind w:leftChars="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四、财政拨款收入支出决算</w:t>
      </w:r>
      <w:r>
        <w:rPr>
          <w:rFonts w:hint="eastAsia" w:ascii="仿宋" w:hAnsi="仿宋" w:eastAsia="仿宋" w:cs="仿宋"/>
          <w:bCs/>
          <w:color w:val="auto"/>
          <w:sz w:val="32"/>
          <w:szCs w:val="32"/>
          <w:lang w:val="en-US" w:eastAsia="zh-CN"/>
        </w:rPr>
        <w:t>总体</w:t>
      </w:r>
      <w:r>
        <w:rPr>
          <w:rFonts w:hint="eastAsia" w:ascii="仿宋" w:hAnsi="仿宋" w:eastAsia="仿宋" w:cs="仿宋"/>
          <w:bCs/>
          <w:color w:val="auto"/>
          <w:sz w:val="32"/>
          <w:szCs w:val="32"/>
        </w:rPr>
        <w:t>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lang w:val="en-US" w:eastAsia="zh-CN"/>
        </w:rPr>
        <w:t>5</w:t>
      </w:r>
    </w:p>
    <w:p w14:paraId="7A0C8420">
      <w:pPr>
        <w:pStyle w:val="19"/>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五、一般公共预算财政拨款支出决算情况说明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5</w:t>
      </w:r>
    </w:p>
    <w:p w14:paraId="0F3513AE">
      <w:pPr>
        <w:pStyle w:val="19"/>
        <w:tabs>
          <w:tab w:val="right" w:leader="dot" w:pos="8306"/>
        </w:tabs>
        <w:spacing w:line="578" w:lineRule="exact"/>
        <w:ind w:leftChars="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六、一般公共预算财政拨款基本支出决算情况说明</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ab/>
      </w:r>
      <w:r>
        <w:rPr>
          <w:rFonts w:hint="eastAsia" w:ascii="仿宋" w:hAnsi="仿宋" w:eastAsia="仿宋" w:cs="仿宋"/>
          <w:color w:val="auto"/>
          <w:sz w:val="32"/>
          <w:szCs w:val="32"/>
          <w:lang w:val="en-US" w:eastAsia="zh-CN"/>
        </w:rPr>
        <w:t>8</w:t>
      </w:r>
    </w:p>
    <w:p w14:paraId="14C271AC">
      <w:pPr>
        <w:pStyle w:val="19"/>
        <w:numPr>
          <w:ilvl w:val="0"/>
          <w:numId w:val="0"/>
        </w:numPr>
        <w:tabs>
          <w:tab w:val="right" w:leader="dot" w:pos="8306"/>
        </w:tabs>
        <w:spacing w:line="578" w:lineRule="exact"/>
        <w:rPr>
          <w:rFonts w:hint="eastAsia" w:ascii="仿宋" w:hAnsi="仿宋" w:eastAsia="仿宋" w:cs="仿宋"/>
          <w:color w:val="auto"/>
          <w:sz w:val="32"/>
          <w:szCs w:val="32"/>
          <w:lang w:val="en-US" w:eastAsia="zh-CN"/>
        </w:rPr>
      </w:pPr>
      <w:r>
        <w:rPr>
          <w:rFonts w:hint="eastAsia" w:ascii="仿宋" w:hAnsi="仿宋" w:eastAsia="仿宋" w:cs="仿宋"/>
          <w:bCs/>
          <w:color w:val="auto"/>
          <w:sz w:val="32"/>
          <w:szCs w:val="32"/>
          <w:lang w:val="en-US" w:eastAsia="zh-CN"/>
        </w:rPr>
        <w:t>七、</w:t>
      </w:r>
      <w:r>
        <w:rPr>
          <w:rFonts w:hint="eastAsia" w:ascii="仿宋" w:hAnsi="仿宋" w:eastAsia="仿宋" w:cs="仿宋"/>
          <w:bCs/>
          <w:color w:val="auto"/>
          <w:sz w:val="32"/>
          <w:szCs w:val="32"/>
        </w:rPr>
        <w:t>政府性基金预算财政拨款支出决算情况说明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lang w:val="en-US" w:eastAsia="zh-CN"/>
        </w:rPr>
        <w:t>8</w:t>
      </w:r>
    </w:p>
    <w:p w14:paraId="341B0484">
      <w:pPr>
        <w:pStyle w:val="19"/>
        <w:numPr>
          <w:ilvl w:val="0"/>
          <w:numId w:val="0"/>
        </w:numPr>
        <w:tabs>
          <w:tab w:val="right" w:leader="dot" w:pos="8306"/>
        </w:tabs>
        <w:spacing w:line="578" w:lineRule="exact"/>
        <w:rPr>
          <w:rFonts w:hint="eastAsia" w:ascii="仿宋" w:hAnsi="仿宋" w:eastAsia="仿宋" w:cs="仿宋"/>
          <w:color w:val="auto"/>
          <w:sz w:val="32"/>
          <w:szCs w:val="32"/>
        </w:rPr>
      </w:pPr>
      <w:r>
        <w:rPr>
          <w:rFonts w:hint="eastAsia" w:ascii="仿宋" w:hAnsi="仿宋" w:eastAsia="仿宋" w:cs="仿宋"/>
          <w:bCs/>
          <w:color w:val="auto"/>
          <w:sz w:val="32"/>
          <w:szCs w:val="32"/>
          <w:lang w:val="en-US" w:eastAsia="zh-CN"/>
        </w:rPr>
        <w:t>八、</w:t>
      </w:r>
      <w:r>
        <w:rPr>
          <w:rFonts w:hint="eastAsia" w:ascii="仿宋" w:hAnsi="仿宋" w:eastAsia="仿宋" w:cs="仿宋"/>
          <w:bCs/>
          <w:color w:val="auto"/>
          <w:sz w:val="32"/>
          <w:szCs w:val="32"/>
        </w:rPr>
        <w:t>国有资本经营预算财政拨款支出决算情况说明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t>8</w:t>
      </w:r>
    </w:p>
    <w:p w14:paraId="4A5010BD">
      <w:pPr>
        <w:pStyle w:val="19"/>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九、财政拨款“三公”经费支出决算情况说明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9</w:t>
      </w:r>
    </w:p>
    <w:p w14:paraId="23F091F4">
      <w:pPr>
        <w:pStyle w:val="19"/>
        <w:tabs>
          <w:tab w:val="right" w:leader="dot" w:pos="8306"/>
        </w:tabs>
        <w:spacing w:line="578" w:lineRule="exact"/>
        <w:ind w:leftChars="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十、预算绩效情况说明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0</w:t>
      </w:r>
    </w:p>
    <w:p w14:paraId="11226842">
      <w:pPr>
        <w:pStyle w:val="19"/>
        <w:numPr>
          <w:ilvl w:val="0"/>
          <w:numId w:val="0"/>
        </w:numPr>
        <w:tabs>
          <w:tab w:val="right" w:leader="dot" w:pos="8306"/>
        </w:tabs>
        <w:spacing w:line="578" w:lineRule="exact"/>
        <w:rPr>
          <w:rFonts w:hint="eastAsia" w:ascii="仿宋" w:hAnsi="仿宋" w:eastAsia="仿宋" w:cs="仿宋"/>
          <w:color w:val="auto"/>
          <w:sz w:val="32"/>
          <w:szCs w:val="32"/>
        </w:rPr>
      </w:pPr>
      <w:r>
        <w:rPr>
          <w:rFonts w:hint="eastAsia" w:ascii="仿宋" w:hAnsi="仿宋" w:eastAsia="仿宋" w:cs="仿宋"/>
          <w:bCs/>
          <w:color w:val="auto"/>
          <w:sz w:val="32"/>
          <w:szCs w:val="32"/>
          <w:lang w:val="en-US" w:eastAsia="zh-CN"/>
        </w:rPr>
        <w:t>十一、</w:t>
      </w:r>
      <w:r>
        <w:rPr>
          <w:rFonts w:hint="eastAsia" w:ascii="仿宋" w:hAnsi="仿宋" w:eastAsia="仿宋" w:cs="仿宋"/>
          <w:bCs/>
          <w:color w:val="auto"/>
          <w:sz w:val="32"/>
          <w:szCs w:val="32"/>
        </w:rPr>
        <w:t>落实习惯过紧日子要求、保障重点支出情况说明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t>13</w:t>
      </w:r>
    </w:p>
    <w:p w14:paraId="4705ABB2">
      <w:pPr>
        <w:pStyle w:val="19"/>
        <w:tabs>
          <w:tab w:val="right" w:leader="dot" w:pos="8306"/>
        </w:tabs>
        <w:spacing w:line="578" w:lineRule="exact"/>
        <w:ind w:leftChars="0"/>
        <w:rPr>
          <w:rFonts w:hint="default" w:ascii="仿宋" w:hAnsi="仿宋" w:eastAsia="仿宋" w:cs="仿宋"/>
          <w:color w:val="auto"/>
          <w:sz w:val="32"/>
          <w:szCs w:val="32"/>
          <w:lang w:val="en-US"/>
        </w:rPr>
      </w:pPr>
      <w:r>
        <w:rPr>
          <w:rFonts w:hint="eastAsia" w:ascii="仿宋" w:hAnsi="仿宋" w:eastAsia="仿宋" w:cs="仿宋"/>
          <w:bCs/>
          <w:color w:val="auto"/>
          <w:sz w:val="32"/>
          <w:szCs w:val="32"/>
        </w:rPr>
        <w:t>十</w:t>
      </w:r>
      <w:r>
        <w:rPr>
          <w:rFonts w:hint="eastAsia" w:ascii="仿宋" w:hAnsi="仿宋" w:eastAsia="仿宋" w:cs="仿宋"/>
          <w:bCs/>
          <w:color w:val="auto"/>
          <w:sz w:val="32"/>
          <w:szCs w:val="32"/>
          <w:lang w:val="en-US" w:eastAsia="zh-CN"/>
        </w:rPr>
        <w:t>二</w:t>
      </w:r>
      <w:r>
        <w:rPr>
          <w:rFonts w:hint="eastAsia" w:ascii="仿宋" w:hAnsi="仿宋" w:eastAsia="仿宋" w:cs="仿宋"/>
          <w:bCs/>
          <w:color w:val="auto"/>
          <w:sz w:val="32"/>
          <w:szCs w:val="32"/>
        </w:rPr>
        <w:t>、其他重要事项情况说明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t>1</w:t>
      </w:r>
      <w:r>
        <w:rPr>
          <w:rFonts w:hint="default" w:ascii="仿宋" w:hAnsi="仿宋" w:eastAsia="仿宋" w:cs="仿宋"/>
          <w:color w:val="auto"/>
          <w:sz w:val="32"/>
          <w:szCs w:val="32"/>
          <w:lang w:val="en-US"/>
        </w:rPr>
        <w:t>4</w:t>
      </w:r>
    </w:p>
    <w:p w14:paraId="1704E608">
      <w:pPr>
        <w:pStyle w:val="18"/>
        <w:tabs>
          <w:tab w:val="right" w:leader="dot" w:pos="8306"/>
        </w:tabs>
        <w:spacing w:line="578" w:lineRule="exact"/>
        <w:rPr>
          <w:rFonts w:hint="eastAsia" w:ascii="黑体" w:hAnsi="ˎ̥"/>
          <w:b/>
          <w:color w:val="auto"/>
          <w:sz w:val="32"/>
          <w:szCs w:val="32"/>
        </w:rPr>
      </w:pPr>
      <w:r>
        <w:rPr>
          <w:color w:val="auto"/>
          <w:sz w:val="32"/>
          <w:szCs w:val="32"/>
        </w:rPr>
        <w:fldChar w:fldCharType="begin"/>
      </w:r>
      <w:r>
        <w:rPr>
          <w:color w:val="auto"/>
          <w:sz w:val="32"/>
          <w:szCs w:val="32"/>
        </w:rPr>
        <w:instrText xml:space="preserve"> HYPERLINK \l _Toc15425_WPSOffice_Level1 </w:instrText>
      </w:r>
      <w:r>
        <w:rPr>
          <w:color w:val="auto"/>
          <w:sz w:val="32"/>
          <w:szCs w:val="32"/>
        </w:rPr>
        <w:fldChar w:fldCharType="separate"/>
      </w:r>
      <w:r>
        <w:rPr>
          <w:rFonts w:hint="eastAsia" w:ascii="黑体" w:hAnsi="ˎ̥" w:eastAsia="黑体"/>
          <w:color w:val="auto"/>
          <w:sz w:val="32"/>
          <w:szCs w:val="32"/>
        </w:rPr>
        <w:t>第四部分  名词解释</w:t>
      </w:r>
      <w:r>
        <w:rPr>
          <w:color w:val="auto"/>
          <w:sz w:val="32"/>
          <w:szCs w:val="32"/>
        </w:rPr>
        <w:tab/>
      </w:r>
      <w:bookmarkStart w:id="1" w:name="_Toc15425_WPSOffice_Level1Page"/>
      <w:r>
        <w:rPr>
          <w:color w:val="auto"/>
          <w:sz w:val="32"/>
          <w:szCs w:val="32"/>
        </w:rPr>
        <w:t>1</w:t>
      </w:r>
      <w:bookmarkEnd w:id="1"/>
      <w:r>
        <w:rPr>
          <w:color w:val="auto"/>
          <w:sz w:val="32"/>
          <w:szCs w:val="32"/>
        </w:rPr>
        <w:fldChar w:fldCharType="end"/>
      </w:r>
      <w:bookmarkEnd w:id="0"/>
      <w:r>
        <w:rPr>
          <w:rFonts w:hint="eastAsia"/>
          <w:color w:val="auto"/>
          <w:sz w:val="32"/>
          <w:szCs w:val="32"/>
        </w:rPr>
        <w:t>5</w:t>
      </w:r>
      <w:bookmarkStart w:id="119" w:name="_GoBack"/>
      <w:bookmarkEnd w:id="119"/>
    </w:p>
    <w:p w14:paraId="4EC8D6DA">
      <w:pPr>
        <w:spacing w:line="578" w:lineRule="exact"/>
        <w:jc w:val="both"/>
        <w:rPr>
          <w:rFonts w:hint="eastAsia" w:ascii="黑体" w:hAnsi="ˎ̥" w:eastAsia="黑体"/>
          <w:color w:val="auto"/>
          <w:sz w:val="32"/>
          <w:szCs w:val="32"/>
        </w:rPr>
      </w:pPr>
      <w:bookmarkStart w:id="2" w:name="_Toc23465_WPSOffice_Level1"/>
      <w:bookmarkStart w:id="3" w:name="_Toc32433_WPSOffice_Level1"/>
      <w:bookmarkStart w:id="4" w:name="_Toc1704_WPSOffice_Level1"/>
      <w:bookmarkStart w:id="5" w:name="_Toc22941_WPSOffice_Level1"/>
      <w:bookmarkStart w:id="6" w:name="_Toc10049_WPSOffice_Level1"/>
      <w:bookmarkStart w:id="7" w:name="_Toc10720_WPSOffice_Level1"/>
      <w:bookmarkStart w:id="8" w:name="_Toc24238_WPSOffice_Level2"/>
      <w:bookmarkStart w:id="9" w:name="_Toc26580_WPSOffice_Level2"/>
      <w:bookmarkStart w:id="10" w:name="_Toc20205_WPSOffice_Level2"/>
      <w:bookmarkStart w:id="11" w:name="_Toc32622_WPSOffice_Level2"/>
      <w:bookmarkStart w:id="12" w:name="_Toc20274_WPSOffice_Level2"/>
      <w:bookmarkStart w:id="13" w:name="_Toc14159_WPSOffice_Level2"/>
    </w:p>
    <w:p w14:paraId="13495E08">
      <w:pPr>
        <w:spacing w:line="578" w:lineRule="exact"/>
        <w:jc w:val="center"/>
        <w:rPr>
          <w:rFonts w:hint="eastAsia" w:ascii="黑体" w:hAnsi="ˎ̥" w:eastAsia="黑体"/>
          <w:color w:val="auto"/>
          <w:sz w:val="32"/>
          <w:szCs w:val="32"/>
        </w:rPr>
      </w:pPr>
      <w:r>
        <w:rPr>
          <w:rFonts w:hint="eastAsia" w:ascii="黑体" w:hAnsi="ˎ̥" w:eastAsia="黑体"/>
          <w:color w:val="auto"/>
          <w:sz w:val="32"/>
          <w:szCs w:val="32"/>
        </w:rPr>
        <w:t xml:space="preserve">第一部分  </w:t>
      </w:r>
      <w:bookmarkEnd w:id="2"/>
      <w:bookmarkEnd w:id="3"/>
      <w:bookmarkEnd w:id="4"/>
      <w:bookmarkEnd w:id="5"/>
      <w:bookmarkEnd w:id="6"/>
      <w:bookmarkEnd w:id="7"/>
      <w:r>
        <w:rPr>
          <w:rFonts w:hint="eastAsia" w:ascii="黑体" w:hAnsi="ˎ̥" w:eastAsia="黑体"/>
          <w:color w:val="auto"/>
          <w:sz w:val="32"/>
          <w:szCs w:val="32"/>
        </w:rPr>
        <w:t>基本情况</w:t>
      </w:r>
    </w:p>
    <w:p w14:paraId="59DE4DDD">
      <w:pPr>
        <w:spacing w:line="578" w:lineRule="exact"/>
        <w:ind w:firstLine="640" w:firstLineChars="200"/>
        <w:rPr>
          <w:rFonts w:hint="eastAsia" w:ascii="楷体" w:hAnsi="楷体" w:eastAsia="楷体" w:cs="楷体"/>
          <w:color w:val="auto"/>
          <w:sz w:val="32"/>
          <w:szCs w:val="32"/>
        </w:rPr>
      </w:pPr>
    </w:p>
    <w:p w14:paraId="4A3D8885">
      <w:pPr>
        <w:spacing w:line="578"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一、部门</w:t>
      </w:r>
      <w:bookmarkEnd w:id="8"/>
      <w:r>
        <w:rPr>
          <w:rFonts w:hint="eastAsia" w:ascii="黑体" w:hAnsi="黑体" w:eastAsia="黑体" w:cs="黑体"/>
          <w:color w:val="auto"/>
          <w:sz w:val="32"/>
          <w:szCs w:val="32"/>
        </w:rPr>
        <w:t>（单位）职责</w:t>
      </w:r>
      <w:bookmarkEnd w:id="9"/>
      <w:bookmarkEnd w:id="10"/>
      <w:bookmarkEnd w:id="11"/>
      <w:bookmarkEnd w:id="12"/>
      <w:bookmarkEnd w:id="13"/>
    </w:p>
    <w:p w14:paraId="0BAE1EDB">
      <w:pPr>
        <w:widowControl/>
        <w:numPr>
          <w:ilvl w:val="0"/>
          <w:numId w:val="0"/>
        </w:numPr>
        <w:spacing w:line="360" w:lineRule="auto"/>
        <w:ind w:left="0" w:firstLine="640" w:firstLineChars="200"/>
        <w:jc w:val="left"/>
        <w:rPr>
          <w:rFonts w:ascii="仿宋" w:hAnsi="仿宋" w:eastAsia="仿宋" w:cs="仿宋"/>
          <w:bCs/>
          <w:color w:val="auto"/>
          <w:sz w:val="32"/>
          <w:szCs w:val="32"/>
          <w:shd w:val="clear" w:color="auto" w:fill="FFFFFF"/>
        </w:rPr>
      </w:pPr>
      <w:bookmarkStart w:id="14" w:name="_Toc6572_WPSOffice_Level2"/>
      <w:bookmarkStart w:id="15" w:name="_Toc24474_WPSOffice_Level2"/>
      <w:bookmarkStart w:id="16" w:name="_Toc17796_WPSOffice_Level2"/>
      <w:bookmarkStart w:id="17" w:name="_Toc4833_WPSOffice_Level2"/>
      <w:bookmarkStart w:id="18" w:name="_Toc24059_WPSOffice_Level2"/>
      <w:r>
        <w:rPr>
          <w:rFonts w:hint="eastAsia" w:ascii="仿宋" w:hAnsi="仿宋" w:eastAsia="仿宋" w:cs="仿宋"/>
          <w:bCs/>
          <w:color w:val="auto"/>
          <w:sz w:val="32"/>
          <w:szCs w:val="32"/>
          <w:shd w:val="clear" w:color="auto" w:fill="FFFFFF"/>
        </w:rPr>
        <w:t>海南省畜牧技术推广总站隶属海南省农业农村厅，单位级别为正处级公益一类事业单位，人员编制</w:t>
      </w:r>
      <w:r>
        <w:rPr>
          <w:rFonts w:hint="eastAsia" w:ascii="仿宋" w:hAnsi="仿宋" w:eastAsia="仿宋" w:cs="仿宋"/>
          <w:bCs/>
          <w:color w:val="auto"/>
          <w:sz w:val="32"/>
          <w:szCs w:val="32"/>
          <w:shd w:val="clear" w:color="auto" w:fill="FFFFFF"/>
          <w:lang w:val="en-US" w:eastAsia="zh-CN"/>
        </w:rPr>
        <w:t>19</w:t>
      </w:r>
      <w:r>
        <w:rPr>
          <w:rFonts w:hint="eastAsia" w:ascii="仿宋" w:hAnsi="仿宋" w:eastAsia="仿宋" w:cs="仿宋"/>
          <w:bCs/>
          <w:color w:val="auto"/>
          <w:sz w:val="32"/>
          <w:szCs w:val="32"/>
          <w:shd w:val="clear" w:color="auto" w:fill="FFFFFF"/>
        </w:rPr>
        <w:t>名（全额财政拨款），主要工作职能有：</w:t>
      </w:r>
    </w:p>
    <w:p w14:paraId="234721F5">
      <w:pPr>
        <w:widowControl/>
        <w:numPr>
          <w:ilvl w:val="0"/>
          <w:numId w:val="0"/>
        </w:numPr>
        <w:spacing w:line="360" w:lineRule="auto"/>
        <w:ind w:left="0" w:firstLine="640" w:firstLineChars="200"/>
        <w:jc w:val="left"/>
        <w:rPr>
          <w:rFonts w:ascii="仿宋" w:hAnsi="仿宋" w:eastAsia="仿宋"/>
          <w:b/>
          <w:bCs/>
          <w:color w:val="auto"/>
          <w:sz w:val="32"/>
          <w:szCs w:val="32"/>
        </w:rPr>
      </w:pPr>
      <w:r>
        <w:rPr>
          <w:rFonts w:hint="eastAsia" w:ascii="仿宋" w:hAnsi="仿宋" w:eastAsia="仿宋" w:cs="仿宋"/>
          <w:b w:val="0"/>
          <w:bCs w:val="0"/>
          <w:color w:val="auto"/>
          <w:sz w:val="32"/>
          <w:szCs w:val="32"/>
        </w:rPr>
        <w:t>（一）</w:t>
      </w:r>
      <w:r>
        <w:rPr>
          <w:rFonts w:hint="eastAsia" w:ascii="仿宋" w:hAnsi="仿宋" w:eastAsia="仿宋" w:cs="仿宋"/>
          <w:bCs w:val="0"/>
          <w:color w:val="auto"/>
          <w:sz w:val="32"/>
          <w:szCs w:val="32"/>
        </w:rPr>
        <w:t>协助</w:t>
      </w:r>
      <w:r>
        <w:rPr>
          <w:rFonts w:hint="eastAsia" w:ascii="仿宋" w:hAnsi="仿宋" w:eastAsia="仿宋"/>
          <w:bCs/>
          <w:color w:val="auto"/>
          <w:sz w:val="32"/>
          <w:szCs w:val="32"/>
        </w:rPr>
        <w:t>省畜牧兽医行政主管部门拟定全省畜牧业生产中长期发展规划和技术推广体系建设规划，组织和指导市县畜牧技术推广机构业务工作；</w:t>
      </w:r>
    </w:p>
    <w:p w14:paraId="533FF59C">
      <w:pPr>
        <w:numPr>
          <w:ilvl w:val="0"/>
          <w:numId w:val="0"/>
        </w:numPr>
        <w:spacing w:line="360" w:lineRule="auto"/>
        <w:ind w:left="0" w:firstLine="640" w:firstLineChars="200"/>
        <w:rPr>
          <w:rFonts w:ascii="仿宋" w:hAnsi="仿宋" w:eastAsia="仿宋"/>
          <w:color w:val="auto"/>
          <w:sz w:val="32"/>
        </w:rPr>
      </w:pPr>
      <w:r>
        <w:rPr>
          <w:rFonts w:hint="eastAsia" w:ascii="仿宋" w:hAnsi="仿宋" w:eastAsia="仿宋" w:cs="仿宋"/>
          <w:color w:val="auto"/>
          <w:sz w:val="32"/>
          <w:szCs w:val="32"/>
        </w:rPr>
        <w:t>（二）</w:t>
      </w:r>
      <w:r>
        <w:rPr>
          <w:rFonts w:hint="eastAsia" w:ascii="仿宋" w:hAnsi="仿宋" w:eastAsia="仿宋"/>
          <w:bCs/>
          <w:color w:val="auto"/>
          <w:sz w:val="32"/>
          <w:szCs w:val="32"/>
        </w:rPr>
        <w:t>协助省畜牧兽医行政管理部门做好</w:t>
      </w:r>
      <w:r>
        <w:rPr>
          <w:rFonts w:hint="eastAsia" w:ascii="仿宋" w:hAnsi="仿宋" w:eastAsia="仿宋"/>
          <w:color w:val="auto"/>
          <w:sz w:val="32"/>
        </w:rPr>
        <w:t>畜禽养殖环境粪污综合利用技术指导和服务工作；</w:t>
      </w:r>
    </w:p>
    <w:p w14:paraId="35D6F489">
      <w:pPr>
        <w:numPr>
          <w:ilvl w:val="0"/>
          <w:numId w:val="0"/>
        </w:numPr>
        <w:spacing w:line="360" w:lineRule="auto"/>
        <w:ind w:left="0" w:firstLine="640" w:firstLineChars="200"/>
        <w:rPr>
          <w:rFonts w:ascii="仿宋" w:hAnsi="仿宋" w:eastAsia="仿宋"/>
          <w:color w:val="auto"/>
          <w:sz w:val="32"/>
        </w:rPr>
      </w:pPr>
      <w:r>
        <w:rPr>
          <w:rFonts w:hint="eastAsia" w:ascii="仿宋" w:hAnsi="仿宋" w:eastAsia="仿宋" w:cs="仿宋"/>
          <w:bCs/>
          <w:color w:val="auto"/>
          <w:sz w:val="32"/>
          <w:szCs w:val="32"/>
        </w:rPr>
        <w:t>（三）</w:t>
      </w:r>
      <w:r>
        <w:rPr>
          <w:rFonts w:hint="eastAsia" w:ascii="仿宋" w:hAnsi="仿宋" w:eastAsia="仿宋"/>
          <w:color w:val="auto"/>
          <w:sz w:val="32"/>
        </w:rPr>
        <w:t>负责畜牧业生产、饲料工业和牧草统计分析监测工作，开展牧草资源的调查、保护、开发利用、示范与管理工作；</w:t>
      </w:r>
    </w:p>
    <w:p w14:paraId="49622EF7">
      <w:pPr>
        <w:numPr>
          <w:ilvl w:val="0"/>
          <w:numId w:val="0"/>
        </w:numPr>
        <w:spacing w:line="360" w:lineRule="auto"/>
        <w:ind w:left="0" w:firstLine="640" w:firstLineChars="200"/>
        <w:rPr>
          <w:rFonts w:ascii="仿宋" w:hAnsi="仿宋" w:eastAsia="仿宋"/>
          <w:color w:val="auto"/>
          <w:sz w:val="32"/>
        </w:rPr>
      </w:pPr>
      <w:r>
        <w:rPr>
          <w:rFonts w:hint="eastAsia" w:ascii="仿宋" w:hAnsi="仿宋" w:eastAsia="仿宋" w:cs="仿宋"/>
          <w:bCs/>
          <w:color w:val="auto"/>
          <w:sz w:val="32"/>
          <w:szCs w:val="32"/>
        </w:rPr>
        <w:t>（四）</w:t>
      </w:r>
      <w:r>
        <w:rPr>
          <w:rFonts w:hint="eastAsia" w:ascii="仿宋" w:hAnsi="仿宋" w:eastAsia="仿宋"/>
          <w:color w:val="auto"/>
          <w:sz w:val="32"/>
        </w:rPr>
        <w:t>负责全省畜牧业技术推广、技能鉴定及培训工作；承担畜牧业技术、品种及产品质量标准编制、修订与认证评审工作；</w:t>
      </w:r>
    </w:p>
    <w:p w14:paraId="041B0EB3">
      <w:pPr>
        <w:numPr>
          <w:ilvl w:val="0"/>
          <w:numId w:val="0"/>
        </w:numPr>
        <w:spacing w:line="360" w:lineRule="auto"/>
        <w:ind w:left="0" w:firstLine="640" w:firstLineChars="200"/>
        <w:rPr>
          <w:rFonts w:ascii="仿宋" w:hAnsi="仿宋" w:eastAsia="仿宋"/>
          <w:color w:val="auto"/>
          <w:sz w:val="32"/>
        </w:rPr>
      </w:pPr>
      <w:r>
        <w:rPr>
          <w:rFonts w:hint="eastAsia" w:ascii="仿宋" w:hAnsi="仿宋" w:eastAsia="仿宋"/>
          <w:bCs/>
          <w:color w:val="auto"/>
          <w:sz w:val="32"/>
          <w:szCs w:val="32"/>
        </w:rPr>
        <w:t>（五）</w:t>
      </w:r>
      <w:r>
        <w:rPr>
          <w:rFonts w:hint="eastAsia" w:ascii="仿宋" w:hAnsi="仿宋" w:eastAsia="仿宋"/>
          <w:color w:val="auto"/>
          <w:sz w:val="32"/>
        </w:rPr>
        <w:t>参与畜禽标准化养殖示范场、养殖小区、畜牧业生产与加工园区的建设指导及认证评审工作；负责畜禽标识管理工作；</w:t>
      </w:r>
    </w:p>
    <w:p w14:paraId="5234556E">
      <w:pPr>
        <w:numPr>
          <w:ilvl w:val="0"/>
          <w:numId w:val="0"/>
        </w:numPr>
        <w:spacing w:line="360" w:lineRule="auto"/>
        <w:ind w:left="0" w:firstLine="640" w:firstLineChars="200"/>
        <w:rPr>
          <w:rFonts w:ascii="仿宋" w:hAnsi="仿宋" w:eastAsia="仿宋"/>
          <w:color w:val="auto"/>
          <w:sz w:val="32"/>
        </w:rPr>
      </w:pPr>
      <w:r>
        <w:rPr>
          <w:rFonts w:hint="eastAsia" w:ascii="仿宋" w:hAnsi="仿宋" w:eastAsia="仿宋"/>
          <w:color w:val="auto"/>
          <w:sz w:val="32"/>
        </w:rPr>
        <w:t>（六）承担畜禽遗传资源的调查、保护与开发利用工作，组织实施相关品种的初审、登记、引进、繁育、推广工作；承担省级畜禽遗传资源保种场、保护区和基因库等建设技术指导和服务工作；</w:t>
      </w:r>
    </w:p>
    <w:p w14:paraId="2D8EA581">
      <w:pPr>
        <w:numPr>
          <w:ilvl w:val="0"/>
          <w:numId w:val="0"/>
        </w:numPr>
        <w:spacing w:line="360" w:lineRule="auto"/>
        <w:ind w:left="0" w:firstLine="640" w:firstLineChars="200"/>
        <w:rPr>
          <w:rFonts w:ascii="仿宋" w:hAnsi="仿宋" w:eastAsia="仿宋"/>
          <w:color w:val="auto"/>
          <w:sz w:val="32"/>
        </w:rPr>
      </w:pPr>
      <w:r>
        <w:rPr>
          <w:rFonts w:hint="eastAsia" w:ascii="仿宋" w:hAnsi="仿宋" w:eastAsia="仿宋"/>
          <w:color w:val="auto"/>
          <w:sz w:val="32"/>
        </w:rPr>
        <w:t>（七）承担畜牧业技术合作交流及培训工作，指导畜产品加工工作，参与指导饲料及饲料添加剂等生产加工企业的建设、评估及研发工作；</w:t>
      </w:r>
    </w:p>
    <w:p w14:paraId="2BC32D0E">
      <w:pPr>
        <w:widowControl/>
        <w:numPr>
          <w:ilvl w:val="0"/>
          <w:numId w:val="0"/>
        </w:numPr>
        <w:spacing w:line="360" w:lineRule="auto"/>
        <w:ind w:left="0" w:firstLine="640" w:firstLineChars="200"/>
        <w:jc w:val="left"/>
        <w:rPr>
          <w:rFonts w:ascii="仿宋" w:hAnsi="仿宋" w:eastAsia="仿宋" w:cs="仿宋"/>
          <w:bCs/>
          <w:color w:val="auto"/>
          <w:sz w:val="32"/>
          <w:szCs w:val="32"/>
        </w:rPr>
      </w:pPr>
      <w:r>
        <w:rPr>
          <w:rFonts w:hint="eastAsia" w:ascii="仿宋" w:hAnsi="仿宋" w:eastAsia="仿宋" w:cs="仿宋"/>
          <w:bCs/>
          <w:color w:val="auto"/>
          <w:sz w:val="32"/>
          <w:szCs w:val="32"/>
        </w:rPr>
        <w:t>（八）参与畜牧业行政许可事项及审核工作；承担畜牧业项目的相关管理与指导工作；</w:t>
      </w:r>
    </w:p>
    <w:p w14:paraId="0C2EADC4">
      <w:pPr>
        <w:spacing w:line="578" w:lineRule="exact"/>
        <w:ind w:firstLine="640" w:firstLineChars="200"/>
        <w:rPr>
          <w:rFonts w:hint="eastAsia" w:ascii="黑体" w:hAnsi="黑体" w:eastAsia="黑体" w:cs="黑体"/>
          <w:color w:val="auto"/>
          <w:sz w:val="32"/>
          <w:szCs w:val="32"/>
        </w:rPr>
      </w:pPr>
      <w:r>
        <w:rPr>
          <w:rFonts w:hint="eastAsia" w:ascii="仿宋" w:hAnsi="仿宋" w:eastAsia="仿宋" w:cs="仿宋"/>
          <w:bCs/>
          <w:color w:val="auto"/>
          <w:sz w:val="32"/>
          <w:szCs w:val="32"/>
          <w:shd w:val="clear" w:color="auto" w:fill="FFFFFF"/>
          <w:lang w:val="en-US" w:eastAsia="zh-CN"/>
        </w:rPr>
        <w:t>（</w:t>
      </w:r>
      <w:r>
        <w:rPr>
          <w:rFonts w:hint="eastAsia" w:ascii="仿宋" w:hAnsi="仿宋" w:eastAsia="仿宋" w:cs="仿宋"/>
          <w:bCs/>
          <w:color w:val="auto"/>
          <w:sz w:val="32"/>
          <w:szCs w:val="32"/>
          <w:shd w:val="clear" w:color="auto" w:fill="FFFFFF"/>
        </w:rPr>
        <w:t>九）承办上级主管部门交办的其他工作。</w:t>
      </w:r>
    </w:p>
    <w:p w14:paraId="0680DACE">
      <w:pPr>
        <w:spacing w:line="578"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二、机构设置</w:t>
      </w:r>
      <w:bookmarkEnd w:id="14"/>
      <w:bookmarkEnd w:id="15"/>
      <w:bookmarkEnd w:id="16"/>
      <w:bookmarkEnd w:id="17"/>
      <w:bookmarkEnd w:id="18"/>
    </w:p>
    <w:p w14:paraId="2E543363">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Style w:val="11"/>
          <w:rFonts w:hint="eastAsia" w:ascii="仿宋" w:hAnsi="仿宋" w:eastAsia="仿宋" w:cs="仿宋"/>
          <w:bCs/>
          <w:color w:val="auto"/>
          <w:sz w:val="32"/>
          <w:szCs w:val="32"/>
          <w:shd w:val="clear" w:color="auto" w:fill="FFFFFF"/>
        </w:rPr>
      </w:pPr>
      <w:bookmarkStart w:id="19" w:name="_Toc15521_WPSOffice_Level1"/>
      <w:bookmarkStart w:id="20" w:name="_Toc28253_WPSOffice_Level1"/>
      <w:bookmarkStart w:id="21" w:name="_Toc30451_WPSOffice_Level1"/>
      <w:bookmarkStart w:id="22" w:name="_Toc30690_WPSOffice_Level1"/>
      <w:bookmarkStart w:id="23" w:name="_Toc6234_WPSOffice_Level1"/>
      <w:bookmarkStart w:id="24" w:name="_Toc8164_WPSOffice_Level1"/>
      <w:bookmarkStart w:id="25" w:name="_Toc32695_WPSOffice_Level2"/>
      <w:bookmarkStart w:id="26" w:name="_Toc4029_WPSOffice_Level2"/>
      <w:bookmarkStart w:id="27" w:name="_Toc8867_WPSOffice_Level2"/>
      <w:bookmarkStart w:id="28" w:name="_Toc32472_WPSOffice_Level2"/>
      <w:bookmarkStart w:id="29" w:name="_Toc11518_WPSOffice_Level2"/>
      <w:bookmarkStart w:id="30" w:name="_Toc6211_WPSOffice_Level2"/>
      <w:r>
        <w:rPr>
          <w:rFonts w:hint="eastAsia" w:ascii="仿宋" w:hAnsi="仿宋" w:eastAsia="仿宋" w:cs="仿宋"/>
          <w:bCs/>
          <w:color w:val="auto"/>
          <w:sz w:val="32"/>
          <w:szCs w:val="32"/>
          <w:shd w:val="clear" w:color="auto" w:fill="FFFFFF"/>
        </w:rPr>
        <w:t>内部机构</w:t>
      </w:r>
      <w:r>
        <w:rPr>
          <w:rStyle w:val="11"/>
          <w:rFonts w:hint="eastAsia" w:ascii="仿宋" w:hAnsi="仿宋" w:eastAsia="仿宋" w:cs="仿宋"/>
          <w:bCs/>
          <w:color w:val="auto"/>
          <w:sz w:val="32"/>
          <w:szCs w:val="32"/>
          <w:shd w:val="clear" w:color="auto" w:fill="FFFFFF"/>
        </w:rPr>
        <w:t>设置：办公室、技术推广科、种畜禽管理科、市场信息科、饲料与草业科5个科级机构。</w:t>
      </w:r>
    </w:p>
    <w:p w14:paraId="432282E3">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Style w:val="11"/>
          <w:rFonts w:hint="eastAsia" w:ascii="仿宋" w:hAnsi="仿宋" w:eastAsia="仿宋" w:cs="仿宋"/>
          <w:bCs/>
          <w:color w:val="auto"/>
          <w:sz w:val="32"/>
          <w:szCs w:val="32"/>
          <w:shd w:val="clear" w:color="auto" w:fill="FFFFFF"/>
        </w:rPr>
      </w:pPr>
    </w:p>
    <w:p w14:paraId="5ABA64D5">
      <w:pPr>
        <w:spacing w:line="578" w:lineRule="exact"/>
        <w:jc w:val="center"/>
        <w:rPr>
          <w:rFonts w:hint="eastAsia" w:ascii="黑体" w:hAnsi="ˎ̥" w:eastAsia="黑体"/>
          <w:color w:val="auto"/>
          <w:sz w:val="32"/>
          <w:szCs w:val="32"/>
        </w:rPr>
      </w:pPr>
      <w:r>
        <w:rPr>
          <w:rFonts w:hint="eastAsia" w:ascii="黑体" w:hAnsi="ˎ̥" w:eastAsia="黑体"/>
          <w:color w:val="auto"/>
          <w:sz w:val="32"/>
          <w:szCs w:val="32"/>
        </w:rPr>
        <w:t xml:space="preserve">第二部分  </w:t>
      </w:r>
      <w:r>
        <w:rPr>
          <w:rFonts w:hint="default" w:ascii="黑体" w:hAnsi="ˎ̥" w:eastAsia="黑体"/>
          <w:color w:val="auto"/>
          <w:sz w:val="32"/>
          <w:szCs w:val="32"/>
          <w:lang w:val="en-US"/>
        </w:rPr>
        <w:t>2025</w:t>
      </w:r>
      <w:r>
        <w:rPr>
          <w:rFonts w:hint="eastAsia" w:ascii="黑体" w:hAnsi="ˎ̥" w:eastAsia="黑体"/>
          <w:color w:val="auto"/>
          <w:sz w:val="32"/>
          <w:szCs w:val="32"/>
        </w:rPr>
        <w:t>年度部门决算公开报表</w:t>
      </w:r>
      <w:bookmarkEnd w:id="19"/>
      <w:bookmarkEnd w:id="20"/>
      <w:bookmarkEnd w:id="21"/>
      <w:bookmarkEnd w:id="22"/>
      <w:bookmarkEnd w:id="23"/>
      <w:bookmarkEnd w:id="24"/>
    </w:p>
    <w:p w14:paraId="1A7D1292">
      <w:pPr>
        <w:spacing w:line="578" w:lineRule="exact"/>
        <w:ind w:firstLine="645"/>
        <w:rPr>
          <w:rFonts w:hint="eastAsia" w:ascii="黑体" w:hAnsi="黑体" w:eastAsia="黑体" w:cs="黑体"/>
          <w:color w:val="auto"/>
          <w:sz w:val="32"/>
          <w:szCs w:val="32"/>
        </w:rPr>
      </w:pPr>
    </w:p>
    <w:p w14:paraId="4609FEC3">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一、收入支出决算公开表</w:t>
      </w:r>
      <w:bookmarkEnd w:id="25"/>
      <w:bookmarkEnd w:id="26"/>
      <w:bookmarkEnd w:id="27"/>
      <w:bookmarkEnd w:id="28"/>
      <w:bookmarkEnd w:id="29"/>
      <w:bookmarkEnd w:id="30"/>
    </w:p>
    <w:p w14:paraId="646AEC68">
      <w:pPr>
        <w:spacing w:line="578" w:lineRule="exact"/>
        <w:ind w:firstLine="645"/>
        <w:rPr>
          <w:rFonts w:hint="eastAsia" w:ascii="黑体" w:hAnsi="黑体" w:eastAsia="黑体" w:cs="黑体"/>
          <w:color w:val="auto"/>
          <w:sz w:val="32"/>
          <w:szCs w:val="32"/>
        </w:rPr>
      </w:pPr>
      <w:bookmarkStart w:id="31" w:name="_Toc25608_WPSOffice_Level2"/>
      <w:bookmarkStart w:id="32" w:name="_Toc28622_WPSOffice_Level2"/>
      <w:bookmarkStart w:id="33" w:name="_Toc30334_WPSOffice_Level2"/>
      <w:bookmarkStart w:id="34" w:name="_Toc26621_WPSOffice_Level2"/>
      <w:bookmarkStart w:id="35" w:name="_Toc23139_WPSOffice_Level2"/>
      <w:bookmarkStart w:id="36" w:name="_Toc14349_WPSOffice_Level2"/>
      <w:r>
        <w:rPr>
          <w:rFonts w:hint="eastAsia" w:ascii="黑体" w:hAnsi="黑体" w:eastAsia="黑体" w:cs="黑体"/>
          <w:color w:val="auto"/>
          <w:sz w:val="32"/>
          <w:szCs w:val="32"/>
        </w:rPr>
        <w:t>二、收入决算公开表</w:t>
      </w:r>
      <w:bookmarkEnd w:id="31"/>
      <w:bookmarkEnd w:id="32"/>
      <w:bookmarkEnd w:id="33"/>
      <w:bookmarkEnd w:id="34"/>
      <w:bookmarkEnd w:id="35"/>
      <w:bookmarkEnd w:id="36"/>
      <w:bookmarkStart w:id="37" w:name="_Toc17858_WPSOffice_Level2"/>
      <w:bookmarkStart w:id="38" w:name="_Toc3262_WPSOffice_Level2"/>
      <w:bookmarkStart w:id="39" w:name="_Toc13854_WPSOffice_Level2"/>
      <w:bookmarkStart w:id="40" w:name="_Toc5489_WPSOffice_Level2"/>
      <w:bookmarkStart w:id="41" w:name="_Toc17626_WPSOffice_Level2"/>
      <w:bookmarkStart w:id="42" w:name="_Toc14658_WPSOffice_Level2"/>
    </w:p>
    <w:p w14:paraId="2D43FEAF">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三、支出决算公开表</w:t>
      </w:r>
      <w:bookmarkEnd w:id="37"/>
      <w:bookmarkEnd w:id="38"/>
      <w:bookmarkEnd w:id="39"/>
      <w:bookmarkEnd w:id="40"/>
      <w:bookmarkEnd w:id="41"/>
      <w:bookmarkEnd w:id="42"/>
      <w:bookmarkStart w:id="43" w:name="_Toc13701_WPSOffice_Level2"/>
      <w:bookmarkStart w:id="44" w:name="_Toc7988_WPSOffice_Level2"/>
      <w:bookmarkStart w:id="45" w:name="_Toc21415_WPSOffice_Level2"/>
      <w:bookmarkStart w:id="46" w:name="_Toc23493_WPSOffice_Level2"/>
      <w:bookmarkStart w:id="47" w:name="_Toc4265_WPSOffice_Level2"/>
      <w:bookmarkStart w:id="48" w:name="_Toc23591_WPSOffice_Level2"/>
    </w:p>
    <w:p w14:paraId="466CE0B2">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四、财政拨款收入支出决算公开表</w:t>
      </w:r>
      <w:bookmarkEnd w:id="43"/>
      <w:bookmarkEnd w:id="44"/>
      <w:bookmarkEnd w:id="45"/>
      <w:bookmarkEnd w:id="46"/>
      <w:bookmarkEnd w:id="47"/>
      <w:bookmarkEnd w:id="48"/>
    </w:p>
    <w:p w14:paraId="1CA1AAB7">
      <w:pPr>
        <w:spacing w:line="578" w:lineRule="exact"/>
        <w:ind w:firstLine="645"/>
        <w:rPr>
          <w:rFonts w:hint="eastAsia" w:ascii="黑体" w:hAnsi="黑体" w:eastAsia="黑体" w:cs="黑体"/>
          <w:color w:val="auto"/>
          <w:sz w:val="32"/>
          <w:szCs w:val="32"/>
        </w:rPr>
      </w:pPr>
      <w:bookmarkStart w:id="49" w:name="_Toc7879_WPSOffice_Level2"/>
      <w:bookmarkStart w:id="50" w:name="_Toc23829_WPSOffice_Level2"/>
      <w:bookmarkStart w:id="51" w:name="_Toc22783_WPSOffice_Level2"/>
      <w:bookmarkStart w:id="52" w:name="_Toc25166_WPSOffice_Level2"/>
      <w:bookmarkStart w:id="53" w:name="_Toc13516_WPSOffice_Level2"/>
      <w:bookmarkStart w:id="54" w:name="_Toc2158_WPSOffice_Level2"/>
      <w:r>
        <w:rPr>
          <w:rFonts w:hint="eastAsia" w:ascii="黑体" w:hAnsi="黑体" w:eastAsia="黑体" w:cs="黑体"/>
          <w:color w:val="auto"/>
          <w:sz w:val="32"/>
          <w:szCs w:val="32"/>
        </w:rPr>
        <w:t>五、一般公共预算财政拨款收入支出决算</w:t>
      </w:r>
      <w:bookmarkEnd w:id="49"/>
      <w:bookmarkEnd w:id="50"/>
      <w:bookmarkEnd w:id="51"/>
      <w:bookmarkEnd w:id="52"/>
      <w:r>
        <w:rPr>
          <w:rFonts w:hint="eastAsia" w:ascii="黑体" w:hAnsi="黑体" w:eastAsia="黑体" w:cs="黑体"/>
          <w:color w:val="auto"/>
          <w:sz w:val="32"/>
          <w:szCs w:val="32"/>
        </w:rPr>
        <w:t>公开表</w:t>
      </w:r>
      <w:bookmarkEnd w:id="53"/>
      <w:bookmarkEnd w:id="54"/>
      <w:bookmarkStart w:id="55" w:name="_Toc2632_WPSOffice_Level2"/>
      <w:bookmarkStart w:id="56" w:name="_Toc17833_WPSOffice_Level2"/>
      <w:bookmarkStart w:id="57" w:name="_Toc8373_WPSOffice_Level2"/>
      <w:bookmarkStart w:id="58" w:name="_Toc17283_WPSOffice_Level2"/>
      <w:bookmarkStart w:id="59" w:name="_Toc5343_WPSOffice_Level2"/>
      <w:bookmarkStart w:id="60" w:name="_Toc25362_WPSOffice_Level2"/>
    </w:p>
    <w:p w14:paraId="163493D2">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六、一般公共预算财政拨款基本支出决算</w:t>
      </w:r>
      <w:bookmarkEnd w:id="55"/>
      <w:bookmarkEnd w:id="56"/>
      <w:bookmarkEnd w:id="57"/>
      <w:bookmarkEnd w:id="58"/>
      <w:bookmarkEnd w:id="59"/>
      <w:bookmarkEnd w:id="60"/>
      <w:r>
        <w:rPr>
          <w:rFonts w:hint="eastAsia" w:ascii="黑体" w:hAnsi="黑体" w:eastAsia="黑体" w:cs="黑体"/>
          <w:color w:val="auto"/>
          <w:sz w:val="32"/>
          <w:szCs w:val="32"/>
        </w:rPr>
        <w:t>公开表</w:t>
      </w:r>
    </w:p>
    <w:p w14:paraId="11250B0D">
      <w:pPr>
        <w:spacing w:line="578" w:lineRule="exact"/>
        <w:ind w:left="1118" w:leftChars="304" w:hanging="480" w:hangingChars="150"/>
        <w:rPr>
          <w:rFonts w:hint="eastAsia" w:ascii="黑体" w:hAnsi="黑体" w:eastAsia="黑体" w:cs="黑体"/>
          <w:color w:val="auto"/>
          <w:sz w:val="32"/>
          <w:szCs w:val="32"/>
        </w:rPr>
      </w:pPr>
      <w:bookmarkStart w:id="61" w:name="_Toc13345_WPSOffice_Level2"/>
      <w:bookmarkStart w:id="62" w:name="_Toc6020_WPSOffice_Level2"/>
      <w:bookmarkStart w:id="63" w:name="_Toc1533_WPSOffice_Level2"/>
      <w:bookmarkStart w:id="64" w:name="_Toc21310_WPSOffice_Level2"/>
      <w:bookmarkStart w:id="65" w:name="_Toc11799_WPSOffice_Level2"/>
      <w:bookmarkStart w:id="66" w:name="_Toc5594_WPSOffice_Level2"/>
      <w:r>
        <w:rPr>
          <w:rFonts w:hint="eastAsia" w:ascii="黑体" w:hAnsi="黑体" w:eastAsia="黑体" w:cs="黑体"/>
          <w:color w:val="auto"/>
          <w:sz w:val="32"/>
          <w:szCs w:val="32"/>
        </w:rPr>
        <w:t>七、政府性基金预算财政拨款收入支出决算</w:t>
      </w:r>
      <w:bookmarkEnd w:id="61"/>
      <w:bookmarkEnd w:id="62"/>
      <w:bookmarkEnd w:id="63"/>
      <w:bookmarkEnd w:id="64"/>
      <w:bookmarkEnd w:id="65"/>
      <w:bookmarkEnd w:id="66"/>
      <w:r>
        <w:rPr>
          <w:rFonts w:hint="eastAsia" w:ascii="黑体" w:hAnsi="黑体" w:eastAsia="黑体" w:cs="黑体"/>
          <w:color w:val="auto"/>
          <w:sz w:val="32"/>
          <w:szCs w:val="32"/>
        </w:rPr>
        <w:t>公开表</w:t>
      </w:r>
    </w:p>
    <w:p w14:paraId="33B6C1DC">
      <w:pPr>
        <w:spacing w:line="578" w:lineRule="exact"/>
        <w:ind w:left="1118" w:leftChars="304" w:hanging="480" w:hangingChars="150"/>
        <w:rPr>
          <w:rFonts w:hint="eastAsia" w:ascii="黑体" w:hAnsi="黑体" w:eastAsia="黑体" w:cs="黑体"/>
          <w:color w:val="auto"/>
          <w:sz w:val="32"/>
          <w:szCs w:val="32"/>
        </w:rPr>
      </w:pPr>
      <w:r>
        <w:rPr>
          <w:rFonts w:hint="eastAsia" w:ascii="黑体" w:hAnsi="黑体" w:eastAsia="黑体" w:cs="黑体"/>
          <w:color w:val="auto"/>
          <w:sz w:val="32"/>
          <w:szCs w:val="32"/>
        </w:rPr>
        <w:t>八、国有资本经营预算财政拨款收入支出决算公开表</w:t>
      </w:r>
    </w:p>
    <w:p w14:paraId="6225979D">
      <w:pPr>
        <w:spacing w:line="578" w:lineRule="exact"/>
        <w:ind w:firstLine="640"/>
        <w:rPr>
          <w:rFonts w:hint="eastAsia" w:ascii="黑体" w:hAnsi="黑体" w:eastAsia="黑体" w:cs="黑体"/>
          <w:color w:val="auto"/>
          <w:sz w:val="32"/>
          <w:szCs w:val="32"/>
        </w:rPr>
      </w:pPr>
      <w:bookmarkStart w:id="67" w:name="_Toc29886_WPSOffice_Level2"/>
      <w:bookmarkStart w:id="68" w:name="_Toc9377_WPSOffice_Level2"/>
      <w:bookmarkStart w:id="69" w:name="_Toc1820_WPSOffice_Level2"/>
      <w:bookmarkStart w:id="70" w:name="_Toc19961_WPSOffice_Level2"/>
      <w:r>
        <w:rPr>
          <w:rFonts w:hint="eastAsia" w:ascii="黑体" w:hAnsi="黑体" w:eastAsia="黑体" w:cs="黑体"/>
          <w:color w:val="auto"/>
          <w:sz w:val="32"/>
          <w:szCs w:val="32"/>
        </w:rPr>
        <w:t>九、财政拨款“三公”经费支出决算</w:t>
      </w:r>
      <w:bookmarkEnd w:id="67"/>
      <w:bookmarkEnd w:id="68"/>
      <w:bookmarkEnd w:id="69"/>
      <w:bookmarkEnd w:id="70"/>
      <w:r>
        <w:rPr>
          <w:rFonts w:hint="eastAsia" w:ascii="黑体" w:hAnsi="黑体" w:eastAsia="黑体" w:cs="黑体"/>
          <w:color w:val="auto"/>
          <w:sz w:val="32"/>
          <w:szCs w:val="32"/>
        </w:rPr>
        <w:t>公开表</w:t>
      </w:r>
    </w:p>
    <w:p w14:paraId="752E8721">
      <w:pPr>
        <w:spacing w:line="578" w:lineRule="exact"/>
        <w:ind w:firstLine="640"/>
        <w:rPr>
          <w:rFonts w:hint="eastAsia" w:ascii="仿宋" w:hAnsi="仿宋" w:eastAsia="仿宋" w:cs="仿宋"/>
          <w:color w:val="auto"/>
          <w:w w:val="100"/>
          <w:sz w:val="32"/>
          <w:szCs w:val="32"/>
        </w:rPr>
      </w:pPr>
      <w:r>
        <w:rPr>
          <w:rFonts w:hint="eastAsia" w:ascii="仿宋" w:hAnsi="仿宋" w:eastAsia="仿宋" w:cs="仿宋"/>
          <w:color w:val="auto"/>
          <w:w w:val="100"/>
          <w:sz w:val="32"/>
          <w:szCs w:val="32"/>
        </w:rPr>
        <w:t xml:space="preserve">以上报表见附件1。   </w:t>
      </w:r>
    </w:p>
    <w:p w14:paraId="5B482E07">
      <w:pPr>
        <w:spacing w:line="578" w:lineRule="exact"/>
        <w:rPr>
          <w:rFonts w:hint="eastAsia" w:ascii="黑体" w:hAnsi="黑体" w:eastAsia="黑体" w:cs="黑体"/>
          <w:color w:val="auto"/>
          <w:sz w:val="32"/>
          <w:szCs w:val="32"/>
        </w:rPr>
      </w:pPr>
    </w:p>
    <w:p w14:paraId="31BF6332">
      <w:pPr>
        <w:spacing w:line="578" w:lineRule="exact"/>
        <w:jc w:val="center"/>
        <w:rPr>
          <w:rFonts w:hint="eastAsia" w:ascii="黑体" w:hAnsi="ˎ̥" w:eastAsia="黑体"/>
          <w:color w:val="auto"/>
          <w:sz w:val="32"/>
          <w:szCs w:val="32"/>
        </w:rPr>
      </w:pPr>
      <w:bookmarkStart w:id="71" w:name="_Toc4402_WPSOffice_Level1"/>
      <w:bookmarkStart w:id="72" w:name="_Toc29683_WPSOffice_Level1"/>
      <w:bookmarkStart w:id="73" w:name="_Toc27590_WPSOffice_Level1"/>
      <w:bookmarkStart w:id="74" w:name="_Toc16686_WPSOffice_Level1"/>
      <w:bookmarkStart w:id="75" w:name="_Toc28629_WPSOffice_Level1"/>
      <w:bookmarkStart w:id="76" w:name="_Toc31264_WPSOffice_Level1"/>
      <w:r>
        <w:rPr>
          <w:rFonts w:hint="eastAsia" w:ascii="黑体" w:hAnsi="ˎ̥" w:eastAsia="黑体"/>
          <w:color w:val="auto"/>
          <w:sz w:val="32"/>
          <w:szCs w:val="32"/>
        </w:rPr>
        <w:t xml:space="preserve">第三部分  </w:t>
      </w:r>
      <w:r>
        <w:rPr>
          <w:rFonts w:hint="default" w:ascii="黑体" w:hAnsi="ˎ̥" w:eastAsia="黑体"/>
          <w:color w:val="auto"/>
          <w:sz w:val="32"/>
          <w:szCs w:val="32"/>
          <w:lang w:val="en-US"/>
        </w:rPr>
        <w:t>2025</w:t>
      </w:r>
      <w:r>
        <w:rPr>
          <w:rFonts w:hint="eastAsia" w:ascii="黑体" w:hAnsi="ˎ̥" w:eastAsia="黑体"/>
          <w:color w:val="auto"/>
          <w:sz w:val="32"/>
          <w:szCs w:val="32"/>
        </w:rPr>
        <w:t>年度部门决算情况说明</w:t>
      </w:r>
      <w:bookmarkEnd w:id="71"/>
      <w:bookmarkEnd w:id="72"/>
      <w:bookmarkEnd w:id="73"/>
      <w:bookmarkEnd w:id="74"/>
      <w:bookmarkEnd w:id="75"/>
      <w:bookmarkEnd w:id="76"/>
    </w:p>
    <w:p w14:paraId="0108672B">
      <w:pPr>
        <w:spacing w:line="578" w:lineRule="exact"/>
        <w:jc w:val="center"/>
        <w:rPr>
          <w:rFonts w:hint="eastAsia" w:ascii="黑体" w:hAnsi="ˎ̥" w:eastAsia="黑体"/>
          <w:color w:val="auto"/>
          <w:sz w:val="32"/>
          <w:szCs w:val="32"/>
        </w:rPr>
      </w:pPr>
    </w:p>
    <w:p w14:paraId="594A6C42">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收入支出总体情况说明</w:t>
      </w:r>
    </w:p>
    <w:p w14:paraId="1051B5A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年度收入总计</w:t>
      </w:r>
      <w:r>
        <w:rPr>
          <w:rFonts w:hint="eastAsia" w:ascii="仿宋" w:hAnsi="仿宋" w:eastAsia="仿宋" w:cs="仿宋"/>
          <w:color w:val="auto"/>
          <w:sz w:val="32"/>
          <w:szCs w:val="32"/>
          <w:lang w:val="en-US"/>
        </w:rPr>
        <w:t>813.77</w:t>
      </w:r>
      <w:r>
        <w:rPr>
          <w:rFonts w:hint="eastAsia" w:ascii="仿宋" w:hAnsi="仿宋" w:eastAsia="仿宋" w:cs="仿宋"/>
          <w:color w:val="auto"/>
          <w:sz w:val="32"/>
          <w:szCs w:val="32"/>
        </w:rPr>
        <w:t>万元，支出总计</w:t>
      </w:r>
      <w:r>
        <w:rPr>
          <w:rFonts w:hint="eastAsia" w:ascii="仿宋" w:hAnsi="仿宋" w:eastAsia="仿宋" w:cs="仿宋"/>
          <w:color w:val="auto"/>
          <w:sz w:val="32"/>
          <w:szCs w:val="32"/>
          <w:lang w:val="en-US"/>
        </w:rPr>
        <w:t>813.77</w:t>
      </w:r>
      <w:r>
        <w:rPr>
          <w:rFonts w:hint="eastAsia" w:ascii="仿宋" w:hAnsi="仿宋" w:eastAsia="仿宋" w:cs="仿宋"/>
          <w:color w:val="auto"/>
          <w:sz w:val="32"/>
          <w:szCs w:val="32"/>
        </w:rPr>
        <w:t>万元，与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年度相比，收入、支出总计各增加</w:t>
      </w:r>
      <w:r>
        <w:rPr>
          <w:rFonts w:hint="eastAsia" w:ascii="仿宋" w:hAnsi="仿宋" w:eastAsia="仿宋" w:cs="仿宋"/>
          <w:color w:val="auto"/>
          <w:sz w:val="32"/>
          <w:szCs w:val="32"/>
          <w:lang w:val="en-US" w:eastAsia="zh-CN"/>
        </w:rPr>
        <w:t>43.54</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5.65</w:t>
      </w:r>
      <w:r>
        <w:rPr>
          <w:rFonts w:hint="eastAsia" w:ascii="仿宋" w:hAnsi="仿宋" w:eastAsia="仿宋" w:cs="仿宋"/>
          <w:color w:val="auto"/>
          <w:sz w:val="32"/>
          <w:szCs w:val="32"/>
        </w:rPr>
        <w:t>%。主要原因：</w:t>
      </w:r>
      <w:r>
        <w:rPr>
          <w:rFonts w:hint="eastAsia" w:ascii="仿宋" w:hAnsi="仿宋" w:eastAsia="仿宋" w:cs="仿宋"/>
          <w:b w:val="0"/>
          <w:bCs w:val="0"/>
          <w:color w:val="auto"/>
          <w:sz w:val="32"/>
          <w:szCs w:val="32"/>
          <w:lang w:val="en-US" w:eastAsia="zh-CN"/>
        </w:rPr>
        <w:t>畜禽良种繁育推广示范基地因“摩羯”台风损坏设施，增加了台风摩羯救灾资金项目</w:t>
      </w:r>
      <w:r>
        <w:rPr>
          <w:rFonts w:hint="eastAsia" w:ascii="仿宋" w:hAnsi="仿宋" w:eastAsia="仿宋" w:cs="仿宋"/>
          <w:color w:val="auto"/>
          <w:sz w:val="32"/>
          <w:szCs w:val="32"/>
        </w:rPr>
        <w:t>。</w:t>
      </w:r>
    </w:p>
    <w:p w14:paraId="05B8AFD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color w:val="auto"/>
          <w:sz w:val="32"/>
          <w:szCs w:val="32"/>
        </w:rPr>
      </w:pPr>
      <w:r>
        <w:rPr>
          <w:rFonts w:hint="eastAsia" w:ascii="楷体" w:hAnsi="楷体" w:eastAsia="楷体" w:cs="楷体"/>
          <w:color w:val="auto"/>
          <w:sz w:val="32"/>
          <w:szCs w:val="32"/>
        </w:rPr>
        <w:t>（一</w:t>
      </w:r>
      <w:r>
        <w:rPr>
          <w:rFonts w:ascii="楷体" w:hAnsi="楷体" w:eastAsia="楷体" w:cs="楷体"/>
          <w:color w:val="auto"/>
          <w:sz w:val="32"/>
          <w:szCs w:val="32"/>
        </w:rPr>
        <w:t>）</w:t>
      </w:r>
      <w:r>
        <w:rPr>
          <w:rFonts w:hint="eastAsia" w:ascii="楷体" w:hAnsi="楷体" w:eastAsia="楷体" w:cs="楷体"/>
          <w:color w:val="auto"/>
          <w:sz w:val="32"/>
          <w:szCs w:val="32"/>
        </w:rPr>
        <w:t>收入</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14:paraId="596A4F3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本年收入</w:t>
      </w:r>
      <w:r>
        <w:rPr>
          <w:rFonts w:hint="eastAsia" w:ascii="仿宋" w:hAnsi="仿宋" w:eastAsia="仿宋" w:cs="仿宋"/>
          <w:color w:val="auto"/>
          <w:sz w:val="32"/>
          <w:szCs w:val="32"/>
          <w:lang w:val="en-US"/>
        </w:rPr>
        <w:t>813.77</w:t>
      </w:r>
      <w:r>
        <w:rPr>
          <w:rFonts w:hint="eastAsia" w:ascii="仿宋" w:hAnsi="仿宋" w:eastAsia="仿宋" w:cs="仿宋"/>
          <w:color w:val="auto"/>
          <w:sz w:val="32"/>
          <w:szCs w:val="32"/>
        </w:rPr>
        <w:t>万元。</w:t>
      </w:r>
    </w:p>
    <w:p w14:paraId="3AB6C10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使用非财政拨款结余</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年度决算数增加（减少）</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p>
    <w:p w14:paraId="5B2819E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color w:val="auto"/>
          <w:sz w:val="32"/>
          <w:szCs w:val="32"/>
        </w:rPr>
      </w:pPr>
      <w:r>
        <w:rPr>
          <w:rFonts w:hint="eastAsia" w:ascii="仿宋" w:hAnsi="仿宋" w:eastAsia="仿宋" w:cs="仿宋"/>
          <w:color w:val="auto"/>
          <w:sz w:val="32"/>
          <w:szCs w:val="32"/>
        </w:rPr>
        <w:t>年初结转结余</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年度决算数增加（减少）</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万元，增长（下降）</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14:paraId="74FADFF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lang w:eastAsia="zh-CN"/>
        </w:rPr>
      </w:pPr>
      <w:r>
        <w:rPr>
          <w:rFonts w:hint="eastAsia" w:ascii="楷体" w:hAnsi="楷体" w:eastAsia="楷体" w:cs="楷体"/>
          <w:color w:val="auto"/>
          <w:sz w:val="32"/>
          <w:szCs w:val="32"/>
        </w:rPr>
        <w:t>（二</w:t>
      </w:r>
      <w:r>
        <w:rPr>
          <w:rFonts w:ascii="楷体" w:hAnsi="楷体" w:eastAsia="楷体" w:cs="楷体"/>
          <w:color w:val="auto"/>
          <w:sz w:val="32"/>
          <w:szCs w:val="32"/>
        </w:rPr>
        <w:t>）</w:t>
      </w:r>
      <w:r>
        <w:rPr>
          <w:rFonts w:hint="eastAsia" w:ascii="楷体" w:hAnsi="楷体" w:eastAsia="楷体" w:cs="楷体"/>
          <w:color w:val="auto"/>
          <w:sz w:val="32"/>
          <w:szCs w:val="32"/>
        </w:rPr>
        <w:t>支出</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14:paraId="788E8B0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本年支出</w:t>
      </w:r>
      <w:r>
        <w:rPr>
          <w:rFonts w:hint="eastAsia" w:ascii="仿宋" w:hAnsi="仿宋" w:eastAsia="仿宋" w:cs="仿宋"/>
          <w:color w:val="auto"/>
          <w:sz w:val="32"/>
          <w:szCs w:val="32"/>
          <w:lang w:val="en-US"/>
        </w:rPr>
        <w:t>813.77</w:t>
      </w:r>
      <w:r>
        <w:rPr>
          <w:rFonts w:hint="eastAsia" w:ascii="仿宋" w:hAnsi="仿宋" w:eastAsia="仿宋" w:cs="仿宋"/>
          <w:color w:val="auto"/>
          <w:sz w:val="32"/>
          <w:szCs w:val="32"/>
        </w:rPr>
        <w:t>万元。</w:t>
      </w:r>
    </w:p>
    <w:p w14:paraId="3826849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结余分配</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年度决算数增加（减少）</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万元，增长（下降）</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14:paraId="33C8A05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年末结转结余</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年度决算数增加（减少）</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万元，增长（下降）</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14:paraId="1CA2D923">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leftChars="0"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收入决算情况说明</w:t>
      </w:r>
    </w:p>
    <w:p w14:paraId="3B02073F">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rPr>
        <w:t>本年收入</w:t>
      </w:r>
      <w:r>
        <w:rPr>
          <w:rFonts w:hint="eastAsia" w:ascii="仿宋" w:hAnsi="仿宋" w:eastAsia="仿宋" w:cs="仿宋"/>
          <w:color w:val="auto"/>
          <w:sz w:val="32"/>
          <w:szCs w:val="32"/>
          <w:lang w:val="en-US"/>
        </w:rPr>
        <w:t>813.77</w:t>
      </w:r>
      <w:r>
        <w:rPr>
          <w:rFonts w:hint="eastAsia" w:ascii="仿宋" w:hAnsi="仿宋" w:eastAsia="仿宋" w:cs="仿宋"/>
          <w:color w:val="auto"/>
          <w:sz w:val="32"/>
          <w:szCs w:val="32"/>
        </w:rPr>
        <w:t>万元，其中：财政拨款收入</w:t>
      </w:r>
      <w:r>
        <w:rPr>
          <w:rFonts w:hint="eastAsia" w:ascii="仿宋" w:hAnsi="仿宋" w:eastAsia="仿宋" w:cs="仿宋"/>
          <w:color w:val="auto"/>
          <w:sz w:val="32"/>
          <w:szCs w:val="32"/>
          <w:lang w:val="en-US"/>
        </w:rPr>
        <w:t>813.77</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%；上级补助收入</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%；事业收入</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%；经营收入</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%；附属单位上缴收入</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%；其他收入</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14:paraId="5FF693E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三、支出决算情况说明</w:t>
      </w:r>
    </w:p>
    <w:p w14:paraId="294101D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本年支出</w:t>
      </w:r>
      <w:r>
        <w:rPr>
          <w:rFonts w:hint="eastAsia" w:ascii="仿宋" w:hAnsi="仿宋" w:eastAsia="仿宋" w:cs="仿宋"/>
          <w:color w:val="auto"/>
          <w:sz w:val="32"/>
          <w:szCs w:val="32"/>
          <w:lang w:val="en-US"/>
        </w:rPr>
        <w:t>813.77</w:t>
      </w:r>
      <w:r>
        <w:rPr>
          <w:rFonts w:hint="eastAsia" w:ascii="仿宋" w:hAnsi="仿宋" w:eastAsia="仿宋" w:cs="仿宋"/>
          <w:color w:val="auto"/>
          <w:sz w:val="32"/>
          <w:szCs w:val="32"/>
        </w:rPr>
        <w:t>万元，其中：基本支出</w:t>
      </w:r>
      <w:r>
        <w:rPr>
          <w:rFonts w:hint="eastAsia" w:ascii="仿宋" w:hAnsi="仿宋" w:eastAsia="仿宋" w:cs="仿宋"/>
          <w:color w:val="auto"/>
          <w:sz w:val="32"/>
          <w:szCs w:val="32"/>
          <w:lang w:val="en-US"/>
        </w:rPr>
        <w:t>446.76</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54.90</w:t>
      </w:r>
      <w:r>
        <w:rPr>
          <w:rFonts w:hint="eastAsia" w:ascii="仿宋" w:hAnsi="仿宋" w:eastAsia="仿宋" w:cs="仿宋"/>
          <w:color w:val="auto"/>
          <w:sz w:val="32"/>
          <w:szCs w:val="32"/>
        </w:rPr>
        <w:t>%；项目支出</w:t>
      </w:r>
      <w:r>
        <w:rPr>
          <w:rFonts w:hint="eastAsia" w:ascii="仿宋" w:hAnsi="仿宋" w:eastAsia="仿宋" w:cs="仿宋"/>
          <w:color w:val="auto"/>
          <w:sz w:val="32"/>
          <w:szCs w:val="32"/>
          <w:lang w:val="en-US"/>
        </w:rPr>
        <w:t>367.01</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45.10</w:t>
      </w:r>
      <w:r>
        <w:rPr>
          <w:rFonts w:hint="eastAsia" w:ascii="仿宋" w:hAnsi="仿宋" w:eastAsia="仿宋" w:cs="仿宋"/>
          <w:color w:val="auto"/>
          <w:sz w:val="32"/>
          <w:szCs w:val="32"/>
        </w:rPr>
        <w:t>%；上缴上级支出</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%；经营支出</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%；对附属单位补助支出</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14:paraId="6EA146F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四、财政拨款收入支出决算总体情况说明</w:t>
      </w:r>
    </w:p>
    <w:p w14:paraId="3CD7D43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年度财政拨款收入</w:t>
      </w:r>
      <w:r>
        <w:rPr>
          <w:rFonts w:hint="eastAsia" w:ascii="仿宋" w:hAnsi="仿宋" w:eastAsia="仿宋" w:cs="仿宋"/>
          <w:color w:val="auto"/>
          <w:sz w:val="32"/>
          <w:szCs w:val="32"/>
          <w:lang w:val="en-US"/>
        </w:rPr>
        <w:t>813.77</w:t>
      </w:r>
      <w:r>
        <w:rPr>
          <w:rFonts w:hint="eastAsia" w:ascii="仿宋" w:hAnsi="仿宋" w:eastAsia="仿宋" w:cs="仿宋"/>
          <w:color w:val="auto"/>
          <w:sz w:val="32"/>
          <w:szCs w:val="32"/>
        </w:rPr>
        <w:t>万元，支出</w:t>
      </w:r>
      <w:r>
        <w:rPr>
          <w:rFonts w:hint="eastAsia" w:ascii="仿宋" w:hAnsi="仿宋" w:eastAsia="仿宋" w:cs="仿宋"/>
          <w:color w:val="auto"/>
          <w:sz w:val="32"/>
          <w:szCs w:val="32"/>
          <w:lang w:val="en-US"/>
        </w:rPr>
        <w:t>813.77</w:t>
      </w:r>
      <w:r>
        <w:rPr>
          <w:rFonts w:hint="eastAsia" w:ascii="仿宋" w:hAnsi="仿宋" w:eastAsia="仿宋" w:cs="仿宋"/>
          <w:color w:val="auto"/>
          <w:sz w:val="32"/>
          <w:szCs w:val="32"/>
        </w:rPr>
        <w:t>万元。与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年度相比，财政拨款收入增加</w:t>
      </w:r>
      <w:r>
        <w:rPr>
          <w:rFonts w:hint="eastAsia" w:ascii="仿宋" w:hAnsi="仿宋" w:eastAsia="仿宋" w:cs="仿宋"/>
          <w:color w:val="auto"/>
          <w:sz w:val="32"/>
          <w:szCs w:val="32"/>
          <w:lang w:val="en-US" w:eastAsia="zh-CN"/>
        </w:rPr>
        <w:t>43.54</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5.65</w:t>
      </w:r>
      <w:r>
        <w:rPr>
          <w:rFonts w:hint="eastAsia" w:ascii="仿宋" w:hAnsi="仿宋" w:eastAsia="仿宋" w:cs="仿宋"/>
          <w:color w:val="auto"/>
          <w:sz w:val="32"/>
          <w:szCs w:val="32"/>
        </w:rPr>
        <w:t>%，主要原因：</w:t>
      </w:r>
      <w:r>
        <w:rPr>
          <w:rFonts w:hint="eastAsia" w:ascii="仿宋" w:hAnsi="仿宋" w:eastAsia="仿宋" w:cs="仿宋"/>
          <w:b w:val="0"/>
          <w:bCs w:val="0"/>
          <w:color w:val="auto"/>
          <w:sz w:val="32"/>
          <w:szCs w:val="32"/>
          <w:lang w:val="en-US" w:eastAsia="zh-CN"/>
        </w:rPr>
        <w:t>畜禽良种繁育推广示范基地因“摩羯”台风损坏设施，增加了台风摩羯救灾资金项目收入</w:t>
      </w:r>
      <w:r>
        <w:rPr>
          <w:rFonts w:hint="eastAsia" w:ascii="仿宋" w:hAnsi="仿宋" w:eastAsia="仿宋" w:cs="仿宋"/>
          <w:color w:val="auto"/>
          <w:sz w:val="32"/>
          <w:szCs w:val="32"/>
        </w:rPr>
        <w:t>。支出增加</w:t>
      </w:r>
      <w:r>
        <w:rPr>
          <w:rFonts w:hint="eastAsia" w:ascii="仿宋" w:hAnsi="仿宋" w:eastAsia="仿宋" w:cs="仿宋"/>
          <w:color w:val="auto"/>
          <w:sz w:val="32"/>
          <w:szCs w:val="32"/>
          <w:lang w:val="en-US" w:eastAsia="zh-CN"/>
        </w:rPr>
        <w:t>43.54</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5.65</w:t>
      </w:r>
      <w:r>
        <w:rPr>
          <w:rFonts w:hint="eastAsia" w:ascii="仿宋" w:hAnsi="仿宋" w:eastAsia="仿宋" w:cs="仿宋"/>
          <w:color w:val="auto"/>
          <w:sz w:val="32"/>
          <w:szCs w:val="32"/>
        </w:rPr>
        <w:t>%，主要原因：</w:t>
      </w:r>
      <w:r>
        <w:rPr>
          <w:rFonts w:hint="eastAsia" w:ascii="仿宋" w:hAnsi="仿宋" w:eastAsia="仿宋" w:cs="仿宋"/>
          <w:b w:val="0"/>
          <w:bCs w:val="0"/>
          <w:color w:val="auto"/>
          <w:sz w:val="32"/>
          <w:szCs w:val="32"/>
          <w:lang w:val="en-US" w:eastAsia="zh-CN"/>
        </w:rPr>
        <w:t>畜禽良种繁育推广示范基地因“摩羯”台风损坏设施，增加了台风摩羯救灾资金项目支出</w:t>
      </w:r>
      <w:r>
        <w:rPr>
          <w:rFonts w:hint="eastAsia" w:ascii="仿宋" w:hAnsi="仿宋" w:eastAsia="仿宋" w:cs="仿宋"/>
          <w:color w:val="auto"/>
          <w:sz w:val="32"/>
          <w:szCs w:val="32"/>
        </w:rPr>
        <w:t>。</w:t>
      </w:r>
    </w:p>
    <w:p w14:paraId="2F2814C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财政拨款年初结转结余</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年度决算数增加（减少）</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万元，增长（下降）</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14:paraId="604B142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财政拨款年末结转结余</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年度决算数增加（减少）</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万元，增长（下降）</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14:paraId="7BE8C2E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五、一般公共预算财政拨款支出决算情况说明</w:t>
      </w:r>
    </w:p>
    <w:p w14:paraId="5561639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77" w:name="_Toc13694_WPSOffice_Level2"/>
      <w:bookmarkStart w:id="78" w:name="_Toc21737_WPSOffice_Level2"/>
      <w:bookmarkStart w:id="79" w:name="_Toc19665_WPSOffice_Level2"/>
      <w:bookmarkStart w:id="80" w:name="_Toc9989_WPSOffice_Level2"/>
      <w:bookmarkStart w:id="81" w:name="_Toc23005_WPSOffice_Level2"/>
      <w:bookmarkStart w:id="82" w:name="_Toc17398_WPSOffice_Level2"/>
      <w:r>
        <w:rPr>
          <w:rFonts w:hint="eastAsia" w:ascii="楷体" w:hAnsi="楷体" w:eastAsia="楷体" w:cs="楷体"/>
          <w:color w:val="auto"/>
          <w:sz w:val="32"/>
          <w:szCs w:val="32"/>
        </w:rPr>
        <w:t>（一）一般公共预算财政拨款支出决算总体情况</w:t>
      </w:r>
      <w:bookmarkEnd w:id="77"/>
      <w:bookmarkEnd w:id="78"/>
      <w:bookmarkEnd w:id="79"/>
      <w:bookmarkEnd w:id="80"/>
      <w:bookmarkEnd w:id="81"/>
      <w:bookmarkEnd w:id="82"/>
    </w:p>
    <w:p w14:paraId="0B0CF27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w:t>
      </w:r>
      <w:r>
        <w:rPr>
          <w:rFonts w:hint="eastAsia" w:ascii="仿宋" w:hAnsi="仿宋" w:eastAsia="仿宋" w:cs="仿宋"/>
          <w:color w:val="auto"/>
          <w:sz w:val="32"/>
          <w:szCs w:val="32"/>
          <w:lang w:val="en-US"/>
        </w:rPr>
        <w:t>813.77</w:t>
      </w:r>
      <w:r>
        <w:rPr>
          <w:rFonts w:hint="eastAsia" w:ascii="仿宋" w:hAnsi="仿宋" w:eastAsia="仿宋" w:cs="仿宋"/>
          <w:color w:val="auto"/>
          <w:sz w:val="32"/>
          <w:szCs w:val="32"/>
        </w:rPr>
        <w:t>万元，占本年支出合计的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年度相比，一般公共预算财政拨款支出增加</w:t>
      </w:r>
      <w:r>
        <w:rPr>
          <w:rFonts w:hint="eastAsia" w:ascii="仿宋" w:hAnsi="仿宋" w:eastAsia="仿宋" w:cs="仿宋"/>
          <w:color w:val="auto"/>
          <w:sz w:val="32"/>
          <w:szCs w:val="32"/>
          <w:lang w:val="en-US" w:eastAsia="zh-CN"/>
        </w:rPr>
        <w:t>43.54</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5.65</w:t>
      </w:r>
      <w:r>
        <w:rPr>
          <w:rFonts w:hint="eastAsia" w:ascii="仿宋" w:hAnsi="仿宋" w:eastAsia="仿宋" w:cs="仿宋"/>
          <w:color w:val="auto"/>
          <w:sz w:val="32"/>
          <w:szCs w:val="32"/>
        </w:rPr>
        <w:t>%，主要原因是</w:t>
      </w:r>
      <w:r>
        <w:rPr>
          <w:rFonts w:hint="eastAsia" w:ascii="仿宋" w:hAnsi="仿宋" w:eastAsia="仿宋" w:cs="仿宋"/>
          <w:b w:val="0"/>
          <w:bCs w:val="0"/>
          <w:color w:val="auto"/>
          <w:sz w:val="32"/>
          <w:szCs w:val="32"/>
          <w:lang w:val="en-US" w:eastAsia="zh-CN"/>
        </w:rPr>
        <w:t>畜禽良种繁育推广示范基地因“摩羯”台风损坏设施，增加了台风摩羯救灾资金项目支出</w:t>
      </w:r>
      <w:r>
        <w:rPr>
          <w:rFonts w:hint="eastAsia" w:ascii="仿宋" w:hAnsi="仿宋" w:eastAsia="仿宋" w:cs="仿宋"/>
          <w:color w:val="auto"/>
          <w:sz w:val="32"/>
          <w:szCs w:val="32"/>
        </w:rPr>
        <w:t>。</w:t>
      </w:r>
    </w:p>
    <w:p w14:paraId="02CF4A3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83" w:name="_Toc2711_WPSOffice_Level2"/>
      <w:bookmarkStart w:id="84" w:name="_Toc19075_WPSOffice_Level2"/>
      <w:bookmarkStart w:id="85" w:name="_Toc27767_WPSOffice_Level2"/>
      <w:bookmarkStart w:id="86" w:name="_Toc18793_WPSOffice_Level2"/>
      <w:bookmarkStart w:id="87" w:name="_Toc19535_WPSOffice_Level2"/>
      <w:bookmarkStart w:id="88" w:name="_Toc23864_WPSOffice_Level2"/>
      <w:r>
        <w:rPr>
          <w:rFonts w:hint="eastAsia" w:ascii="楷体" w:hAnsi="楷体" w:eastAsia="楷体" w:cs="楷体"/>
          <w:color w:val="auto"/>
          <w:sz w:val="32"/>
          <w:szCs w:val="32"/>
        </w:rPr>
        <w:t>（二）一般公共预算财政拨款支出决算结构情况</w:t>
      </w:r>
      <w:bookmarkEnd w:id="83"/>
      <w:bookmarkEnd w:id="84"/>
      <w:bookmarkEnd w:id="85"/>
      <w:bookmarkEnd w:id="86"/>
      <w:bookmarkEnd w:id="87"/>
      <w:bookmarkEnd w:id="88"/>
    </w:p>
    <w:p w14:paraId="1BE4645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w:t>
      </w:r>
      <w:r>
        <w:rPr>
          <w:rFonts w:hint="eastAsia" w:ascii="仿宋" w:hAnsi="仿宋" w:eastAsia="仿宋" w:cs="仿宋"/>
          <w:color w:val="auto"/>
          <w:sz w:val="32"/>
          <w:szCs w:val="32"/>
          <w:lang w:val="en-US"/>
        </w:rPr>
        <w:t>813.77</w:t>
      </w:r>
      <w:r>
        <w:rPr>
          <w:rFonts w:hint="eastAsia" w:ascii="仿宋" w:hAnsi="仿宋" w:eastAsia="仿宋" w:cs="仿宋"/>
          <w:color w:val="auto"/>
          <w:sz w:val="32"/>
          <w:szCs w:val="32"/>
        </w:rPr>
        <w:t>万元，主要用于以下方面：</w:t>
      </w:r>
      <w:r>
        <w:rPr>
          <w:rFonts w:hint="eastAsia" w:ascii="仿宋" w:hAnsi="仿宋" w:eastAsia="仿宋" w:cs="仿宋"/>
          <w:b/>
          <w:color w:val="auto"/>
          <w:sz w:val="32"/>
          <w:szCs w:val="32"/>
        </w:rPr>
        <w:t>社会保障和就业（类）</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57.99</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7.13</w:t>
      </w:r>
      <w:r>
        <w:rPr>
          <w:rFonts w:hint="eastAsia" w:ascii="仿宋" w:hAnsi="仿宋" w:eastAsia="仿宋" w:cs="仿宋"/>
          <w:color w:val="auto"/>
          <w:sz w:val="32"/>
          <w:szCs w:val="32"/>
        </w:rPr>
        <w:t>%；</w:t>
      </w:r>
      <w:r>
        <w:rPr>
          <w:rFonts w:hint="eastAsia" w:ascii="仿宋" w:hAnsi="仿宋" w:eastAsia="仿宋" w:cs="仿宋"/>
          <w:b/>
          <w:color w:val="auto"/>
          <w:sz w:val="32"/>
          <w:szCs w:val="32"/>
          <w:lang w:eastAsia="zh-CN"/>
        </w:rPr>
        <w:t>卫生健康</w:t>
      </w:r>
      <w:r>
        <w:rPr>
          <w:rFonts w:hint="eastAsia" w:ascii="仿宋" w:hAnsi="仿宋" w:eastAsia="仿宋" w:cs="仿宋"/>
          <w:b/>
          <w:color w:val="auto"/>
          <w:sz w:val="32"/>
          <w:szCs w:val="32"/>
        </w:rPr>
        <w:t>（类）</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13.09</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1.61</w:t>
      </w:r>
      <w:r>
        <w:rPr>
          <w:rFonts w:hint="eastAsia" w:ascii="仿宋" w:hAnsi="仿宋" w:eastAsia="仿宋" w:cs="仿宋"/>
          <w:color w:val="auto"/>
          <w:sz w:val="32"/>
          <w:szCs w:val="32"/>
        </w:rPr>
        <w:t>%；</w:t>
      </w:r>
      <w:r>
        <w:rPr>
          <w:rFonts w:hint="eastAsia" w:ascii="仿宋" w:hAnsi="仿宋" w:eastAsia="仿宋" w:cs="仿宋"/>
          <w:b/>
          <w:color w:val="auto"/>
          <w:sz w:val="32"/>
          <w:szCs w:val="32"/>
          <w:lang w:eastAsia="zh-CN"/>
        </w:rPr>
        <w:t>农林水</w:t>
      </w:r>
      <w:r>
        <w:rPr>
          <w:rFonts w:hint="eastAsia" w:ascii="仿宋" w:hAnsi="仿宋" w:eastAsia="仿宋" w:cs="仿宋"/>
          <w:b/>
          <w:color w:val="auto"/>
          <w:sz w:val="32"/>
          <w:szCs w:val="32"/>
        </w:rPr>
        <w:t>（类）</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710.09</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87.26</w:t>
      </w:r>
      <w:r>
        <w:rPr>
          <w:rFonts w:hint="eastAsia" w:ascii="仿宋" w:hAnsi="仿宋" w:eastAsia="仿宋" w:cs="仿宋"/>
          <w:color w:val="auto"/>
          <w:sz w:val="32"/>
          <w:szCs w:val="32"/>
        </w:rPr>
        <w:t>%；</w:t>
      </w:r>
      <w:r>
        <w:rPr>
          <w:rFonts w:hint="eastAsia" w:ascii="仿宋" w:hAnsi="仿宋" w:eastAsia="仿宋" w:cs="仿宋"/>
          <w:b/>
          <w:bCs/>
          <w:color w:val="auto"/>
          <w:sz w:val="32"/>
          <w:szCs w:val="32"/>
        </w:rPr>
        <w:t>住房保障（类）</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32.61</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4.00</w:t>
      </w:r>
      <w:r>
        <w:rPr>
          <w:rFonts w:hint="eastAsia" w:ascii="仿宋" w:hAnsi="仿宋" w:eastAsia="仿宋" w:cs="仿宋"/>
          <w:color w:val="auto"/>
          <w:sz w:val="32"/>
          <w:szCs w:val="32"/>
        </w:rPr>
        <w:t>%</w:t>
      </w:r>
      <w:r>
        <w:rPr>
          <w:rFonts w:hint="eastAsia" w:ascii="仿宋" w:hAnsi="仿宋" w:eastAsia="仿宋" w:cs="仿宋"/>
          <w:color w:val="auto"/>
          <w:sz w:val="32"/>
          <w:szCs w:val="32"/>
        </w:rPr>
        <w:t>。</w:t>
      </w:r>
    </w:p>
    <w:p w14:paraId="51B5561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89" w:name="_Toc9502_WPSOffice_Level2"/>
      <w:bookmarkStart w:id="90" w:name="_Toc22318_WPSOffice_Level2"/>
      <w:bookmarkStart w:id="91" w:name="_Toc21701_WPSOffice_Level2"/>
      <w:bookmarkStart w:id="92" w:name="_Toc25136_WPSOffice_Level2"/>
      <w:bookmarkStart w:id="93" w:name="_Toc15415_WPSOffice_Level2"/>
      <w:bookmarkStart w:id="94" w:name="_Toc29364_WPSOffice_Level2"/>
      <w:r>
        <w:rPr>
          <w:rFonts w:hint="eastAsia" w:ascii="楷体" w:hAnsi="楷体" w:eastAsia="楷体" w:cs="楷体"/>
          <w:color w:val="auto"/>
          <w:sz w:val="32"/>
          <w:szCs w:val="32"/>
        </w:rPr>
        <w:t>（三）一般公共预算财政拨款支出决算具体情况</w:t>
      </w:r>
      <w:bookmarkEnd w:id="89"/>
      <w:bookmarkEnd w:id="90"/>
      <w:bookmarkEnd w:id="91"/>
      <w:bookmarkEnd w:id="92"/>
      <w:bookmarkEnd w:id="93"/>
      <w:bookmarkEnd w:id="94"/>
    </w:p>
    <w:p w14:paraId="04217A6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年度一般公共预算财政拨款支出年初预算为</w:t>
      </w:r>
      <w:r>
        <w:rPr>
          <w:rFonts w:hint="eastAsia" w:ascii="仿宋" w:hAnsi="仿宋" w:eastAsia="仿宋" w:cs="仿宋"/>
          <w:color w:val="auto"/>
          <w:sz w:val="32"/>
          <w:szCs w:val="32"/>
          <w:lang w:val="en-US" w:eastAsia="zh-CN"/>
        </w:rPr>
        <w:t>753.74</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rPr>
        <w:t>813.77</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107.96</w:t>
      </w:r>
      <w:r>
        <w:rPr>
          <w:rFonts w:hint="eastAsia" w:ascii="仿宋" w:hAnsi="仿宋" w:eastAsia="仿宋" w:cs="仿宋"/>
          <w:color w:val="auto"/>
          <w:sz w:val="32"/>
          <w:szCs w:val="32"/>
        </w:rPr>
        <w:t>%。其中：</w:t>
      </w:r>
    </w:p>
    <w:p w14:paraId="417CBBF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color w:val="auto"/>
          <w:sz w:val="32"/>
          <w:szCs w:val="32"/>
        </w:rPr>
        <w:t>1.</w:t>
      </w:r>
      <w:r>
        <w:rPr>
          <w:rFonts w:hint="eastAsia" w:ascii="仿宋" w:hAnsi="仿宋" w:eastAsia="仿宋" w:cs="仿宋"/>
          <w:b/>
          <w:color w:val="auto"/>
          <w:sz w:val="32"/>
          <w:szCs w:val="32"/>
          <w:lang w:eastAsia="zh-CN"/>
        </w:rPr>
        <w:t>社会保障和就业支出</w:t>
      </w:r>
      <w:r>
        <w:rPr>
          <w:rFonts w:hint="eastAsia" w:ascii="仿宋" w:hAnsi="仿宋" w:eastAsia="仿宋" w:cs="仿宋"/>
          <w:b/>
          <w:color w:val="auto"/>
          <w:sz w:val="32"/>
          <w:szCs w:val="32"/>
        </w:rPr>
        <w:t>（类）</w:t>
      </w:r>
      <w:r>
        <w:rPr>
          <w:rFonts w:hint="eastAsia" w:ascii="仿宋" w:hAnsi="仿宋" w:eastAsia="仿宋" w:cs="仿宋"/>
          <w:b/>
          <w:color w:val="auto"/>
          <w:sz w:val="32"/>
          <w:szCs w:val="32"/>
          <w:lang w:eastAsia="zh-CN"/>
        </w:rPr>
        <w:t>行政事业单位养老支出</w:t>
      </w:r>
      <w:r>
        <w:rPr>
          <w:rFonts w:hint="eastAsia" w:ascii="仿宋" w:hAnsi="仿宋" w:eastAsia="仿宋" w:cs="仿宋"/>
          <w:b/>
          <w:color w:val="auto"/>
          <w:sz w:val="32"/>
          <w:szCs w:val="32"/>
        </w:rPr>
        <w:t>（款）</w:t>
      </w:r>
      <w:r>
        <w:rPr>
          <w:rFonts w:hint="eastAsia" w:ascii="仿宋" w:hAnsi="仿宋" w:eastAsia="仿宋" w:cs="仿宋"/>
          <w:b/>
          <w:color w:val="auto"/>
          <w:sz w:val="32"/>
          <w:szCs w:val="32"/>
          <w:lang w:eastAsia="zh-CN"/>
        </w:rPr>
        <w:t>机关事业单位基本养老保险缴费支出</w:t>
      </w:r>
      <w:r>
        <w:rPr>
          <w:rFonts w:hint="eastAsia" w:ascii="仿宋" w:hAnsi="仿宋" w:eastAsia="仿宋" w:cs="仿宋"/>
          <w:b/>
          <w:color w:val="auto"/>
          <w:sz w:val="32"/>
          <w:szCs w:val="32"/>
        </w:rPr>
        <w:t>（项）。</w:t>
      </w:r>
    </w:p>
    <w:p w14:paraId="6468757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35.69</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37.55</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105.21</w:t>
      </w:r>
      <w:r>
        <w:rPr>
          <w:rFonts w:hint="eastAsia" w:ascii="仿宋" w:hAnsi="仿宋" w:eastAsia="仿宋" w:cs="仿宋"/>
          <w:color w:val="auto"/>
          <w:sz w:val="32"/>
          <w:szCs w:val="32"/>
        </w:rPr>
        <w:t>%。决算数大于预算数的主要原因：</w:t>
      </w:r>
      <w:r>
        <w:rPr>
          <w:rFonts w:hint="eastAsia" w:ascii="仿宋" w:hAnsi="仿宋" w:eastAsia="仿宋" w:cs="仿宋"/>
          <w:color w:val="auto"/>
          <w:sz w:val="32"/>
          <w:szCs w:val="32"/>
          <w:lang w:val="en-US" w:eastAsia="zh-CN"/>
        </w:rPr>
        <w:t>2025年工资调整，单位养老保险基数增加支出</w:t>
      </w:r>
      <w:r>
        <w:rPr>
          <w:rFonts w:hint="eastAsia" w:ascii="仿宋" w:hAnsi="仿宋" w:eastAsia="仿宋" w:cs="仿宋"/>
          <w:color w:val="auto"/>
          <w:sz w:val="32"/>
          <w:szCs w:val="32"/>
        </w:rPr>
        <w:t>。</w:t>
      </w:r>
    </w:p>
    <w:p w14:paraId="16C88EF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color w:val="auto"/>
          <w:sz w:val="32"/>
          <w:szCs w:val="32"/>
        </w:rPr>
        <w:t>2.</w:t>
      </w:r>
      <w:r>
        <w:rPr>
          <w:rFonts w:hint="eastAsia" w:ascii="仿宋" w:hAnsi="仿宋" w:eastAsia="仿宋" w:cs="仿宋"/>
          <w:b/>
          <w:color w:val="auto"/>
          <w:sz w:val="32"/>
          <w:szCs w:val="32"/>
          <w:lang w:eastAsia="zh-CN"/>
        </w:rPr>
        <w:t>社会保障和就业支出</w:t>
      </w:r>
      <w:r>
        <w:rPr>
          <w:rFonts w:hint="eastAsia" w:ascii="仿宋" w:hAnsi="仿宋" w:eastAsia="仿宋" w:cs="仿宋"/>
          <w:b/>
          <w:color w:val="auto"/>
          <w:sz w:val="32"/>
          <w:szCs w:val="32"/>
        </w:rPr>
        <w:t>（类）</w:t>
      </w:r>
      <w:r>
        <w:rPr>
          <w:rFonts w:hint="eastAsia" w:ascii="仿宋" w:hAnsi="仿宋" w:eastAsia="仿宋" w:cs="仿宋"/>
          <w:b/>
          <w:color w:val="auto"/>
          <w:sz w:val="32"/>
          <w:szCs w:val="32"/>
          <w:lang w:eastAsia="zh-CN"/>
        </w:rPr>
        <w:t>行政事业单位养老支出</w:t>
      </w:r>
      <w:r>
        <w:rPr>
          <w:rFonts w:hint="eastAsia" w:ascii="仿宋" w:hAnsi="仿宋" w:eastAsia="仿宋" w:cs="仿宋"/>
          <w:b/>
          <w:color w:val="auto"/>
          <w:sz w:val="32"/>
          <w:szCs w:val="32"/>
        </w:rPr>
        <w:t>（款）</w:t>
      </w:r>
      <w:r>
        <w:rPr>
          <w:rFonts w:hint="eastAsia" w:ascii="仿宋" w:hAnsi="仿宋" w:eastAsia="仿宋" w:cs="仿宋"/>
          <w:b/>
          <w:color w:val="auto"/>
          <w:sz w:val="32"/>
          <w:szCs w:val="32"/>
          <w:lang w:eastAsia="zh-CN"/>
        </w:rPr>
        <w:t>机关事业单位职业年金缴费支出</w:t>
      </w:r>
      <w:r>
        <w:rPr>
          <w:rFonts w:hint="eastAsia" w:ascii="仿宋" w:hAnsi="仿宋" w:eastAsia="仿宋" w:cs="仿宋"/>
          <w:b/>
          <w:color w:val="auto"/>
          <w:sz w:val="32"/>
          <w:szCs w:val="32"/>
        </w:rPr>
        <w:t>（项）。</w:t>
      </w:r>
    </w:p>
    <w:p w14:paraId="12E19E0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17.85</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20.44</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114.51</w:t>
      </w:r>
      <w:r>
        <w:rPr>
          <w:rFonts w:hint="eastAsia" w:ascii="仿宋" w:hAnsi="仿宋" w:eastAsia="仿宋" w:cs="仿宋"/>
          <w:color w:val="auto"/>
          <w:sz w:val="32"/>
          <w:szCs w:val="32"/>
        </w:rPr>
        <w:t>%。决算数大于预算数的主要原因：</w:t>
      </w:r>
      <w:r>
        <w:rPr>
          <w:rFonts w:hint="eastAsia" w:ascii="仿宋" w:hAnsi="仿宋" w:eastAsia="仿宋" w:cs="仿宋"/>
          <w:color w:val="auto"/>
          <w:sz w:val="32"/>
          <w:szCs w:val="32"/>
          <w:lang w:val="en-US" w:eastAsia="zh-CN"/>
        </w:rPr>
        <w:t>2025年工资调整，单位职业年基数增加支出</w:t>
      </w:r>
      <w:r>
        <w:rPr>
          <w:rFonts w:hint="eastAsia" w:ascii="仿宋" w:hAnsi="仿宋" w:eastAsia="仿宋" w:cs="仿宋"/>
          <w:color w:val="auto"/>
          <w:sz w:val="32"/>
          <w:szCs w:val="32"/>
        </w:rPr>
        <w:t>。</w:t>
      </w:r>
    </w:p>
    <w:p w14:paraId="143A041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w:t>
      </w:r>
      <w:r>
        <w:rPr>
          <w:rFonts w:hint="eastAsia" w:ascii="仿宋" w:hAnsi="仿宋" w:eastAsia="仿宋" w:cs="仿宋"/>
          <w:b/>
          <w:color w:val="auto"/>
          <w:sz w:val="32"/>
          <w:szCs w:val="32"/>
          <w:lang w:eastAsia="zh-CN"/>
        </w:rPr>
        <w:t>卫生健康支出</w:t>
      </w:r>
      <w:r>
        <w:rPr>
          <w:rFonts w:hint="eastAsia" w:ascii="仿宋" w:hAnsi="仿宋" w:eastAsia="仿宋" w:cs="仿宋"/>
          <w:b/>
          <w:color w:val="auto"/>
          <w:sz w:val="32"/>
          <w:szCs w:val="32"/>
        </w:rPr>
        <w:t>（类）</w:t>
      </w:r>
      <w:r>
        <w:rPr>
          <w:rFonts w:hint="eastAsia" w:ascii="仿宋" w:hAnsi="仿宋" w:eastAsia="仿宋" w:cs="仿宋"/>
          <w:b/>
          <w:color w:val="auto"/>
          <w:sz w:val="32"/>
          <w:szCs w:val="32"/>
          <w:lang w:eastAsia="zh-CN"/>
        </w:rPr>
        <w:t>行政事业单位医疗</w:t>
      </w:r>
      <w:r>
        <w:rPr>
          <w:rFonts w:hint="eastAsia" w:ascii="仿宋" w:hAnsi="仿宋" w:eastAsia="仿宋" w:cs="仿宋"/>
          <w:b/>
          <w:color w:val="auto"/>
          <w:sz w:val="32"/>
          <w:szCs w:val="32"/>
        </w:rPr>
        <w:t>（款）</w:t>
      </w:r>
      <w:r>
        <w:rPr>
          <w:rFonts w:hint="eastAsia" w:ascii="仿宋" w:hAnsi="仿宋" w:eastAsia="仿宋" w:cs="仿宋"/>
          <w:b/>
          <w:color w:val="auto"/>
          <w:sz w:val="32"/>
          <w:szCs w:val="32"/>
          <w:lang w:eastAsia="zh-CN"/>
        </w:rPr>
        <w:t>事业单位医疗</w:t>
      </w:r>
      <w:r>
        <w:rPr>
          <w:rFonts w:hint="eastAsia" w:ascii="仿宋" w:hAnsi="仿宋" w:eastAsia="仿宋" w:cs="仿宋"/>
          <w:b/>
          <w:color w:val="auto"/>
          <w:sz w:val="32"/>
          <w:szCs w:val="32"/>
        </w:rPr>
        <w:t>（项）。</w:t>
      </w:r>
    </w:p>
    <w:p w14:paraId="36F35C7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12.48</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13.09</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104.89</w:t>
      </w:r>
      <w:r>
        <w:rPr>
          <w:rFonts w:hint="eastAsia" w:ascii="仿宋" w:hAnsi="仿宋" w:eastAsia="仿宋" w:cs="仿宋"/>
          <w:color w:val="auto"/>
          <w:sz w:val="32"/>
          <w:szCs w:val="32"/>
        </w:rPr>
        <w:t>%。决算数大于预算数的主要原因：</w:t>
      </w:r>
      <w:r>
        <w:rPr>
          <w:rFonts w:hint="eastAsia" w:ascii="仿宋" w:hAnsi="仿宋" w:eastAsia="仿宋" w:cs="仿宋"/>
          <w:color w:val="auto"/>
          <w:sz w:val="32"/>
          <w:szCs w:val="32"/>
          <w:lang w:val="en-US" w:eastAsia="zh-CN"/>
        </w:rPr>
        <w:t>2025年工资调整，事业单位医疗基数增加支出</w:t>
      </w:r>
      <w:r>
        <w:rPr>
          <w:rFonts w:hint="eastAsia" w:ascii="仿宋" w:hAnsi="仿宋" w:eastAsia="仿宋" w:cs="仿宋"/>
          <w:color w:val="auto"/>
          <w:sz w:val="32"/>
          <w:szCs w:val="32"/>
        </w:rPr>
        <w:t>。</w:t>
      </w:r>
    </w:p>
    <w:p w14:paraId="0714839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w:t>
      </w:r>
      <w:r>
        <w:rPr>
          <w:rFonts w:hint="eastAsia" w:ascii="仿宋" w:hAnsi="仿宋" w:eastAsia="仿宋" w:cs="仿宋"/>
          <w:b/>
          <w:color w:val="auto"/>
          <w:sz w:val="32"/>
          <w:szCs w:val="32"/>
          <w:lang w:eastAsia="zh-CN"/>
        </w:rPr>
        <w:t>农林水支出</w:t>
      </w:r>
      <w:r>
        <w:rPr>
          <w:rFonts w:hint="eastAsia" w:ascii="仿宋" w:hAnsi="仿宋" w:eastAsia="仿宋" w:cs="仿宋"/>
          <w:b/>
          <w:color w:val="auto"/>
          <w:sz w:val="32"/>
          <w:szCs w:val="32"/>
        </w:rPr>
        <w:t>（类）</w:t>
      </w:r>
      <w:r>
        <w:rPr>
          <w:rFonts w:hint="eastAsia" w:ascii="仿宋" w:hAnsi="仿宋" w:eastAsia="仿宋" w:cs="仿宋"/>
          <w:b/>
          <w:color w:val="auto"/>
          <w:sz w:val="32"/>
          <w:szCs w:val="32"/>
          <w:lang w:eastAsia="zh-CN"/>
        </w:rPr>
        <w:t>农业农村</w:t>
      </w:r>
      <w:r>
        <w:rPr>
          <w:rFonts w:hint="eastAsia" w:ascii="仿宋" w:hAnsi="仿宋" w:eastAsia="仿宋" w:cs="仿宋"/>
          <w:b/>
          <w:color w:val="auto"/>
          <w:sz w:val="32"/>
          <w:szCs w:val="32"/>
        </w:rPr>
        <w:t>（款）</w:t>
      </w:r>
      <w:r>
        <w:rPr>
          <w:rFonts w:hint="eastAsia" w:ascii="仿宋" w:hAnsi="仿宋" w:eastAsia="仿宋" w:cs="仿宋"/>
          <w:b/>
          <w:color w:val="auto"/>
          <w:sz w:val="32"/>
          <w:szCs w:val="32"/>
          <w:lang w:eastAsia="zh-CN"/>
        </w:rPr>
        <w:t>事业运行</w:t>
      </w:r>
      <w:r>
        <w:rPr>
          <w:rFonts w:hint="eastAsia" w:ascii="仿宋" w:hAnsi="仿宋" w:eastAsia="仿宋" w:cs="仿宋"/>
          <w:b/>
          <w:color w:val="auto"/>
          <w:sz w:val="32"/>
          <w:szCs w:val="32"/>
        </w:rPr>
        <w:t>（项）。</w:t>
      </w:r>
    </w:p>
    <w:p w14:paraId="6155D09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328.61</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343.08</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104.40</w:t>
      </w:r>
      <w:r>
        <w:rPr>
          <w:rFonts w:hint="eastAsia" w:ascii="仿宋" w:hAnsi="仿宋" w:eastAsia="仿宋" w:cs="仿宋"/>
          <w:color w:val="auto"/>
          <w:sz w:val="32"/>
          <w:szCs w:val="32"/>
        </w:rPr>
        <w:t>%。决算数大于预算数的主要原因：</w:t>
      </w:r>
      <w:r>
        <w:rPr>
          <w:rFonts w:hint="eastAsia" w:ascii="仿宋" w:hAnsi="仿宋" w:eastAsia="仿宋" w:cs="仿宋"/>
          <w:color w:val="auto"/>
          <w:sz w:val="32"/>
          <w:szCs w:val="32"/>
          <w:lang w:val="en-US" w:eastAsia="zh-CN"/>
        </w:rPr>
        <w:t>2025年工资调整，职工工资增加</w:t>
      </w:r>
      <w:r>
        <w:rPr>
          <w:rFonts w:hint="eastAsia" w:ascii="仿宋" w:hAnsi="仿宋" w:eastAsia="仿宋" w:cs="仿宋"/>
          <w:color w:val="auto"/>
          <w:sz w:val="32"/>
          <w:szCs w:val="32"/>
        </w:rPr>
        <w:t>。</w:t>
      </w:r>
    </w:p>
    <w:p w14:paraId="43CF6A8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w:t>
      </w:r>
      <w:r>
        <w:rPr>
          <w:rFonts w:hint="eastAsia" w:ascii="仿宋" w:hAnsi="仿宋" w:eastAsia="仿宋" w:cs="仿宋"/>
          <w:b/>
          <w:color w:val="auto"/>
          <w:sz w:val="32"/>
          <w:szCs w:val="32"/>
          <w:lang w:eastAsia="zh-CN"/>
        </w:rPr>
        <w:t>农林水支出</w:t>
      </w:r>
      <w:r>
        <w:rPr>
          <w:rFonts w:hint="eastAsia" w:ascii="仿宋" w:hAnsi="仿宋" w:eastAsia="仿宋" w:cs="仿宋"/>
          <w:b/>
          <w:color w:val="auto"/>
          <w:sz w:val="32"/>
          <w:szCs w:val="32"/>
        </w:rPr>
        <w:t>（类）</w:t>
      </w:r>
      <w:r>
        <w:rPr>
          <w:rFonts w:hint="eastAsia" w:ascii="仿宋" w:hAnsi="仿宋" w:eastAsia="仿宋" w:cs="仿宋"/>
          <w:b/>
          <w:color w:val="auto"/>
          <w:sz w:val="32"/>
          <w:szCs w:val="32"/>
          <w:lang w:eastAsia="zh-CN"/>
        </w:rPr>
        <w:t>农业农村</w:t>
      </w:r>
      <w:r>
        <w:rPr>
          <w:rFonts w:hint="eastAsia" w:ascii="仿宋" w:hAnsi="仿宋" w:eastAsia="仿宋" w:cs="仿宋"/>
          <w:b/>
          <w:color w:val="auto"/>
          <w:sz w:val="32"/>
          <w:szCs w:val="32"/>
        </w:rPr>
        <w:t>（款）</w:t>
      </w:r>
      <w:r>
        <w:rPr>
          <w:rFonts w:hint="eastAsia" w:ascii="仿宋" w:hAnsi="仿宋" w:eastAsia="仿宋" w:cs="仿宋"/>
          <w:b/>
          <w:color w:val="auto"/>
          <w:sz w:val="32"/>
          <w:szCs w:val="32"/>
          <w:lang w:eastAsia="zh-CN"/>
        </w:rPr>
        <w:t>科技转化与推广服务</w:t>
      </w:r>
      <w:r>
        <w:rPr>
          <w:rFonts w:hint="eastAsia" w:ascii="仿宋" w:hAnsi="仿宋" w:eastAsia="仿宋" w:cs="仿宋"/>
          <w:b/>
          <w:color w:val="auto"/>
          <w:sz w:val="32"/>
          <w:szCs w:val="32"/>
        </w:rPr>
        <w:t>（项）。</w:t>
      </w:r>
    </w:p>
    <w:p w14:paraId="3F5F774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283.50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272.59</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96.15</w:t>
      </w:r>
      <w:r>
        <w:rPr>
          <w:rFonts w:hint="eastAsia" w:ascii="仿宋" w:hAnsi="仿宋" w:eastAsia="仿宋" w:cs="仿宋"/>
          <w:color w:val="auto"/>
          <w:sz w:val="32"/>
          <w:szCs w:val="32"/>
        </w:rPr>
        <w:t>%。决算数小于预算数的主要原因：</w:t>
      </w:r>
      <w:r>
        <w:rPr>
          <w:rFonts w:hint="eastAsia" w:ascii="仿宋" w:hAnsi="仿宋" w:eastAsia="仿宋" w:cs="仿宋"/>
          <w:color w:val="auto"/>
          <w:sz w:val="32"/>
          <w:szCs w:val="32"/>
          <w:lang w:eastAsia="zh-CN"/>
        </w:rPr>
        <w:t>业务推广与应用项目和生猪全产业链推进项目基本</w:t>
      </w:r>
      <w:r>
        <w:rPr>
          <w:rFonts w:hint="eastAsia" w:ascii="仿宋" w:hAnsi="仿宋" w:eastAsia="仿宋" w:cs="仿宋"/>
          <w:color w:val="auto"/>
          <w:sz w:val="32"/>
          <w:szCs w:val="32"/>
          <w:lang w:val="en-US" w:eastAsia="zh-CN"/>
        </w:rPr>
        <w:t>完成任务，剩余资金由财政收回</w:t>
      </w:r>
      <w:r>
        <w:rPr>
          <w:rFonts w:hint="eastAsia" w:ascii="仿宋" w:hAnsi="仿宋" w:eastAsia="仿宋" w:cs="仿宋"/>
          <w:color w:val="auto"/>
          <w:sz w:val="32"/>
          <w:szCs w:val="32"/>
        </w:rPr>
        <w:t>。</w:t>
      </w:r>
    </w:p>
    <w:p w14:paraId="61E49B7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w:t>
      </w:r>
      <w:r>
        <w:rPr>
          <w:rFonts w:hint="eastAsia" w:ascii="仿宋" w:hAnsi="仿宋" w:eastAsia="仿宋" w:cs="仿宋"/>
          <w:b/>
          <w:color w:val="auto"/>
          <w:sz w:val="32"/>
          <w:szCs w:val="32"/>
          <w:lang w:eastAsia="zh-CN"/>
        </w:rPr>
        <w:t>农林水支出</w:t>
      </w:r>
      <w:r>
        <w:rPr>
          <w:rFonts w:hint="eastAsia" w:ascii="仿宋" w:hAnsi="仿宋" w:eastAsia="仿宋" w:cs="仿宋"/>
          <w:b/>
          <w:color w:val="auto"/>
          <w:sz w:val="32"/>
          <w:szCs w:val="32"/>
        </w:rPr>
        <w:t>（类）</w:t>
      </w:r>
      <w:r>
        <w:rPr>
          <w:rFonts w:hint="eastAsia" w:ascii="仿宋" w:hAnsi="仿宋" w:eastAsia="仿宋" w:cs="仿宋"/>
          <w:b/>
          <w:color w:val="auto"/>
          <w:sz w:val="32"/>
          <w:szCs w:val="32"/>
          <w:lang w:eastAsia="zh-CN"/>
        </w:rPr>
        <w:t>农业农村</w:t>
      </w:r>
      <w:r>
        <w:rPr>
          <w:rFonts w:hint="eastAsia" w:ascii="仿宋" w:hAnsi="仿宋" w:eastAsia="仿宋" w:cs="仿宋"/>
          <w:b/>
          <w:color w:val="auto"/>
          <w:sz w:val="32"/>
          <w:szCs w:val="32"/>
        </w:rPr>
        <w:t>（款）</w:t>
      </w:r>
      <w:r>
        <w:rPr>
          <w:rFonts w:hint="eastAsia" w:ascii="仿宋" w:hAnsi="仿宋" w:eastAsia="仿宋" w:cs="仿宋"/>
          <w:b/>
          <w:color w:val="auto"/>
          <w:sz w:val="32"/>
          <w:szCs w:val="32"/>
          <w:lang w:eastAsia="zh-CN"/>
        </w:rPr>
        <w:t>行业业务管理</w:t>
      </w:r>
      <w:r>
        <w:rPr>
          <w:rFonts w:hint="eastAsia" w:ascii="仿宋" w:hAnsi="仿宋" w:eastAsia="仿宋" w:cs="仿宋"/>
          <w:b/>
          <w:color w:val="auto"/>
          <w:sz w:val="32"/>
          <w:szCs w:val="32"/>
        </w:rPr>
        <w:t>（项）。</w:t>
      </w:r>
    </w:p>
    <w:p w14:paraId="539BEFA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45.17</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43.52</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96.35</w:t>
      </w:r>
      <w:r>
        <w:rPr>
          <w:rFonts w:hint="eastAsia" w:ascii="仿宋" w:hAnsi="仿宋" w:eastAsia="仿宋" w:cs="仿宋"/>
          <w:color w:val="auto"/>
          <w:sz w:val="32"/>
          <w:szCs w:val="32"/>
        </w:rPr>
        <w:t>%。决算数小于预算数的主要原因：</w:t>
      </w:r>
      <w:r>
        <w:rPr>
          <w:rFonts w:hint="eastAsia" w:ascii="仿宋" w:hAnsi="仿宋" w:eastAsia="仿宋" w:cs="仿宋"/>
          <w:color w:val="auto"/>
          <w:sz w:val="32"/>
          <w:szCs w:val="32"/>
          <w:lang w:eastAsia="zh-CN"/>
        </w:rPr>
        <w:t>综合运行事务项目基本</w:t>
      </w:r>
      <w:r>
        <w:rPr>
          <w:rFonts w:hint="eastAsia" w:ascii="仿宋" w:hAnsi="仿宋" w:eastAsia="仿宋" w:cs="仿宋"/>
          <w:color w:val="auto"/>
          <w:sz w:val="32"/>
          <w:szCs w:val="32"/>
          <w:lang w:val="en-US" w:eastAsia="zh-CN"/>
        </w:rPr>
        <w:t>完成任务，剩余资金由财政收回</w:t>
      </w:r>
      <w:r>
        <w:rPr>
          <w:rFonts w:hint="eastAsia" w:ascii="仿宋" w:hAnsi="仿宋" w:eastAsia="仿宋" w:cs="仿宋"/>
          <w:color w:val="auto"/>
          <w:sz w:val="32"/>
          <w:szCs w:val="32"/>
        </w:rPr>
        <w:t>。</w:t>
      </w:r>
    </w:p>
    <w:p w14:paraId="2CC063E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
          <w:color w:val="auto"/>
          <w:sz w:val="32"/>
          <w:szCs w:val="32"/>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w:t>
      </w:r>
      <w:r>
        <w:rPr>
          <w:rFonts w:hint="eastAsia" w:ascii="仿宋" w:hAnsi="仿宋" w:eastAsia="仿宋" w:cs="仿宋"/>
          <w:b/>
          <w:color w:val="auto"/>
          <w:sz w:val="32"/>
          <w:szCs w:val="32"/>
          <w:lang w:eastAsia="zh-CN"/>
        </w:rPr>
        <w:t>农林水支出</w:t>
      </w:r>
      <w:r>
        <w:rPr>
          <w:rFonts w:hint="eastAsia" w:ascii="仿宋" w:hAnsi="仿宋" w:eastAsia="仿宋" w:cs="仿宋"/>
          <w:b/>
          <w:color w:val="auto"/>
          <w:sz w:val="32"/>
          <w:szCs w:val="32"/>
        </w:rPr>
        <w:t>（类）</w:t>
      </w:r>
      <w:r>
        <w:rPr>
          <w:rFonts w:hint="eastAsia" w:ascii="仿宋" w:hAnsi="仿宋" w:eastAsia="仿宋" w:cs="仿宋"/>
          <w:b/>
          <w:color w:val="auto"/>
          <w:sz w:val="32"/>
          <w:szCs w:val="32"/>
          <w:lang w:eastAsia="zh-CN"/>
        </w:rPr>
        <w:t>农业农村</w:t>
      </w:r>
      <w:r>
        <w:rPr>
          <w:rFonts w:hint="eastAsia" w:ascii="仿宋" w:hAnsi="仿宋" w:eastAsia="仿宋" w:cs="仿宋"/>
          <w:b/>
          <w:color w:val="auto"/>
          <w:sz w:val="32"/>
          <w:szCs w:val="32"/>
        </w:rPr>
        <w:t>（款）</w:t>
      </w:r>
      <w:r>
        <w:rPr>
          <w:rFonts w:hint="eastAsia" w:ascii="仿宋" w:hAnsi="仿宋" w:eastAsia="仿宋" w:cs="仿宋"/>
          <w:b/>
          <w:color w:val="auto"/>
          <w:sz w:val="32"/>
          <w:szCs w:val="32"/>
          <w:lang w:eastAsia="zh-CN"/>
        </w:rPr>
        <w:t>农业生态资源保护</w:t>
      </w:r>
      <w:r>
        <w:rPr>
          <w:rFonts w:hint="eastAsia" w:ascii="仿宋" w:hAnsi="仿宋" w:eastAsia="仿宋" w:cs="仿宋"/>
          <w:b/>
          <w:color w:val="auto"/>
          <w:sz w:val="32"/>
          <w:szCs w:val="32"/>
        </w:rPr>
        <w:t>（项）。</w:t>
      </w:r>
    </w:p>
    <w:p w14:paraId="04D4CA5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50.90</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于预算数的主要原因：</w:t>
      </w:r>
      <w:r>
        <w:rPr>
          <w:rFonts w:hint="eastAsia" w:ascii="仿宋" w:hAnsi="仿宋" w:eastAsia="仿宋" w:cs="仿宋"/>
          <w:b w:val="0"/>
          <w:bCs w:val="0"/>
          <w:color w:val="auto"/>
          <w:sz w:val="32"/>
          <w:szCs w:val="32"/>
          <w:lang w:val="en-US" w:eastAsia="zh-CN"/>
        </w:rPr>
        <w:t>畜禽良种繁育推广示范基地因“摩羯”台风损坏设施，增加了台风摩羯救灾资金项目</w:t>
      </w:r>
      <w:r>
        <w:rPr>
          <w:rFonts w:hint="eastAsia" w:ascii="仿宋" w:hAnsi="仿宋" w:eastAsia="仿宋" w:cs="仿宋"/>
          <w:color w:val="auto"/>
          <w:sz w:val="32"/>
          <w:szCs w:val="32"/>
        </w:rPr>
        <w:t>。</w:t>
      </w:r>
    </w:p>
    <w:p w14:paraId="7ABEBD1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lang w:val="en-US" w:eastAsia="zh-CN"/>
        </w:rPr>
        <w:t>8.</w:t>
      </w:r>
      <w:r>
        <w:rPr>
          <w:rFonts w:hint="eastAsia" w:ascii="仿宋" w:hAnsi="仿宋" w:eastAsia="仿宋" w:cs="仿宋"/>
          <w:b/>
          <w:color w:val="auto"/>
          <w:sz w:val="32"/>
          <w:szCs w:val="32"/>
          <w:lang w:eastAsia="zh-CN"/>
        </w:rPr>
        <w:t>住房保障支出</w:t>
      </w:r>
      <w:r>
        <w:rPr>
          <w:rFonts w:hint="eastAsia" w:ascii="仿宋" w:hAnsi="仿宋" w:eastAsia="仿宋" w:cs="仿宋"/>
          <w:b/>
          <w:color w:val="auto"/>
          <w:sz w:val="32"/>
          <w:szCs w:val="32"/>
        </w:rPr>
        <w:t>（类）</w:t>
      </w:r>
      <w:r>
        <w:rPr>
          <w:rFonts w:hint="eastAsia" w:ascii="仿宋" w:hAnsi="仿宋" w:eastAsia="仿宋" w:cs="仿宋"/>
          <w:b/>
          <w:color w:val="auto"/>
          <w:sz w:val="32"/>
          <w:szCs w:val="32"/>
          <w:lang w:eastAsia="zh-CN"/>
        </w:rPr>
        <w:t>住房改革支出</w:t>
      </w:r>
      <w:r>
        <w:rPr>
          <w:rFonts w:hint="eastAsia" w:ascii="仿宋" w:hAnsi="仿宋" w:eastAsia="仿宋" w:cs="仿宋"/>
          <w:b/>
          <w:color w:val="auto"/>
          <w:sz w:val="32"/>
          <w:szCs w:val="32"/>
        </w:rPr>
        <w:t>（款）</w:t>
      </w:r>
      <w:r>
        <w:rPr>
          <w:rFonts w:hint="eastAsia" w:ascii="仿宋" w:hAnsi="仿宋" w:eastAsia="仿宋" w:cs="仿宋"/>
          <w:b/>
          <w:color w:val="auto"/>
          <w:sz w:val="32"/>
          <w:szCs w:val="32"/>
          <w:lang w:eastAsia="zh-CN"/>
        </w:rPr>
        <w:t>住房公积金</w:t>
      </w:r>
      <w:r>
        <w:rPr>
          <w:rFonts w:hint="eastAsia" w:ascii="仿宋" w:hAnsi="仿宋" w:eastAsia="仿宋" w:cs="仿宋"/>
          <w:b/>
          <w:color w:val="auto"/>
          <w:sz w:val="32"/>
          <w:szCs w:val="32"/>
        </w:rPr>
        <w:t>（项）。</w:t>
      </w:r>
    </w:p>
    <w:p w14:paraId="7D5EC97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30.44</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32.61</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107.13</w:t>
      </w:r>
      <w:r>
        <w:rPr>
          <w:rFonts w:hint="eastAsia" w:ascii="仿宋" w:hAnsi="仿宋" w:eastAsia="仿宋" w:cs="仿宋"/>
          <w:color w:val="auto"/>
          <w:sz w:val="32"/>
          <w:szCs w:val="32"/>
        </w:rPr>
        <w:t>%。决算数大于预算数的主要原因：</w:t>
      </w:r>
      <w:r>
        <w:rPr>
          <w:rFonts w:hint="eastAsia" w:ascii="仿宋" w:hAnsi="仿宋" w:eastAsia="仿宋" w:cs="仿宋"/>
          <w:color w:val="auto"/>
          <w:sz w:val="32"/>
          <w:szCs w:val="32"/>
          <w:lang w:val="en-US" w:eastAsia="zh-CN"/>
        </w:rPr>
        <w:t>2025年工资调整，住房公积金基数增加</w:t>
      </w:r>
      <w:r>
        <w:rPr>
          <w:rFonts w:hint="eastAsia" w:ascii="仿宋" w:hAnsi="仿宋" w:eastAsia="仿宋" w:cs="仿宋"/>
          <w:color w:val="auto"/>
          <w:sz w:val="32"/>
          <w:szCs w:val="32"/>
        </w:rPr>
        <w:t>。</w:t>
      </w:r>
    </w:p>
    <w:p w14:paraId="6EAB98C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bCs/>
          <w:color w:val="auto"/>
          <w:sz w:val="32"/>
          <w:szCs w:val="32"/>
        </w:rPr>
        <w:t>六、一般公共预算财政拨款基本支出决算情况说明</w:t>
      </w:r>
    </w:p>
    <w:p w14:paraId="330A779A">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年度财政拨款基本支出</w:t>
      </w:r>
      <w:r>
        <w:rPr>
          <w:rFonts w:hint="eastAsia" w:ascii="仿宋" w:hAnsi="仿宋" w:eastAsia="仿宋" w:cs="仿宋"/>
          <w:color w:val="auto"/>
          <w:sz w:val="32"/>
          <w:szCs w:val="32"/>
          <w:lang w:val="en-US"/>
        </w:rPr>
        <w:t>446.76</w:t>
      </w:r>
      <w:r>
        <w:rPr>
          <w:rFonts w:hint="eastAsia" w:ascii="仿宋" w:hAnsi="仿宋" w:eastAsia="仿宋" w:cs="仿宋"/>
          <w:color w:val="auto"/>
          <w:sz w:val="32"/>
          <w:szCs w:val="32"/>
        </w:rPr>
        <w:t>万元，其中：人员经费</w:t>
      </w:r>
      <w:r>
        <w:rPr>
          <w:rFonts w:hint="eastAsia" w:ascii="仿宋" w:hAnsi="仿宋" w:eastAsia="仿宋" w:cs="仿宋"/>
          <w:color w:val="auto"/>
          <w:sz w:val="32"/>
          <w:szCs w:val="32"/>
          <w:lang w:val="en-US"/>
        </w:rPr>
        <w:t>405.61</w:t>
      </w:r>
      <w:r>
        <w:rPr>
          <w:rFonts w:hint="eastAsia" w:ascii="仿宋" w:hAnsi="仿宋" w:eastAsia="仿宋" w:cs="仿宋"/>
          <w:color w:val="auto"/>
          <w:sz w:val="32"/>
          <w:szCs w:val="32"/>
        </w:rPr>
        <w:t>万元，主要包括：工资福利支出中的基本工资、津贴补贴、绩效工资、机关事业单位基本养老保险缴费、职业年金缴费、职工基本医疗保险缴费、其他社会保障缴费、住房公积金、医疗费、其他工资福利支出；对个人和家庭的补助中的生活补助、奖励金、其他对个人和家庭的补助。公用经费</w:t>
      </w:r>
      <w:r>
        <w:rPr>
          <w:rFonts w:hint="eastAsia" w:ascii="仿宋" w:hAnsi="仿宋" w:eastAsia="仿宋" w:cs="仿宋"/>
          <w:color w:val="auto"/>
          <w:sz w:val="32"/>
          <w:szCs w:val="32"/>
          <w:lang w:val="en-US"/>
        </w:rPr>
        <w:t>41.15</w:t>
      </w:r>
      <w:r>
        <w:rPr>
          <w:rFonts w:hint="eastAsia" w:ascii="仿宋" w:hAnsi="仿宋" w:eastAsia="仿宋" w:cs="仿宋"/>
          <w:color w:val="auto"/>
          <w:sz w:val="32"/>
          <w:szCs w:val="32"/>
        </w:rPr>
        <w:t>万元，</w:t>
      </w:r>
      <w:r>
        <w:rPr>
          <w:rFonts w:hint="eastAsia" w:ascii="仿宋" w:hAnsi="仿宋" w:eastAsia="仿宋" w:cs="仿宋"/>
          <w:color w:val="auto"/>
          <w:sz w:val="32"/>
          <w:szCs w:val="32"/>
          <w:highlight w:val="none"/>
        </w:rPr>
        <w:t>主要包括：商品和服务支出中的办公费、印刷费、手续费、邮电费、差旅费、维修（护）费、租赁费、培训费、专用材料费、劳务费、委托业务费、工会经费、公务用车运行维护费、其他交通费用、其他商品和服务支出；资本性支出中的办公设备购置。</w:t>
      </w:r>
    </w:p>
    <w:p w14:paraId="7241B08A">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七、政府性基金预算财政拨款支出决算情况说明</w:t>
      </w:r>
    </w:p>
    <w:p w14:paraId="643B855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（一）政府性基金预算财政拨款支出决算总体情况</w:t>
      </w:r>
    </w:p>
    <w:p w14:paraId="1F43408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无</w:t>
      </w:r>
      <w:r>
        <w:rPr>
          <w:rFonts w:ascii="仿宋" w:hAnsi="仿宋" w:eastAsia="仿宋" w:cs="仿宋"/>
          <w:color w:val="auto"/>
          <w:sz w:val="32"/>
          <w:szCs w:val="32"/>
        </w:rPr>
        <w:t>此类事项</w:t>
      </w:r>
    </w:p>
    <w:p w14:paraId="06BD91A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（二）政府性基金预算财政拨款支出决算结构情况</w:t>
      </w:r>
    </w:p>
    <w:p w14:paraId="7B8FD79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无</w:t>
      </w:r>
      <w:r>
        <w:rPr>
          <w:rFonts w:ascii="仿宋" w:hAnsi="仿宋" w:eastAsia="仿宋" w:cs="仿宋"/>
          <w:color w:val="auto"/>
          <w:sz w:val="32"/>
          <w:szCs w:val="32"/>
        </w:rPr>
        <w:t>此类事项</w:t>
      </w:r>
    </w:p>
    <w:p w14:paraId="2AA5798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（三）政府性基金预算财政拨款支出决算具体情况</w:t>
      </w:r>
    </w:p>
    <w:p w14:paraId="0C4A119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无</w:t>
      </w:r>
      <w:r>
        <w:rPr>
          <w:rFonts w:ascii="仿宋" w:hAnsi="仿宋" w:eastAsia="仿宋" w:cs="仿宋"/>
          <w:color w:val="auto"/>
          <w:sz w:val="32"/>
          <w:szCs w:val="32"/>
        </w:rPr>
        <w:t>此类事项</w:t>
      </w:r>
    </w:p>
    <w:p w14:paraId="101E92BC">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八、国有资本经营预算财政拨款支出决算情况说明</w:t>
      </w:r>
    </w:p>
    <w:p w14:paraId="1600908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（一）国有资本经营预算财政拨款支出决算总体情况</w:t>
      </w:r>
    </w:p>
    <w:p w14:paraId="597048F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无</w:t>
      </w:r>
      <w:r>
        <w:rPr>
          <w:rFonts w:ascii="仿宋" w:hAnsi="仿宋" w:eastAsia="仿宋" w:cs="仿宋"/>
          <w:color w:val="auto"/>
          <w:sz w:val="32"/>
          <w:szCs w:val="32"/>
        </w:rPr>
        <w:t>此类事项</w:t>
      </w:r>
    </w:p>
    <w:p w14:paraId="7F0C568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（二）国有资本经营预算财政拨款支出决算结构情况</w:t>
      </w:r>
    </w:p>
    <w:p w14:paraId="37F3663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无</w:t>
      </w:r>
      <w:r>
        <w:rPr>
          <w:rFonts w:ascii="仿宋" w:hAnsi="仿宋" w:eastAsia="仿宋" w:cs="仿宋"/>
          <w:color w:val="auto"/>
          <w:sz w:val="32"/>
          <w:szCs w:val="32"/>
        </w:rPr>
        <w:t>此类事项</w:t>
      </w:r>
    </w:p>
    <w:p w14:paraId="6DA2D67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（三）国有资本经营预算财政拨款支出决算具体情况</w:t>
      </w:r>
    </w:p>
    <w:p w14:paraId="3A58991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无</w:t>
      </w:r>
      <w:r>
        <w:rPr>
          <w:rFonts w:ascii="仿宋" w:hAnsi="仿宋" w:eastAsia="仿宋" w:cs="仿宋"/>
          <w:color w:val="auto"/>
          <w:sz w:val="32"/>
          <w:szCs w:val="32"/>
        </w:rPr>
        <w:t>此类事项</w:t>
      </w:r>
    </w:p>
    <w:p w14:paraId="5834EC2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楷体_GB2312"/>
          <w:color w:val="auto"/>
          <w:sz w:val="32"/>
          <w:szCs w:val="32"/>
        </w:rPr>
      </w:pPr>
      <w:r>
        <w:rPr>
          <w:rFonts w:hint="eastAsia" w:ascii="黑体" w:hAnsi="黑体" w:eastAsia="黑体" w:cs="黑体"/>
          <w:bCs/>
          <w:color w:val="auto"/>
          <w:sz w:val="32"/>
          <w:szCs w:val="32"/>
        </w:rPr>
        <w:t>九、财政拨款“三公”经费支出决算情况说明</w:t>
      </w:r>
    </w:p>
    <w:p w14:paraId="18F9E7F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（一）财政拨款“三公”经费支出决算总体情况说明</w:t>
      </w:r>
    </w:p>
    <w:p w14:paraId="1367A27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年度财政拨款“三公”经费支出预算为</w:t>
      </w:r>
      <w:r>
        <w:rPr>
          <w:rFonts w:hint="eastAsia" w:ascii="仿宋" w:hAnsi="仿宋" w:eastAsia="仿宋" w:cs="仿宋"/>
          <w:color w:val="auto"/>
          <w:sz w:val="32"/>
          <w:szCs w:val="32"/>
          <w:lang w:val="en-US"/>
        </w:rPr>
        <w:t>2.55</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rPr>
        <w:t>1.04</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val="en-US" w:eastAsia="zh-CN"/>
        </w:rPr>
        <w:t>0.78</w:t>
      </w:r>
      <w:r>
        <w:rPr>
          <w:rFonts w:hint="eastAsia" w:ascii="仿宋" w:hAnsi="仿宋" w:eastAsia="仿宋" w:cs="仿宋"/>
          <w:color w:val="auto"/>
          <w:sz w:val="32"/>
          <w:szCs w:val="32"/>
        </w:rPr>
        <w:t>%，与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年度相比，“三公”经费支出减少</w:t>
      </w:r>
      <w:r>
        <w:rPr>
          <w:rFonts w:hint="eastAsia" w:ascii="仿宋" w:hAnsi="仿宋" w:eastAsia="仿宋" w:cs="仿宋"/>
          <w:color w:val="auto"/>
          <w:sz w:val="32"/>
          <w:szCs w:val="32"/>
          <w:lang w:val="en-US" w:eastAsia="zh-CN"/>
        </w:rPr>
        <w:t>0.51</w:t>
      </w:r>
      <w:r>
        <w:rPr>
          <w:rFonts w:hint="eastAsia" w:ascii="仿宋" w:hAnsi="仿宋" w:eastAsia="仿宋" w:cs="仿宋"/>
          <w:color w:val="auto"/>
          <w:sz w:val="32"/>
          <w:szCs w:val="32"/>
        </w:rPr>
        <w:t>万元，下降</w:t>
      </w:r>
      <w:r>
        <w:rPr>
          <w:rFonts w:hint="eastAsia" w:ascii="仿宋" w:hAnsi="仿宋" w:eastAsia="仿宋" w:cs="仿宋"/>
          <w:color w:val="auto"/>
          <w:sz w:val="32"/>
          <w:szCs w:val="32"/>
          <w:lang w:val="en-US" w:eastAsia="zh-CN"/>
        </w:rPr>
        <w:t>32.90</w:t>
      </w:r>
      <w:r>
        <w:rPr>
          <w:rFonts w:hint="eastAsia" w:ascii="仿宋" w:hAnsi="仿宋" w:eastAsia="仿宋" w:cs="仿宋"/>
          <w:color w:val="auto"/>
          <w:sz w:val="32"/>
          <w:szCs w:val="32"/>
        </w:rPr>
        <w:t>%，主要原因是</w:t>
      </w:r>
      <w:r>
        <w:rPr>
          <w:rFonts w:hint="eastAsia" w:ascii="仿宋_GB2312" w:hAnsi="仿宋" w:eastAsia="仿宋_GB2312" w:cs="仿宋"/>
          <w:color w:val="auto"/>
          <w:sz w:val="32"/>
          <w:szCs w:val="32"/>
          <w:highlight w:val="none"/>
          <w:lang w:eastAsia="zh-CN"/>
        </w:rPr>
        <w:t>车辆老化无法使用，在</w:t>
      </w:r>
      <w:r>
        <w:rPr>
          <w:rFonts w:hint="eastAsia" w:ascii="仿宋_GB2312" w:hAnsi="仿宋" w:eastAsia="仿宋_GB2312" w:cs="仿宋"/>
          <w:color w:val="auto"/>
          <w:sz w:val="32"/>
          <w:szCs w:val="32"/>
          <w:highlight w:val="none"/>
          <w:lang w:val="en-US" w:eastAsia="zh-CN"/>
        </w:rPr>
        <w:t>2025年8月已申请报废，</w:t>
      </w:r>
      <w:r>
        <w:rPr>
          <w:rFonts w:hint="eastAsia" w:ascii="仿宋_GB2312" w:hAnsi="仿宋" w:eastAsia="仿宋_GB2312" w:cs="仿宋"/>
          <w:color w:val="auto"/>
          <w:sz w:val="32"/>
          <w:szCs w:val="32"/>
          <w:highlight w:val="none"/>
        </w:rPr>
        <w:t>减少公务用车运行维护费支出</w:t>
      </w:r>
      <w:r>
        <w:rPr>
          <w:rFonts w:hint="eastAsia" w:ascii="仿宋" w:hAnsi="仿宋" w:eastAsia="仿宋" w:cs="仿宋"/>
          <w:color w:val="auto"/>
          <w:sz w:val="32"/>
          <w:szCs w:val="32"/>
        </w:rPr>
        <w:t>。</w:t>
      </w:r>
    </w:p>
    <w:p w14:paraId="0787B19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（二）财政拨款“三公”经费支出决算具体情况说明</w:t>
      </w:r>
    </w:p>
    <w:p w14:paraId="7B26A5C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年度财政拨款“三公”经费支出决算中，因公出国（境）费</w:t>
      </w:r>
      <w:r>
        <w:rPr>
          <w:rFonts w:hint="eastAsia" w:ascii="仿宋" w:hAnsi="仿宋" w:eastAsia="仿宋" w:cs="仿宋"/>
          <w:color w:val="auto"/>
          <w:sz w:val="32"/>
          <w:szCs w:val="32"/>
          <w:lang w:val="en-US" w:eastAsia="zh-CN"/>
        </w:rPr>
        <w:t>用</w:t>
      </w:r>
      <w:r>
        <w:rPr>
          <w:rFonts w:hint="eastAsia" w:ascii="仿宋" w:hAnsi="仿宋" w:eastAsia="仿宋" w:cs="仿宋"/>
          <w:color w:val="auto"/>
          <w:sz w:val="32"/>
          <w:szCs w:val="32"/>
        </w:rPr>
        <w:t>支出决算</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%；公务用车购置及运行维护费支出决算</w:t>
      </w:r>
      <w:r>
        <w:rPr>
          <w:rFonts w:hint="eastAsia" w:ascii="仿宋" w:hAnsi="仿宋" w:eastAsia="仿宋" w:cs="仿宋"/>
          <w:color w:val="auto"/>
          <w:sz w:val="32"/>
          <w:szCs w:val="32"/>
          <w:lang w:val="en-US"/>
        </w:rPr>
        <w:t>1.04</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%；公务接待费支出决算</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%。具体情况如下：</w:t>
      </w:r>
    </w:p>
    <w:p w14:paraId="398AB8F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1.因公出国（境）费</w:t>
      </w:r>
      <w:r>
        <w:rPr>
          <w:rFonts w:hint="eastAsia" w:ascii="仿宋" w:hAnsi="仿宋" w:eastAsia="仿宋" w:cs="仿宋"/>
          <w:b/>
          <w:color w:val="auto"/>
          <w:sz w:val="32"/>
          <w:szCs w:val="32"/>
          <w:lang w:val="en-US" w:eastAsia="zh-CN"/>
        </w:rPr>
        <w:t>用</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万元。全年安排因公出国（境）团组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个，因公出国（境）</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人次。开支内容包括：</w:t>
      </w:r>
    </w:p>
    <w:p w14:paraId="732BBD5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因公出国（境）费</w:t>
      </w:r>
      <w:r>
        <w:rPr>
          <w:rFonts w:hint="eastAsia" w:ascii="仿宋" w:hAnsi="仿宋" w:eastAsia="仿宋" w:cs="仿宋"/>
          <w:color w:val="auto"/>
          <w:sz w:val="32"/>
          <w:szCs w:val="32"/>
          <w:lang w:val="en-US" w:eastAsia="zh-CN"/>
        </w:rPr>
        <w:t>用</w:t>
      </w:r>
      <w:r>
        <w:rPr>
          <w:rFonts w:hint="eastAsia" w:ascii="仿宋" w:hAnsi="仿宋" w:eastAsia="仿宋" w:cs="仿宋"/>
          <w:color w:val="auto"/>
          <w:sz w:val="32"/>
          <w:szCs w:val="32"/>
        </w:rPr>
        <w:t>支出决算</w:t>
      </w:r>
      <w:r>
        <w:rPr>
          <w:rFonts w:hint="eastAsia" w:ascii="仿宋" w:hAnsi="仿宋" w:eastAsia="仿宋" w:cs="仿宋"/>
          <w:color w:val="auto"/>
          <w:sz w:val="32"/>
          <w:szCs w:val="32"/>
          <w:lang w:val="en-US" w:eastAsia="zh-CN"/>
        </w:rPr>
        <w:t>数</w:t>
      </w:r>
      <w:r>
        <w:rPr>
          <w:rFonts w:hint="eastAsia" w:ascii="仿宋" w:hAnsi="仿宋" w:eastAsia="仿宋" w:cs="仿宋"/>
          <w:color w:val="auto"/>
          <w:sz w:val="32"/>
          <w:szCs w:val="32"/>
        </w:rPr>
        <w:t>比预算数增加（减少）</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完成预算的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年度相比，因公出国（境）费</w:t>
      </w:r>
      <w:r>
        <w:rPr>
          <w:rFonts w:hint="eastAsia" w:ascii="仿宋" w:hAnsi="仿宋" w:eastAsia="仿宋" w:cs="仿宋"/>
          <w:color w:val="auto"/>
          <w:sz w:val="32"/>
          <w:szCs w:val="32"/>
          <w:lang w:val="en-US" w:eastAsia="zh-CN"/>
        </w:rPr>
        <w:t>用</w:t>
      </w:r>
      <w:r>
        <w:rPr>
          <w:rFonts w:hint="eastAsia" w:ascii="仿宋" w:hAnsi="仿宋" w:eastAsia="仿宋" w:cs="仿宋"/>
          <w:color w:val="auto"/>
          <w:sz w:val="32"/>
          <w:szCs w:val="32"/>
        </w:rPr>
        <w:t>支出增加（减少）</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万元，增长（下降）</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14:paraId="7772B67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2.公务用车购置及运行维护费</w:t>
      </w:r>
      <w:r>
        <w:rPr>
          <w:rFonts w:hint="eastAsia" w:ascii="仿宋" w:hAnsi="仿宋" w:eastAsia="仿宋" w:cs="仿宋"/>
          <w:b w:val="0"/>
          <w:bCs/>
          <w:color w:val="auto"/>
          <w:sz w:val="32"/>
          <w:szCs w:val="32"/>
        </w:rPr>
        <w:t>支出</w:t>
      </w:r>
      <w:r>
        <w:rPr>
          <w:rFonts w:hint="eastAsia" w:ascii="仿宋" w:hAnsi="仿宋" w:eastAsia="仿宋" w:cs="仿宋"/>
          <w:color w:val="auto"/>
          <w:sz w:val="32"/>
          <w:szCs w:val="32"/>
          <w:lang w:val="en-US"/>
        </w:rPr>
        <w:t>1.04</w:t>
      </w:r>
      <w:r>
        <w:rPr>
          <w:rFonts w:hint="eastAsia" w:ascii="仿宋" w:hAnsi="仿宋" w:eastAsia="仿宋" w:cs="仿宋"/>
          <w:color w:val="auto"/>
          <w:sz w:val="32"/>
          <w:szCs w:val="32"/>
        </w:rPr>
        <w:t>万元。其中：</w:t>
      </w:r>
    </w:p>
    <w:p w14:paraId="0BB159C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公务用车购置</w:t>
      </w:r>
      <w:r>
        <w:rPr>
          <w:rFonts w:hint="eastAsia" w:ascii="仿宋" w:hAnsi="仿宋" w:eastAsia="仿宋" w:cs="仿宋"/>
          <w:b w:val="0"/>
          <w:bCs/>
          <w:color w:val="auto"/>
          <w:sz w:val="32"/>
          <w:szCs w:val="32"/>
        </w:rPr>
        <w:t>支出</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万元，全年购置公务用车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辆，年末公务用车保有量</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w:t>
      </w:r>
    </w:p>
    <w:p w14:paraId="2F0F80C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公务用车运行维护费</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rPr>
        <w:t>1.04</w:t>
      </w:r>
      <w:r>
        <w:rPr>
          <w:rFonts w:hint="eastAsia" w:ascii="仿宋" w:hAnsi="仿宋" w:eastAsia="仿宋" w:cs="仿宋"/>
          <w:color w:val="auto"/>
          <w:sz w:val="32"/>
          <w:szCs w:val="32"/>
        </w:rPr>
        <w:t>万元，主要用于</w:t>
      </w:r>
      <w:r>
        <w:rPr>
          <w:rFonts w:hint="eastAsia" w:ascii="仿宋" w:hAnsi="仿宋" w:eastAsia="仿宋" w:cs="仿宋"/>
          <w:b w:val="0"/>
          <w:bCs/>
          <w:color w:val="auto"/>
          <w:sz w:val="32"/>
          <w:szCs w:val="32"/>
          <w:lang w:eastAsia="zh-CN"/>
        </w:rPr>
        <w:t>车辆维修维护费等</w:t>
      </w:r>
      <w:r>
        <w:rPr>
          <w:rFonts w:hint="eastAsia" w:ascii="仿宋" w:hAnsi="仿宋" w:eastAsia="仿宋" w:cs="仿宋"/>
          <w:color w:val="auto"/>
          <w:sz w:val="32"/>
          <w:szCs w:val="32"/>
        </w:rPr>
        <w:t>。</w:t>
      </w:r>
    </w:p>
    <w:p w14:paraId="314933E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color w:val="auto"/>
          <w:sz w:val="32"/>
          <w:szCs w:val="32"/>
        </w:rPr>
        <w:t>公务用车购置及运行维护费支出决算数</w:t>
      </w:r>
      <w:r>
        <w:rPr>
          <w:rFonts w:hint="eastAsia" w:ascii="仿宋" w:hAnsi="仿宋" w:eastAsia="仿宋" w:cs="仿宋"/>
          <w:color w:val="auto"/>
          <w:sz w:val="32"/>
          <w:szCs w:val="32"/>
        </w:rPr>
        <w:t>比预算数减少</w:t>
      </w:r>
      <w:r>
        <w:rPr>
          <w:rFonts w:hint="eastAsia" w:ascii="仿宋" w:hAnsi="仿宋" w:eastAsia="仿宋" w:cs="仿宋"/>
          <w:color w:val="auto"/>
          <w:sz w:val="32"/>
          <w:szCs w:val="32"/>
          <w:lang w:val="en-US" w:eastAsia="zh-CN"/>
        </w:rPr>
        <w:t>1.51</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完成预算的</w:t>
      </w:r>
      <w:r>
        <w:rPr>
          <w:rFonts w:hint="eastAsia" w:ascii="仿宋" w:hAnsi="仿宋" w:eastAsia="仿宋" w:cs="仿宋"/>
          <w:color w:val="auto"/>
          <w:sz w:val="32"/>
          <w:szCs w:val="32"/>
          <w:lang w:val="en-US" w:eastAsia="zh-CN"/>
        </w:rPr>
        <w:t>40.78</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w:t>
      </w:r>
      <w:r>
        <w:rPr>
          <w:rFonts w:hint="eastAsia" w:ascii="仿宋" w:hAnsi="仿宋" w:eastAsia="仿宋" w:cs="仿宋"/>
          <w:bCs/>
          <w:color w:val="auto"/>
          <w:sz w:val="32"/>
          <w:szCs w:val="32"/>
        </w:rPr>
        <w:t>公务用车购置及运行维护费</w:t>
      </w:r>
      <w:r>
        <w:rPr>
          <w:rFonts w:hint="eastAsia" w:ascii="仿宋" w:hAnsi="仿宋" w:eastAsia="仿宋" w:cs="仿宋"/>
          <w:color w:val="auto"/>
          <w:sz w:val="32"/>
          <w:szCs w:val="32"/>
        </w:rPr>
        <w:t>支出减少</w:t>
      </w:r>
      <w:r>
        <w:rPr>
          <w:rFonts w:hint="eastAsia" w:ascii="仿宋" w:hAnsi="仿宋" w:eastAsia="仿宋" w:cs="仿宋"/>
          <w:color w:val="auto"/>
          <w:sz w:val="32"/>
          <w:szCs w:val="32"/>
          <w:lang w:val="en-US" w:eastAsia="zh-CN"/>
        </w:rPr>
        <w:t>0.51</w:t>
      </w:r>
      <w:r>
        <w:rPr>
          <w:rFonts w:hint="eastAsia" w:ascii="仿宋" w:hAnsi="仿宋" w:eastAsia="仿宋" w:cs="仿宋"/>
          <w:color w:val="auto"/>
          <w:sz w:val="32"/>
          <w:szCs w:val="32"/>
        </w:rPr>
        <w:t>万元，下降</w:t>
      </w:r>
      <w:r>
        <w:rPr>
          <w:rFonts w:hint="eastAsia" w:ascii="仿宋" w:hAnsi="仿宋" w:eastAsia="仿宋" w:cs="仿宋"/>
          <w:color w:val="auto"/>
          <w:sz w:val="32"/>
          <w:szCs w:val="32"/>
          <w:lang w:val="en-US" w:eastAsia="zh-CN"/>
        </w:rPr>
        <w:t>32.90</w:t>
      </w:r>
      <w:r>
        <w:rPr>
          <w:rFonts w:hint="eastAsia" w:ascii="仿宋" w:hAnsi="仿宋" w:eastAsia="仿宋" w:cs="仿宋"/>
          <w:color w:val="auto"/>
          <w:sz w:val="32"/>
          <w:szCs w:val="32"/>
        </w:rPr>
        <w:t>%，主要原因是</w:t>
      </w:r>
      <w:r>
        <w:rPr>
          <w:rFonts w:hint="eastAsia" w:ascii="仿宋_GB2312" w:hAnsi="仿宋" w:eastAsia="仿宋_GB2312" w:cs="仿宋"/>
          <w:color w:val="auto"/>
          <w:sz w:val="32"/>
          <w:szCs w:val="32"/>
          <w:highlight w:val="none"/>
          <w:lang w:eastAsia="zh-CN"/>
        </w:rPr>
        <w:t>车辆老化无法使用，在</w:t>
      </w:r>
      <w:r>
        <w:rPr>
          <w:rFonts w:hint="eastAsia" w:ascii="仿宋_GB2312" w:hAnsi="仿宋" w:eastAsia="仿宋_GB2312" w:cs="仿宋"/>
          <w:color w:val="auto"/>
          <w:sz w:val="32"/>
          <w:szCs w:val="32"/>
          <w:highlight w:val="none"/>
          <w:lang w:val="en-US" w:eastAsia="zh-CN"/>
        </w:rPr>
        <w:t>2025年8月已申请报废，</w:t>
      </w:r>
      <w:r>
        <w:rPr>
          <w:rFonts w:hint="eastAsia" w:ascii="仿宋_GB2312" w:hAnsi="仿宋" w:eastAsia="仿宋_GB2312" w:cs="仿宋"/>
          <w:color w:val="auto"/>
          <w:sz w:val="32"/>
          <w:szCs w:val="32"/>
          <w:highlight w:val="none"/>
        </w:rPr>
        <w:t>减少公务用车运行维护费支出</w:t>
      </w:r>
      <w:r>
        <w:rPr>
          <w:rFonts w:hint="eastAsia" w:ascii="仿宋" w:hAnsi="仿宋" w:eastAsia="仿宋" w:cs="仿宋"/>
          <w:color w:val="auto"/>
          <w:sz w:val="32"/>
          <w:szCs w:val="32"/>
        </w:rPr>
        <w:t>。</w:t>
      </w:r>
    </w:p>
    <w:p w14:paraId="4815CAD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3.公务接待费</w:t>
      </w:r>
      <w:r>
        <w:rPr>
          <w:rFonts w:hint="eastAsia" w:ascii="仿宋" w:hAnsi="仿宋" w:eastAsia="仿宋" w:cs="仿宋"/>
          <w:b w:val="0"/>
          <w:bCs/>
          <w:color w:val="auto"/>
          <w:sz w:val="32"/>
          <w:szCs w:val="32"/>
        </w:rPr>
        <w:t>支出</w:t>
      </w:r>
      <w:r>
        <w:rPr>
          <w:rFonts w:hint="eastAsia" w:ascii="仿宋" w:hAnsi="仿宋" w:eastAsia="仿宋" w:cs="仿宋"/>
          <w:color w:val="auto"/>
          <w:sz w:val="32"/>
          <w:szCs w:val="32"/>
          <w:lang w:val="en-US"/>
        </w:rPr>
        <w:t>0.00</w:t>
      </w:r>
      <w:r>
        <w:rPr>
          <w:rFonts w:hint="eastAsia" w:ascii="仿宋" w:hAnsi="仿宋" w:eastAsia="仿宋" w:cs="仿宋"/>
          <w:color w:val="auto"/>
          <w:sz w:val="32"/>
          <w:szCs w:val="32"/>
        </w:rPr>
        <w:t>万元，其中：</w:t>
      </w:r>
    </w:p>
    <w:p w14:paraId="0444BB1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国内接待费</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万元，国内公务接待</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批次，接待</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人次。</w:t>
      </w:r>
    </w:p>
    <w:p w14:paraId="4AC126C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国（境）外接待费</w:t>
      </w:r>
      <w:r>
        <w:rPr>
          <w:rFonts w:hint="eastAsia" w:ascii="仿宋" w:hAnsi="仿宋" w:eastAsia="仿宋" w:cs="仿宋"/>
          <w:color w:val="auto"/>
          <w:sz w:val="32"/>
          <w:szCs w:val="32"/>
        </w:rPr>
        <w:t>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万元，国（境）外公务接待</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批次，接待</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人次。</w:t>
      </w:r>
    </w:p>
    <w:p w14:paraId="0374301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公务接待费支出决算数比预算数增加（减少）</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完成预算的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w:t>
      </w:r>
      <w:r>
        <w:rPr>
          <w:rFonts w:hint="eastAsia" w:ascii="仿宋" w:hAnsi="仿宋" w:eastAsia="仿宋" w:cs="仿宋"/>
          <w:bCs/>
          <w:color w:val="auto"/>
          <w:sz w:val="32"/>
          <w:szCs w:val="32"/>
        </w:rPr>
        <w:t>公务接待费</w:t>
      </w:r>
      <w:r>
        <w:rPr>
          <w:rFonts w:hint="eastAsia" w:ascii="仿宋" w:hAnsi="仿宋" w:eastAsia="仿宋" w:cs="仿宋"/>
          <w:color w:val="auto"/>
          <w:sz w:val="32"/>
          <w:szCs w:val="32"/>
        </w:rPr>
        <w:t>支出增加（减少）</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万元，增长（下降）</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14:paraId="3B8181B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十、预算绩效情况说明</w:t>
      </w:r>
    </w:p>
    <w:p w14:paraId="16F958C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（一）绩效管理工作开展情况</w:t>
      </w:r>
    </w:p>
    <w:p w14:paraId="63E77EB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根据预算管理要求，我单位组织对</w:t>
      </w: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年度一般公共预算项目支出全面开展绩效自评</w:t>
      </w:r>
      <w:r>
        <w:rPr>
          <w:rFonts w:hint="eastAsia" w:ascii="仿宋" w:hAnsi="仿宋" w:eastAsia="仿宋" w:cs="仿宋"/>
          <w:color w:val="auto"/>
          <w:sz w:val="32"/>
          <w:szCs w:val="32"/>
          <w:lang w:val="en-US"/>
        </w:rPr>
        <w:t>,</w:t>
      </w:r>
      <w:r>
        <w:rPr>
          <w:rFonts w:hint="eastAsia" w:ascii="仿宋" w:hAnsi="仿宋" w:eastAsia="仿宋" w:cs="仿宋"/>
          <w:color w:val="auto"/>
          <w:sz w:val="32"/>
          <w:szCs w:val="32"/>
          <w:lang w:val="en-US" w:eastAsia="zh-CN"/>
        </w:rPr>
        <w:t>共涉及资金</w:t>
      </w:r>
      <w:r>
        <w:rPr>
          <w:rFonts w:hint="eastAsia" w:ascii="仿宋" w:hAnsi="仿宋" w:eastAsia="仿宋" w:cs="仿宋"/>
          <w:color w:val="auto"/>
          <w:sz w:val="32"/>
          <w:szCs w:val="32"/>
          <w:lang w:val="en-US" w:eastAsia="zh-CN"/>
        </w:rPr>
        <w:t>245.35</w:t>
      </w:r>
      <w:r>
        <w:rPr>
          <w:rFonts w:hint="eastAsia" w:ascii="仿宋" w:hAnsi="仿宋" w:eastAsia="仿宋" w:cs="仿宋"/>
          <w:color w:val="auto"/>
          <w:sz w:val="32"/>
          <w:szCs w:val="32"/>
          <w:lang w:val="en-US" w:eastAsia="zh-CN"/>
        </w:rPr>
        <w:t>万元，占一般公共预算项目支出总额的</w:t>
      </w:r>
      <w:r>
        <w:rPr>
          <w:rFonts w:hint="eastAsia" w:ascii="仿宋" w:hAnsi="仿宋" w:eastAsia="仿宋" w:cs="仿宋"/>
          <w:color w:val="auto"/>
          <w:sz w:val="32"/>
          <w:szCs w:val="32"/>
          <w:lang w:val="en-US" w:eastAsia="zh-CN"/>
        </w:rPr>
        <w:t>66.85</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w:t>
      </w:r>
    </w:p>
    <w:p w14:paraId="16FFC1C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bCs/>
          <w:color w:val="auto"/>
          <w:sz w:val="32"/>
          <w:szCs w:val="32"/>
        </w:rPr>
      </w:pPr>
      <w:r>
        <w:rPr>
          <w:rFonts w:hint="eastAsia" w:ascii="楷体" w:hAnsi="楷体" w:eastAsia="楷体" w:cs="楷体"/>
          <w:bCs/>
          <w:color w:val="auto"/>
          <w:sz w:val="32"/>
          <w:szCs w:val="32"/>
        </w:rPr>
        <w:t>（二）部门决算中项目绩效自评结果（预算部门、单位可根据实际情况反映重点项目绩效自评结果）</w:t>
      </w:r>
    </w:p>
    <w:p w14:paraId="2072DAD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我单位在部门决算中反映</w:t>
      </w:r>
      <w:r>
        <w:rPr>
          <w:rFonts w:hint="eastAsia" w:ascii="仿宋" w:hAnsi="仿宋" w:eastAsia="仿宋" w:cs="仿宋"/>
          <w:color w:val="auto"/>
          <w:sz w:val="32"/>
          <w:szCs w:val="32"/>
          <w:lang w:val="en-US" w:eastAsia="zh-CN"/>
        </w:rPr>
        <w:t>“业务推广与应用”</w:t>
      </w:r>
      <w:r>
        <w:rPr>
          <w:rFonts w:hint="eastAsia" w:ascii="仿宋" w:hAnsi="仿宋" w:eastAsia="仿宋" w:cs="仿宋"/>
          <w:color w:val="auto"/>
          <w:sz w:val="32"/>
          <w:szCs w:val="32"/>
        </w:rPr>
        <w:t>等</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个项目绩效自评结果</w:t>
      </w:r>
      <w:r>
        <w:rPr>
          <w:rFonts w:hint="eastAsia" w:ascii="仿宋" w:hAnsi="仿宋" w:eastAsia="仿宋" w:cs="仿宋"/>
          <w:color w:val="auto"/>
          <w:sz w:val="32"/>
          <w:szCs w:val="32"/>
          <w:lang w:eastAsia="zh-CN"/>
        </w:rPr>
        <w:t>。</w:t>
      </w:r>
    </w:p>
    <w:p w14:paraId="0667E42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业务推广与应用</w:t>
      </w:r>
      <w:r>
        <w:rPr>
          <w:rFonts w:hint="eastAsia" w:ascii="仿宋" w:hAnsi="仿宋" w:eastAsia="仿宋" w:cs="仿宋"/>
          <w:color w:val="auto"/>
          <w:sz w:val="32"/>
          <w:szCs w:val="32"/>
        </w:rPr>
        <w:t>项目绩效自评表：</w:t>
      </w:r>
      <w:r>
        <w:rPr>
          <w:rFonts w:hint="eastAsia" w:ascii="仿宋" w:hAnsi="仿宋" w:eastAsia="仿宋" w:cs="仿宋"/>
          <w:color w:val="auto"/>
          <w:sz w:val="32"/>
          <w:szCs w:val="32"/>
          <w:highlight w:val="none"/>
          <w:lang w:val="en-US" w:eastAsia="zh-CN"/>
        </w:rPr>
        <w:t>自评表见附件</w:t>
      </w:r>
    </w:p>
    <w:p w14:paraId="1E14C00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业务推广与应用</w:t>
      </w:r>
      <w:r>
        <w:rPr>
          <w:rFonts w:hint="eastAsia" w:ascii="仿宋" w:hAnsi="仿宋" w:eastAsia="仿宋" w:cs="仿宋"/>
          <w:color w:val="auto"/>
          <w:sz w:val="32"/>
          <w:szCs w:val="32"/>
        </w:rPr>
        <w:t>项目绩效自评报告：根据年初设定的绩效目标，项目绩效自评得分为</w:t>
      </w:r>
      <w:r>
        <w:rPr>
          <w:rFonts w:hint="eastAsia" w:ascii="仿宋" w:hAnsi="仿宋" w:eastAsia="仿宋" w:cs="仿宋"/>
          <w:color w:val="auto"/>
          <w:sz w:val="32"/>
          <w:szCs w:val="32"/>
          <w:lang w:val="en-US" w:eastAsia="zh-CN"/>
        </w:rPr>
        <w:t>99.68</w:t>
      </w:r>
      <w:r>
        <w:rPr>
          <w:rFonts w:hint="eastAsia" w:ascii="仿宋" w:hAnsi="仿宋" w:eastAsia="仿宋" w:cs="仿宋"/>
          <w:color w:val="auto"/>
          <w:sz w:val="32"/>
          <w:szCs w:val="32"/>
        </w:rPr>
        <w:t>分。全年预算数为</w:t>
      </w:r>
      <w:r>
        <w:rPr>
          <w:rFonts w:hint="eastAsia" w:ascii="仿宋" w:hAnsi="仿宋" w:eastAsia="仿宋" w:cs="仿宋"/>
          <w:color w:val="auto"/>
          <w:sz w:val="32"/>
          <w:szCs w:val="32"/>
          <w:lang w:val="en-US" w:eastAsia="zh-CN"/>
        </w:rPr>
        <w:t>253.50</w:t>
      </w:r>
      <w:r>
        <w:rPr>
          <w:rFonts w:hint="eastAsia" w:ascii="仿宋" w:hAnsi="仿宋" w:eastAsia="仿宋" w:cs="仿宋"/>
          <w:color w:val="auto"/>
          <w:sz w:val="32"/>
          <w:szCs w:val="32"/>
        </w:rPr>
        <w:t>万元，执行数为</w:t>
      </w:r>
      <w:r>
        <w:rPr>
          <w:rFonts w:hint="eastAsia" w:ascii="仿宋" w:hAnsi="仿宋" w:eastAsia="仿宋" w:cs="仿宋"/>
          <w:color w:val="auto"/>
          <w:sz w:val="32"/>
          <w:szCs w:val="32"/>
          <w:lang w:val="en-US" w:eastAsia="zh-CN"/>
        </w:rPr>
        <w:t>245.35</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96.79</w:t>
      </w:r>
      <w:r>
        <w:rPr>
          <w:rFonts w:hint="eastAsia" w:ascii="仿宋" w:hAnsi="仿宋" w:eastAsia="仿宋" w:cs="仿宋"/>
          <w:color w:val="auto"/>
          <w:sz w:val="32"/>
          <w:szCs w:val="32"/>
        </w:rPr>
        <w:t>%。项目绩效目标完成情况：一是完成了建设云龙基地优质肉牛种群和扩繁群，包括黑毛和牛、雷琼黄牛等30头、自繁牛20头。二是完成年配种优质肉牛3500头，提高肉牛良种覆盖率，促进行业增产农民增收。三是完成海南畜禽遗传资源保护评估监测与抢救性保护技术指导项目（畜禽遗传资源测序约200份）分析评估报告，于2025年12月19日，组织相关专家（3名）对其分析材料和评估报告内容进行验收。为后续的基因测序与分子身份证构建做好了充分准备和为企业生产保种等提供专业性依据指导重要的数据。四是完成优质种公牛冻精制作，为全省提供优质肉牛冻精5000枚以上。五是完成全省草业生产与统计技术培训、省内国家、省级资源保种场（区、库）管理技术培训班和海南省畜禽种业统计监测培训及全省畜禽养殖技术及畜禽粪污资源化利用等培训班人数达到406人。六是完成了地方畜禽遗传资源收集和保存。</w:t>
      </w:r>
    </w:p>
    <w:p w14:paraId="4D398B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640" w:firstLineChars="200"/>
        <w:jc w:val="both"/>
        <w:rPr>
          <w:rFonts w:hint="eastAsia" w:ascii="国标仿宋-GB/T 2312" w:hAnsi="国标仿宋-GB/T 2312" w:eastAsia="国标仿宋-GB/T 2312" w:cs="国标仿宋-GB/T 2312"/>
          <w:color w:val="auto"/>
          <w:kern w:val="0"/>
          <w:sz w:val="32"/>
          <w:szCs w:val="32"/>
          <w:lang w:val="en-US" w:eastAsia="zh-CN" w:bidi="ar"/>
        </w:rPr>
      </w:pPr>
      <w:r>
        <w:rPr>
          <w:rFonts w:hint="eastAsia" w:ascii="仿宋" w:hAnsi="仿宋" w:eastAsia="仿宋" w:cs="仿宋"/>
          <w:color w:val="auto"/>
          <w:sz w:val="32"/>
          <w:szCs w:val="32"/>
        </w:rPr>
        <w:t>发现的主要问题及原因：</w:t>
      </w:r>
      <w:r>
        <w:rPr>
          <w:rFonts w:hint="eastAsia" w:ascii="国标仿宋-GB/T 2312" w:hAnsi="国标仿宋-GB/T 2312" w:eastAsia="国标仿宋-GB/T 2312" w:cs="国标仿宋-GB/T 2312"/>
          <w:color w:val="auto"/>
          <w:kern w:val="0"/>
          <w:sz w:val="32"/>
          <w:szCs w:val="32"/>
          <w:lang w:val="en-US" w:eastAsia="zh-CN" w:bidi="ar"/>
        </w:rPr>
        <w:t>一是云龙基地饲草采购渠道有限、仓储条件不足，分批采购增加运输与邀标成本，影响报账进度。</w:t>
      </w:r>
    </w:p>
    <w:p w14:paraId="21FB37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640" w:firstLineChars="200"/>
        <w:jc w:val="both"/>
        <w:rPr>
          <w:rFonts w:hint="eastAsia" w:ascii="国标仿宋-GB/T 2312" w:hAnsi="国标仿宋-GB/T 2312" w:eastAsia="国标仿宋-GB/T 2312" w:cs="国标仿宋-GB/T 2312"/>
          <w:color w:val="auto"/>
          <w:kern w:val="0"/>
          <w:sz w:val="32"/>
          <w:szCs w:val="32"/>
          <w:lang w:val="en-US" w:eastAsia="zh-CN" w:bidi="ar"/>
        </w:rPr>
      </w:pPr>
      <w:r>
        <w:rPr>
          <w:rFonts w:hint="eastAsia" w:ascii="国标仿宋-GB/T 2312" w:hAnsi="国标仿宋-GB/T 2312" w:eastAsia="国标仿宋-GB/T 2312" w:cs="国标仿宋-GB/T 2312"/>
          <w:color w:val="auto"/>
          <w:kern w:val="0"/>
          <w:sz w:val="32"/>
          <w:szCs w:val="32"/>
          <w:lang w:val="en-US" w:eastAsia="zh-CN" w:bidi="ar"/>
        </w:rPr>
        <w:t>二是市县畜牧技术推广机构不健全、人员兼职多、变动频繁，肉牛改良与技术推广对接不畅。</w:t>
      </w:r>
    </w:p>
    <w:p w14:paraId="37A208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640" w:firstLineChars="200"/>
        <w:jc w:val="both"/>
        <w:rPr>
          <w:rFonts w:hint="eastAsia" w:ascii="国标仿宋-GB/T 2312" w:hAnsi="国标仿宋-GB/T 2312" w:eastAsia="国标仿宋-GB/T 2312" w:cs="国标仿宋-GB/T 2312"/>
          <w:color w:val="auto"/>
          <w:kern w:val="0"/>
          <w:sz w:val="32"/>
          <w:szCs w:val="32"/>
          <w:lang w:val="en-US" w:eastAsia="zh-CN" w:bidi="ar"/>
        </w:rPr>
      </w:pPr>
      <w:r>
        <w:rPr>
          <w:rFonts w:hint="eastAsia" w:ascii="国标仿宋-GB/T 2312" w:hAnsi="国标仿宋-GB/T 2312" w:eastAsia="国标仿宋-GB/T 2312" w:cs="国标仿宋-GB/T 2312"/>
          <w:color w:val="auto"/>
          <w:kern w:val="0"/>
          <w:sz w:val="32"/>
          <w:szCs w:val="32"/>
          <w:lang w:val="en-US" w:eastAsia="zh-CN" w:bidi="ar"/>
        </w:rPr>
        <w:t>三是部分保种场基础设施薄弱、保种手段单一，多系统统计数据重复填报，基层统计人员稳定性不足。</w:t>
      </w:r>
    </w:p>
    <w:p w14:paraId="15DA170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b w:val="0"/>
          <w:bCs w:val="0"/>
          <w:color w:val="auto"/>
          <w:kern w:val="2"/>
          <w:sz w:val="32"/>
          <w:szCs w:val="32"/>
          <w:lang w:val="en-US" w:eastAsia="zh-CN" w:bidi="ar-SA"/>
        </w:rPr>
        <w:t>四是种畜禽生产经营许可审批权限调整后，个别市县无法及时对接更新，导致种畜禽生产经营许可证办理过程不够规范；二是与合作单位和服务企业的联系存在延迟，导致工作推进不够及时、全面，需要进一步巩固加强</w:t>
      </w:r>
      <w:r>
        <w:rPr>
          <w:rFonts w:hint="eastAsia" w:ascii="仿宋" w:hAnsi="仿宋" w:eastAsia="仿宋" w:cs="仿宋"/>
          <w:color w:val="auto"/>
          <w:sz w:val="32"/>
          <w:szCs w:val="32"/>
        </w:rPr>
        <w:t>。</w:t>
      </w:r>
    </w:p>
    <w:p w14:paraId="2EE0F61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方正仿宋_GBK" w:hAnsi="方正仿宋_GBK" w:eastAsia="方正仿宋_GBK" w:cs="方正仿宋_GBK"/>
          <w:b w:val="0"/>
          <w:bCs w:val="0"/>
          <w:color w:val="auto"/>
          <w:sz w:val="32"/>
          <w:szCs w:val="32"/>
          <w:lang w:eastAsia="zh-CN"/>
        </w:rPr>
      </w:pPr>
      <w:r>
        <w:rPr>
          <w:rFonts w:hint="eastAsia" w:ascii="仿宋" w:hAnsi="仿宋" w:eastAsia="仿宋" w:cs="仿宋"/>
          <w:color w:val="auto"/>
          <w:sz w:val="32"/>
          <w:szCs w:val="32"/>
        </w:rPr>
        <w:t>下一步改进措施：</w:t>
      </w:r>
      <w:r>
        <w:rPr>
          <w:rFonts w:hint="eastAsia" w:ascii="方正仿宋_GBK" w:hAnsi="方正仿宋_GBK" w:eastAsia="方正仿宋_GBK" w:cs="方正仿宋_GBK"/>
          <w:b w:val="0"/>
          <w:bCs w:val="0"/>
          <w:color w:val="auto"/>
          <w:sz w:val="32"/>
          <w:szCs w:val="32"/>
        </w:rPr>
        <w:t>一是</w:t>
      </w:r>
      <w:r>
        <w:rPr>
          <w:rFonts w:hint="eastAsia" w:ascii="方正仿宋_GBK" w:hAnsi="方正仿宋_GBK" w:eastAsia="方正仿宋_GBK" w:cs="方正仿宋_GBK"/>
          <w:b w:val="0"/>
          <w:bCs w:val="0"/>
          <w:color w:val="auto"/>
          <w:sz w:val="32"/>
          <w:szCs w:val="32"/>
          <w:lang w:eastAsia="zh-CN"/>
        </w:rPr>
        <w:t>加大</w:t>
      </w:r>
      <w:r>
        <w:rPr>
          <w:rFonts w:hint="eastAsia" w:ascii="方正仿宋_GBK" w:hAnsi="方正仿宋_GBK" w:eastAsia="方正仿宋_GBK" w:cs="方正仿宋_GBK"/>
          <w:b w:val="0"/>
          <w:bCs w:val="0"/>
          <w:color w:val="auto"/>
          <w:sz w:val="32"/>
          <w:szCs w:val="32"/>
        </w:rPr>
        <w:t>肉牛品种改良工作</w:t>
      </w:r>
      <w:r>
        <w:rPr>
          <w:rFonts w:hint="eastAsia" w:ascii="方正仿宋_GBK" w:hAnsi="方正仿宋_GBK" w:eastAsia="方正仿宋_GBK" w:cs="方正仿宋_GBK"/>
          <w:b w:val="0"/>
          <w:bCs w:val="0"/>
          <w:color w:val="auto"/>
          <w:sz w:val="32"/>
          <w:szCs w:val="32"/>
          <w:lang w:eastAsia="zh-CN"/>
        </w:rPr>
        <w:t>力度</w:t>
      </w: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eastAsia="zh-CN"/>
        </w:rPr>
        <w:t>扩大肉牛冷配服务点肉牛人工授精工作的覆盖面。</w:t>
      </w:r>
      <w:r>
        <w:rPr>
          <w:rFonts w:hint="eastAsia" w:ascii="方正仿宋_GBK" w:hAnsi="方正仿宋_GBK" w:eastAsia="方正仿宋_GBK" w:cs="方正仿宋_GBK"/>
          <w:b w:val="0"/>
          <w:bCs w:val="0"/>
          <w:color w:val="auto"/>
          <w:sz w:val="32"/>
          <w:szCs w:val="32"/>
        </w:rPr>
        <w:t>加强肉牛品种改良调研和宣传，</w:t>
      </w:r>
      <w:r>
        <w:rPr>
          <w:rFonts w:hint="eastAsia" w:ascii="方正仿宋_GBK" w:hAnsi="方正仿宋_GBK" w:eastAsia="方正仿宋_GBK" w:cs="方正仿宋_GBK"/>
          <w:b w:val="0"/>
          <w:bCs w:val="0"/>
          <w:color w:val="auto"/>
          <w:sz w:val="32"/>
          <w:szCs w:val="32"/>
          <w:lang w:eastAsia="zh-CN"/>
        </w:rPr>
        <w:t>加大肉牛人工授精工作力度，力争完成</w:t>
      </w:r>
      <w:r>
        <w:rPr>
          <w:rFonts w:hint="eastAsia" w:ascii="方正仿宋_GBK" w:hAnsi="方正仿宋_GBK" w:eastAsia="方正仿宋_GBK" w:cs="方正仿宋_GBK"/>
          <w:b w:val="0"/>
          <w:bCs w:val="0"/>
          <w:color w:val="auto"/>
          <w:sz w:val="32"/>
          <w:szCs w:val="32"/>
          <w:lang w:val="en-US" w:eastAsia="zh-CN"/>
        </w:rPr>
        <w:t>3500头母牛的</w:t>
      </w:r>
      <w:r>
        <w:rPr>
          <w:rFonts w:hint="eastAsia" w:ascii="方正仿宋_GBK" w:hAnsi="方正仿宋_GBK" w:eastAsia="方正仿宋_GBK" w:cs="方正仿宋_GBK"/>
          <w:b w:val="0"/>
          <w:bCs w:val="0"/>
          <w:color w:val="auto"/>
          <w:sz w:val="32"/>
          <w:szCs w:val="32"/>
          <w:lang w:eastAsia="zh-CN"/>
        </w:rPr>
        <w:t>配种，切实提高我省肉牛养殖效益。</w:t>
      </w:r>
    </w:p>
    <w:p w14:paraId="1752048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二是继续开展云龙基地管理及平台建设工作，抓好云龙基地优质肉牛良种及雷琼牛种群建设与保护工作和基地设施、设备维修维护工作，为基地开展畜禽良种繁育推广示范提供保障。</w:t>
      </w:r>
    </w:p>
    <w:p w14:paraId="66EA3F4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32"/>
          <w:szCs w:val="32"/>
        </w:rPr>
      </w:pPr>
      <w:r>
        <w:rPr>
          <w:rFonts w:hint="eastAsia" w:ascii="方正仿宋_GBK" w:hAnsi="方正仿宋_GBK" w:eastAsia="方正仿宋_GBK" w:cs="方正仿宋_GBK"/>
          <w:b w:val="0"/>
          <w:bCs w:val="0"/>
          <w:color w:val="auto"/>
          <w:sz w:val="32"/>
          <w:szCs w:val="32"/>
          <w:lang w:val="en-US" w:eastAsia="zh-CN"/>
        </w:rPr>
        <w:t>三是</w:t>
      </w:r>
      <w:r>
        <w:rPr>
          <w:rFonts w:hint="eastAsia" w:ascii="仿宋" w:hAnsi="仿宋" w:eastAsia="仿宋" w:cs="仿宋"/>
          <w:b/>
          <w:bCs/>
          <w:color w:val="auto"/>
          <w:sz w:val="32"/>
          <w:szCs w:val="32"/>
        </w:rPr>
        <w:t>优化品种审定与许可管理服务</w:t>
      </w:r>
    </w:p>
    <w:p w14:paraId="33294A9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跟踪新品种审定进程</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从第一季度起，持续加强对“椰岛黑猪”新品种审定后续工作的跟踪与服务指导，积极协调解决审定过程中的问题，力争早日通过审定。</w:t>
      </w:r>
    </w:p>
    <w:p w14:paraId="3205F80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规范生产经营许可</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全年严格依照《畜牧法》及相关配套规章、技术规范，为市县行政审批部门提供种畜禽生产经营许可证的专业技术指导与规范审核支持，严把种源市场准入关。</w:t>
      </w:r>
    </w:p>
    <w:p w14:paraId="615BADF0">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四是</w:t>
      </w:r>
      <w:r>
        <w:rPr>
          <w:rFonts w:hint="default" w:ascii="Times New Roman" w:hAnsi="Times New Roman" w:eastAsia="仿宋" w:cs="Times New Roman"/>
          <w:b w:val="0"/>
          <w:bCs w:val="0"/>
          <w:color w:val="auto"/>
          <w:sz w:val="32"/>
          <w:szCs w:val="32"/>
          <w:lang w:val="en-US" w:eastAsia="zh-CN"/>
        </w:rPr>
        <w:t>深入</w:t>
      </w:r>
      <w:r>
        <w:rPr>
          <w:rFonts w:hint="default" w:ascii="Times New Roman" w:hAnsi="Times New Roman" w:eastAsia="仿宋" w:cs="Times New Roman"/>
          <w:color w:val="auto"/>
          <w:sz w:val="32"/>
          <w:szCs w:val="32"/>
          <w:lang w:val="en-US" w:eastAsia="zh-CN"/>
        </w:rPr>
        <w:t>基层以调研、集中培训、现场指导等多种形式，开展畜禽粪污资源化利用技术培训指导，印发《畜禽养殖场（户）粪污资源化利用技术手册》，不断提高基层畜牧队伍技术水平和养殖场（户）主体责任意识，</w:t>
      </w:r>
      <w:r>
        <w:rPr>
          <w:rFonts w:hint="default" w:ascii="Times New Roman" w:hAnsi="Times New Roman" w:eastAsia="仿宋" w:cs="Times New Roman"/>
          <w:b w:val="0"/>
          <w:bCs w:val="0"/>
          <w:color w:val="auto"/>
          <w:sz w:val="32"/>
          <w:szCs w:val="32"/>
          <w:lang w:val="en-US" w:eastAsia="zh-CN"/>
        </w:rPr>
        <w:t>宣传施用畜禽粪肥的好处，让畜禽粪污有更多的还田渠道</w:t>
      </w:r>
      <w:r>
        <w:rPr>
          <w:rFonts w:hint="default" w:ascii="Times New Roman" w:hAnsi="Times New Roman" w:eastAsia="仿宋" w:cs="Times New Roman"/>
          <w:color w:val="auto"/>
          <w:sz w:val="32"/>
          <w:szCs w:val="32"/>
          <w:lang w:val="en-US" w:eastAsia="zh-CN"/>
        </w:rPr>
        <w:t>。</w:t>
      </w:r>
    </w:p>
    <w:p w14:paraId="08AEFB7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（三）部门评价结果（预算部门填写，部门所属单位不需填写）</w:t>
      </w:r>
    </w:p>
    <w:p w14:paraId="71066DFC">
      <w:pPr>
        <w:pStyle w:val="5"/>
        <w:numPr>
          <w:ilvl w:val="0"/>
          <w:numId w:val="0"/>
        </w:numPr>
        <w:ind w:left="0" w:leftChars="0" w:firstLine="640" w:firstLineChars="200"/>
        <w:rPr>
          <w:rFonts w:hint="eastAsia" w:ascii="仿宋" w:hAnsi="仿宋" w:eastAsia="仿宋" w:cs="仿宋"/>
          <w:color w:val="auto"/>
          <w:sz w:val="32"/>
          <w:szCs w:val="32"/>
          <w:highlight w:val="yellow"/>
        </w:rPr>
      </w:pPr>
      <w:r>
        <w:rPr>
          <w:rFonts w:hint="eastAsia" w:ascii="仿宋" w:hAnsi="仿宋" w:eastAsia="仿宋" w:cs="仿宋"/>
          <w:color w:val="auto"/>
          <w:sz w:val="32"/>
          <w:szCs w:val="32"/>
        </w:rPr>
        <w:t>无</w:t>
      </w:r>
      <w:r>
        <w:rPr>
          <w:rFonts w:ascii="仿宋" w:hAnsi="仿宋" w:eastAsia="仿宋" w:cs="仿宋"/>
          <w:color w:val="auto"/>
          <w:sz w:val="32"/>
          <w:szCs w:val="32"/>
        </w:rPr>
        <w:t>此类事项</w:t>
      </w:r>
    </w:p>
    <w:p w14:paraId="52EA427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（四）财政评价结果（如有）</w:t>
      </w:r>
    </w:p>
    <w:p w14:paraId="10EDAE8A">
      <w:pPr>
        <w:pStyle w:val="5"/>
        <w:numPr>
          <w:ilvl w:val="0"/>
          <w:numId w:val="0"/>
        </w:numPr>
        <w:ind w:left="0" w:leftChars="0" w:firstLine="640" w:firstLineChars="200"/>
        <w:rPr>
          <w:rFonts w:hint="eastAsia"/>
          <w:color w:val="auto"/>
        </w:rPr>
      </w:pPr>
      <w:r>
        <w:rPr>
          <w:rFonts w:hint="eastAsia" w:ascii="仿宋" w:hAnsi="仿宋" w:eastAsia="仿宋" w:cs="仿宋"/>
          <w:color w:val="auto"/>
          <w:sz w:val="32"/>
          <w:szCs w:val="32"/>
        </w:rPr>
        <w:t>无</w:t>
      </w:r>
      <w:r>
        <w:rPr>
          <w:rFonts w:ascii="仿宋" w:hAnsi="仿宋" w:eastAsia="仿宋" w:cs="仿宋"/>
          <w:color w:val="auto"/>
          <w:sz w:val="32"/>
          <w:szCs w:val="32"/>
        </w:rPr>
        <w:t>此类事项</w:t>
      </w:r>
    </w:p>
    <w:p w14:paraId="2488CE3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lang w:val="zh-CN"/>
        </w:rPr>
      </w:pPr>
      <w:r>
        <w:rPr>
          <w:rFonts w:hint="eastAsia" w:ascii="黑体" w:hAnsi="黑体" w:eastAsia="黑体" w:cs="黑体"/>
          <w:bCs/>
          <w:color w:val="auto"/>
          <w:sz w:val="32"/>
          <w:szCs w:val="32"/>
          <w:lang w:val="zh-CN"/>
        </w:rPr>
        <w:t>十一、落实习惯过紧日子要求、保障重点支出情况说明</w:t>
      </w:r>
    </w:p>
    <w:p w14:paraId="1133702E">
      <w:pPr>
        <w:pStyle w:val="21"/>
        <w:keepNext w:val="0"/>
        <w:keepLines w:val="0"/>
        <w:pageBreakBefore w:val="0"/>
        <w:kinsoku/>
        <w:wordWrap/>
        <w:overflowPunct/>
        <w:topLinePunct w:val="0"/>
        <w:autoSpaceDE/>
        <w:autoSpaceDN/>
        <w:bidi w:val="0"/>
        <w:spacing w:line="580" w:lineRule="exact"/>
        <w:ind w:firstLine="64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按照党中央、国务院关于党政机关习惯过紧日子的有关要求，厉行节约办一切事业，严控一般性支出。</w:t>
      </w:r>
      <w:r>
        <w:rPr>
          <w:rFonts w:hint="eastAsia" w:ascii="方正仿宋_GBK" w:hAnsi="方正仿宋_GBK" w:eastAsia="方正仿宋_GBK" w:cs="方正仿宋_GBK"/>
          <w:color w:val="auto"/>
          <w:sz w:val="32"/>
          <w:szCs w:val="32"/>
          <w:lang w:eastAsia="zh-CN"/>
        </w:rPr>
        <w:t>在日常办公过程中，严格控制办公耗材的使用，减少不必要的培训和活动开支，精简文件印发数量等。</w:t>
      </w:r>
      <w:r>
        <w:rPr>
          <w:rFonts w:hint="eastAsia" w:ascii="仿宋" w:hAnsi="仿宋" w:eastAsia="仿宋" w:cs="仿宋"/>
          <w:color w:val="auto"/>
          <w:sz w:val="32"/>
          <w:szCs w:val="32"/>
          <w:lang w:val="zh-CN"/>
        </w:rPr>
        <w:t>同时坚持有保有压，优化支出结构，提高资金使用效率，合理保障</w:t>
      </w:r>
      <w:r>
        <w:rPr>
          <w:rFonts w:hint="eastAsia" w:ascii="仿宋" w:hAnsi="仿宋" w:eastAsia="仿宋" w:cs="仿宋"/>
          <w:color w:val="auto"/>
          <w:sz w:val="32"/>
          <w:szCs w:val="32"/>
          <w:lang w:val="zh-CN"/>
        </w:rPr>
        <w:t>业务工作</w:t>
      </w:r>
      <w:r>
        <w:rPr>
          <w:rFonts w:hint="eastAsia" w:ascii="仿宋" w:hAnsi="仿宋" w:eastAsia="仿宋" w:cs="仿宋"/>
          <w:color w:val="auto"/>
          <w:sz w:val="32"/>
          <w:szCs w:val="32"/>
          <w:lang w:val="zh-CN"/>
        </w:rPr>
        <w:t>等重点支出，体现在有关支出科目中。二是</w:t>
      </w:r>
      <w:r>
        <w:rPr>
          <w:rFonts w:hint="eastAsia" w:ascii="仿宋" w:hAnsi="仿宋" w:eastAsia="仿宋" w:cs="仿宋"/>
          <w:color w:val="auto"/>
          <w:sz w:val="32"/>
          <w:szCs w:val="32"/>
          <w:lang w:val="zh-CN"/>
        </w:rPr>
        <w:t>在</w:t>
      </w:r>
      <w:r>
        <w:rPr>
          <w:rFonts w:hint="eastAsia" w:ascii="方正仿宋_GBK" w:hAnsi="方正仿宋_GBK" w:eastAsia="方正仿宋_GBK" w:cs="方正仿宋_GBK"/>
          <w:color w:val="auto"/>
          <w:sz w:val="32"/>
          <w:szCs w:val="32"/>
          <w:lang w:eastAsia="zh-CN"/>
        </w:rPr>
        <w:t>一般公共预算支出方面</w:t>
      </w:r>
      <w:r>
        <w:rPr>
          <w:rFonts w:hint="eastAsia" w:ascii="仿宋" w:hAnsi="仿宋" w:eastAsia="仿宋" w:cs="仿宋"/>
          <w:color w:val="auto"/>
          <w:sz w:val="32"/>
          <w:szCs w:val="32"/>
          <w:lang w:val="zh-CN"/>
        </w:rPr>
        <w:t>，科技转化与推广服务方面的支出占财政拨款支出总额的比重较高，主要是：商品和服务支出，2025年度决算数为</w:t>
      </w:r>
      <w:r>
        <w:rPr>
          <w:rFonts w:hint="eastAsia" w:ascii="仿宋" w:hAnsi="仿宋" w:eastAsia="仿宋" w:cs="仿宋"/>
          <w:color w:val="auto"/>
          <w:sz w:val="32"/>
          <w:szCs w:val="32"/>
          <w:lang w:val="en-US" w:eastAsia="zh-CN"/>
        </w:rPr>
        <w:t>367.01</w:t>
      </w:r>
      <w:r>
        <w:rPr>
          <w:rFonts w:hint="eastAsia" w:ascii="仿宋" w:hAnsi="仿宋" w:eastAsia="仿宋" w:cs="仿宋"/>
          <w:color w:val="auto"/>
          <w:sz w:val="32"/>
          <w:szCs w:val="32"/>
          <w:lang w:val="zh-CN"/>
        </w:rPr>
        <w:t>万元，占财政拨款支出总额的</w:t>
      </w:r>
      <w:r>
        <w:rPr>
          <w:rFonts w:hint="eastAsia" w:ascii="仿宋" w:hAnsi="仿宋" w:eastAsia="仿宋" w:cs="仿宋"/>
          <w:color w:val="auto"/>
          <w:sz w:val="32"/>
          <w:szCs w:val="32"/>
          <w:lang w:val="en-US" w:eastAsia="zh-CN"/>
        </w:rPr>
        <w:t>45.10</w:t>
      </w:r>
      <w:r>
        <w:rPr>
          <w:rFonts w:hint="eastAsia" w:ascii="仿宋" w:hAnsi="仿宋" w:eastAsia="仿宋" w:cs="仿宋"/>
          <w:color w:val="auto"/>
          <w:sz w:val="32"/>
          <w:szCs w:val="32"/>
          <w:lang w:val="zh-CN"/>
        </w:rPr>
        <w:t>%，主要用于业务推广与应用项目、生猪全产业链推进项目及综合运行事务项目等方面的业务支出。</w:t>
      </w:r>
      <w:r>
        <w:rPr>
          <w:rFonts w:hint="eastAsia" w:ascii="仿宋" w:hAnsi="仿宋" w:eastAsia="仿宋" w:cs="仿宋"/>
          <w:color w:val="auto"/>
          <w:sz w:val="32"/>
          <w:szCs w:val="32"/>
        </w:rPr>
        <w:t>通过项目实施，继续完善“一基地、两体系、一平台”的建设，并</w:t>
      </w:r>
      <w:r>
        <w:rPr>
          <w:rFonts w:hint="eastAsia" w:ascii="仿宋" w:hAnsi="仿宋" w:eastAsia="仿宋" w:cs="仿宋"/>
          <w:color w:val="auto"/>
          <w:sz w:val="32"/>
          <w:szCs w:val="32"/>
          <w:lang w:val="en-US" w:eastAsia="zh-CN"/>
        </w:rPr>
        <w:t>持续建设</w:t>
      </w:r>
      <w:r>
        <w:rPr>
          <w:rFonts w:hint="eastAsia" w:ascii="仿宋" w:hAnsi="仿宋" w:eastAsia="仿宋" w:cs="仿宋"/>
          <w:color w:val="auto"/>
          <w:sz w:val="32"/>
          <w:szCs w:val="32"/>
        </w:rPr>
        <w:t>全省畜禽遗传资源保护体系</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为我省优质肉牛产业发展提供稳定的种源供应，为广大畜牧技术人员和大专院校提供实践操作培训机会，研究试验饲养管理新技术，不断提高我省</w:t>
      </w:r>
      <w:r>
        <w:rPr>
          <w:rFonts w:hint="eastAsia" w:ascii="仿宋" w:hAnsi="仿宋" w:eastAsia="仿宋" w:cs="仿宋"/>
          <w:color w:val="auto"/>
          <w:sz w:val="32"/>
          <w:szCs w:val="32"/>
          <w:lang w:val="en-US" w:eastAsia="zh-CN"/>
        </w:rPr>
        <w:t>良种</w:t>
      </w:r>
      <w:r>
        <w:rPr>
          <w:rFonts w:hint="eastAsia" w:ascii="仿宋" w:hAnsi="仿宋" w:eastAsia="仿宋" w:cs="仿宋"/>
          <w:color w:val="auto"/>
          <w:sz w:val="32"/>
          <w:szCs w:val="32"/>
        </w:rPr>
        <w:t>肉牛生产养殖水平；不断完善优质肉牛推广服务体系，将基地科技成果推广到</w:t>
      </w:r>
      <w:r>
        <w:rPr>
          <w:rFonts w:hint="eastAsia" w:ascii="仿宋" w:hAnsi="仿宋" w:eastAsia="仿宋" w:cs="仿宋"/>
          <w:color w:val="auto"/>
          <w:sz w:val="32"/>
          <w:szCs w:val="32"/>
          <w:lang w:val="en-US" w:eastAsia="zh-CN"/>
        </w:rPr>
        <w:t>基层养殖业</w:t>
      </w:r>
      <w:r>
        <w:rPr>
          <w:rFonts w:hint="eastAsia" w:ascii="仿宋" w:hAnsi="仿宋" w:eastAsia="仿宋" w:cs="仿宋"/>
          <w:color w:val="auto"/>
          <w:sz w:val="32"/>
          <w:szCs w:val="32"/>
        </w:rPr>
        <w:t>，促进</w:t>
      </w:r>
      <w:r>
        <w:rPr>
          <w:rFonts w:hint="eastAsia" w:ascii="仿宋" w:hAnsi="仿宋" w:eastAsia="仿宋" w:cs="仿宋"/>
          <w:color w:val="auto"/>
          <w:sz w:val="32"/>
          <w:szCs w:val="32"/>
          <w:lang w:val="en-US" w:eastAsia="zh-CN"/>
        </w:rPr>
        <w:t>农民养殖</w:t>
      </w:r>
      <w:r>
        <w:rPr>
          <w:rFonts w:hint="eastAsia" w:ascii="仿宋" w:hAnsi="仿宋" w:eastAsia="仿宋" w:cs="仿宋"/>
          <w:color w:val="auto"/>
          <w:sz w:val="32"/>
          <w:szCs w:val="32"/>
        </w:rPr>
        <w:t>增收；不断完善全省畜牧</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业生产统计监测体系，及时准确掌握行业生产形势，做好预警预报工作，为政府决策提供可靠依据；不断完善科技成果转化平台，组织开展畜牧技术推广工作，搭建科研单位与养殖企业沟通桥梁，将科技研究与生产实践紧密联系起来，促进科技创新和成果转化应用；做好地方特色畜禽遗传资源保护与开发利用工作，打造海南优势特色畜牧业</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助力自贸港特色热带高效农业发展</w:t>
      </w:r>
      <w:r>
        <w:rPr>
          <w:rFonts w:hint="eastAsia" w:ascii="仿宋" w:hAnsi="仿宋" w:eastAsia="仿宋" w:cs="仿宋"/>
          <w:color w:val="auto"/>
          <w:sz w:val="32"/>
          <w:szCs w:val="32"/>
        </w:rPr>
        <w:t>。</w:t>
      </w:r>
    </w:p>
    <w:p w14:paraId="7FDC302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十</w:t>
      </w:r>
      <w:r>
        <w:rPr>
          <w:rFonts w:hint="eastAsia" w:ascii="黑体" w:hAnsi="黑体" w:eastAsia="黑体" w:cs="黑体"/>
          <w:bCs/>
          <w:color w:val="auto"/>
          <w:sz w:val="32"/>
          <w:szCs w:val="32"/>
          <w:lang w:val="en-US" w:eastAsia="zh-CN"/>
        </w:rPr>
        <w:t>二</w:t>
      </w:r>
      <w:r>
        <w:rPr>
          <w:rFonts w:hint="eastAsia" w:ascii="黑体" w:hAnsi="黑体" w:eastAsia="黑体" w:cs="黑体"/>
          <w:bCs/>
          <w:color w:val="auto"/>
          <w:sz w:val="32"/>
          <w:szCs w:val="32"/>
        </w:rPr>
        <w:t>、其他重要事项情况说明</w:t>
      </w:r>
    </w:p>
    <w:p w14:paraId="42D67D3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bookmarkStart w:id="95" w:name="_Toc23598_WPSOffice_Level2"/>
      <w:bookmarkStart w:id="96" w:name="_Toc32639_WPSOffice_Level2"/>
      <w:bookmarkStart w:id="97" w:name="_Toc5978_WPSOffice_Level2"/>
      <w:bookmarkStart w:id="98" w:name="_Toc15262_WPSOffice_Level2"/>
      <w:bookmarkStart w:id="99" w:name="_Toc15565_WPSOffice_Level2"/>
      <w:bookmarkStart w:id="100" w:name="_Toc18325_WPSOffice_Level2"/>
      <w:r>
        <w:rPr>
          <w:rFonts w:hint="eastAsia" w:ascii="楷体" w:hAnsi="楷体" w:eastAsia="楷体" w:cs="楷体"/>
          <w:bCs/>
          <w:color w:val="auto"/>
          <w:sz w:val="32"/>
          <w:szCs w:val="32"/>
        </w:rPr>
        <w:t>（一）机关运行经费支出情况</w:t>
      </w:r>
      <w:bookmarkEnd w:id="95"/>
      <w:bookmarkEnd w:id="96"/>
      <w:bookmarkEnd w:id="97"/>
      <w:bookmarkEnd w:id="98"/>
      <w:bookmarkEnd w:id="99"/>
      <w:bookmarkEnd w:id="100"/>
    </w:p>
    <w:p w14:paraId="66FBA2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bookmarkStart w:id="101" w:name="_Toc3131_WPSOffice_Level2"/>
      <w:bookmarkStart w:id="102" w:name="_Toc25333_WPSOffice_Level2"/>
      <w:bookmarkStart w:id="103" w:name="_Toc23966_WPSOffice_Level2"/>
      <w:bookmarkStart w:id="104" w:name="_Toc30383_WPSOffice_Level2"/>
      <w:bookmarkStart w:id="105" w:name="_Toc32689_WPSOffice_Level2"/>
      <w:bookmarkStart w:id="106" w:name="_Toc13084_WPSOffice_Level2"/>
      <w:r>
        <w:rPr>
          <w:rFonts w:hint="eastAsia" w:ascii="仿宋" w:hAnsi="仿宋" w:eastAsia="仿宋" w:cs="仿宋"/>
          <w:color w:val="auto"/>
          <w:sz w:val="32"/>
          <w:szCs w:val="32"/>
          <w:lang w:val="en-US"/>
        </w:rPr>
        <w:t>202</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年度</w:t>
      </w:r>
      <w:r>
        <w:rPr>
          <w:rFonts w:hint="eastAsia" w:ascii="仿宋" w:hAnsi="仿宋" w:eastAsia="仿宋" w:cs="仿宋"/>
          <w:color w:val="auto"/>
          <w:sz w:val="32"/>
          <w:szCs w:val="32"/>
          <w:lang w:eastAsia="zh-CN"/>
        </w:rPr>
        <w:t>我单位是公益一类的事业单位，没有机关运行经费支出</w:t>
      </w:r>
      <w:r>
        <w:rPr>
          <w:rFonts w:hint="eastAsia" w:ascii="仿宋" w:hAnsi="仿宋" w:eastAsia="仿宋" w:cs="仿宋"/>
          <w:color w:val="auto"/>
          <w:sz w:val="32"/>
          <w:szCs w:val="32"/>
        </w:rPr>
        <w:t>。</w:t>
      </w:r>
    </w:p>
    <w:p w14:paraId="32FB8A2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（二）政府采购支出情况</w:t>
      </w:r>
      <w:bookmarkEnd w:id="101"/>
      <w:bookmarkEnd w:id="102"/>
      <w:bookmarkEnd w:id="103"/>
      <w:bookmarkEnd w:id="104"/>
      <w:bookmarkEnd w:id="105"/>
      <w:bookmarkEnd w:id="106"/>
    </w:p>
    <w:p w14:paraId="12604D69">
      <w:pPr>
        <w:pStyle w:val="5"/>
        <w:numPr>
          <w:ilvl w:val="0"/>
          <w:numId w:val="0"/>
        </w:numPr>
        <w:ind w:left="0" w:leftChars="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无</w:t>
      </w:r>
      <w:r>
        <w:rPr>
          <w:rFonts w:ascii="仿宋" w:hAnsi="仿宋" w:eastAsia="仿宋" w:cs="仿宋"/>
          <w:color w:val="auto"/>
          <w:sz w:val="32"/>
          <w:szCs w:val="32"/>
        </w:rPr>
        <w:t>此类事项</w:t>
      </w:r>
    </w:p>
    <w:p w14:paraId="3061DC4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bookmarkStart w:id="107" w:name="_Toc15129_WPSOffice_Level2"/>
      <w:bookmarkStart w:id="108" w:name="_Toc6016_WPSOffice_Level2"/>
      <w:bookmarkStart w:id="109" w:name="_Toc29584_WPSOffice_Level2"/>
      <w:bookmarkStart w:id="110" w:name="_Toc10902_WPSOffice_Level2"/>
      <w:bookmarkStart w:id="111" w:name="_Toc19989_WPSOffice_Level2"/>
      <w:bookmarkStart w:id="112" w:name="_Toc527_WPSOffice_Level2"/>
      <w:r>
        <w:rPr>
          <w:rFonts w:hint="eastAsia" w:ascii="楷体" w:hAnsi="楷体" w:eastAsia="楷体" w:cs="楷体"/>
          <w:bCs/>
          <w:color w:val="auto"/>
          <w:sz w:val="32"/>
          <w:szCs w:val="32"/>
        </w:rPr>
        <w:t>（三）国有资产占用情况</w:t>
      </w:r>
      <w:bookmarkEnd w:id="107"/>
      <w:bookmarkEnd w:id="108"/>
      <w:bookmarkEnd w:id="109"/>
      <w:bookmarkEnd w:id="110"/>
      <w:bookmarkEnd w:id="111"/>
      <w:bookmarkEnd w:id="112"/>
    </w:p>
    <w:p w14:paraId="4FC4FEB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bCs/>
          <w:color w:val="auto"/>
          <w:sz w:val="32"/>
          <w:szCs w:val="32"/>
        </w:rPr>
        <w:t>截至</w:t>
      </w:r>
      <w:r>
        <w:rPr>
          <w:rFonts w:hint="eastAsia" w:ascii="仿宋" w:hAnsi="仿宋" w:eastAsia="仿宋" w:cs="仿宋"/>
          <w:bCs/>
          <w:color w:val="auto"/>
          <w:sz w:val="32"/>
          <w:szCs w:val="32"/>
          <w:lang w:val="en-US"/>
        </w:rPr>
        <w:t>2025</w:t>
      </w:r>
      <w:r>
        <w:rPr>
          <w:rFonts w:hint="eastAsia" w:ascii="仿宋" w:hAnsi="仿宋" w:eastAsia="仿宋" w:cs="仿宋"/>
          <w:bCs/>
          <w:color w:val="auto"/>
          <w:sz w:val="32"/>
          <w:szCs w:val="32"/>
        </w:rPr>
        <w:t>年12月31日，</w:t>
      </w:r>
      <w:r>
        <w:rPr>
          <w:rFonts w:hint="eastAsia" w:ascii="仿宋" w:hAnsi="仿宋" w:eastAsia="仿宋" w:cs="仿宋"/>
          <w:bCs w:val="0"/>
          <w:color w:val="auto"/>
          <w:sz w:val="32"/>
          <w:szCs w:val="32"/>
        </w:rPr>
        <w:t>本</w:t>
      </w:r>
      <w:r>
        <w:rPr>
          <w:rFonts w:hint="eastAsia" w:ascii="仿宋" w:hAnsi="仿宋" w:eastAsia="仿宋" w:cs="仿宋"/>
          <w:bCs w:val="0"/>
          <w:color w:val="auto"/>
          <w:sz w:val="32"/>
          <w:szCs w:val="32"/>
          <w:lang w:eastAsia="zh-CN"/>
        </w:rPr>
        <w:t>单位</w:t>
      </w:r>
      <w:r>
        <w:rPr>
          <w:rFonts w:hint="eastAsia" w:ascii="仿宋" w:hAnsi="仿宋" w:eastAsia="仿宋" w:cs="仿宋"/>
          <w:bCs w:val="0"/>
          <w:color w:val="auto"/>
          <w:sz w:val="32"/>
          <w:szCs w:val="32"/>
        </w:rPr>
        <w:t>拥有</w:t>
      </w:r>
      <w:r>
        <w:rPr>
          <w:rFonts w:hint="eastAsia" w:ascii="仿宋" w:hAnsi="仿宋" w:eastAsia="仿宋" w:cs="仿宋"/>
          <w:color w:val="auto"/>
          <w:sz w:val="32"/>
          <w:szCs w:val="32"/>
        </w:rPr>
        <w:t>房屋面积</w:t>
      </w:r>
      <w:r>
        <w:rPr>
          <w:rFonts w:hint="eastAsia" w:ascii="仿宋" w:hAnsi="仿宋" w:eastAsia="仿宋" w:cs="仿宋"/>
          <w:color w:val="auto"/>
          <w:sz w:val="32"/>
          <w:szCs w:val="32"/>
          <w:lang w:val="en-US" w:eastAsia="zh-CN"/>
        </w:rPr>
        <w:t>2014.15</w:t>
      </w:r>
      <w:r>
        <w:rPr>
          <w:rFonts w:hint="eastAsia" w:ascii="仿宋" w:hAnsi="仿宋" w:eastAsia="仿宋" w:cs="仿宋"/>
          <w:color w:val="auto"/>
          <w:sz w:val="32"/>
          <w:szCs w:val="32"/>
        </w:rPr>
        <w:t>平方米</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其</w:t>
      </w:r>
      <w:r>
        <w:rPr>
          <w:rFonts w:hint="eastAsia" w:ascii="仿宋" w:hAnsi="仿宋" w:eastAsia="仿宋" w:cs="仿宋"/>
          <w:color w:val="auto"/>
          <w:sz w:val="32"/>
          <w:szCs w:val="32"/>
          <w:highlight w:val="none"/>
        </w:rPr>
        <w:t>中：办公用房</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平方米，业务用房</w:t>
      </w:r>
      <w:r>
        <w:rPr>
          <w:rFonts w:hint="eastAsia" w:ascii="仿宋" w:hAnsi="仿宋" w:eastAsia="仿宋" w:cs="仿宋"/>
          <w:color w:val="auto"/>
          <w:sz w:val="32"/>
          <w:szCs w:val="32"/>
          <w:highlight w:val="none"/>
          <w:lang w:val="en-US" w:eastAsia="zh-CN"/>
        </w:rPr>
        <w:t>585.8</w:t>
      </w:r>
      <w:r>
        <w:rPr>
          <w:rFonts w:hint="eastAsia" w:ascii="仿宋" w:hAnsi="仿宋" w:eastAsia="仿宋" w:cs="仿宋"/>
          <w:color w:val="auto"/>
          <w:sz w:val="32"/>
          <w:szCs w:val="32"/>
          <w:highlight w:val="none"/>
        </w:rPr>
        <w:t>平方米，其他（不含构筑物）</w:t>
      </w:r>
      <w:r>
        <w:rPr>
          <w:rFonts w:hint="eastAsia" w:ascii="仿宋" w:hAnsi="仿宋" w:eastAsia="仿宋" w:cs="仿宋"/>
          <w:color w:val="auto"/>
          <w:sz w:val="32"/>
          <w:szCs w:val="32"/>
          <w:highlight w:val="none"/>
          <w:lang w:val="en-US" w:eastAsia="zh-CN"/>
        </w:rPr>
        <w:t>1428.35</w:t>
      </w:r>
      <w:r>
        <w:rPr>
          <w:rFonts w:hint="eastAsia" w:ascii="仿宋" w:hAnsi="仿宋" w:eastAsia="仿宋" w:cs="仿宋"/>
          <w:color w:val="auto"/>
          <w:sz w:val="32"/>
          <w:szCs w:val="32"/>
          <w:highlight w:val="none"/>
        </w:rPr>
        <w:t>平方米</w:t>
      </w:r>
      <w:r>
        <w:rPr>
          <w:rFonts w:hint="eastAsia" w:ascii="仿宋" w:hAnsi="仿宋" w:eastAsia="仿宋" w:cs="仿宋"/>
          <w:color w:val="auto"/>
          <w:sz w:val="32"/>
          <w:szCs w:val="32"/>
          <w:lang w:eastAsia="zh-CN"/>
        </w:rPr>
        <w:t>。</w:t>
      </w:r>
    </w:p>
    <w:p w14:paraId="1E9C756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本部门共有车辆</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辆，其中，副部（省）级及以上领导用车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辆、主要负责人用车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辆、机要通信用车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辆、应急保障用车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辆、执法执勤用车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辆、特种专业技术用车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辆、离退休干部服务用车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辆、其他用车</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辆，其他用车</w:t>
      </w:r>
      <w:r>
        <w:rPr>
          <w:rFonts w:hint="eastAsia" w:ascii="仿宋" w:hAnsi="仿宋" w:eastAsia="仿宋" w:cs="仿宋"/>
          <w:color w:val="auto"/>
          <w:sz w:val="32"/>
          <w:szCs w:val="32"/>
          <w:highlight w:val="none"/>
        </w:rPr>
        <w:t>主要是</w:t>
      </w:r>
      <w:r>
        <w:rPr>
          <w:rFonts w:hint="eastAsia" w:ascii="仿宋" w:hAnsi="仿宋" w:eastAsia="仿宋" w:cs="仿宋"/>
          <w:color w:val="auto"/>
          <w:sz w:val="32"/>
          <w:szCs w:val="32"/>
          <w:highlight w:val="none"/>
          <w:lang w:eastAsia="zh-CN"/>
        </w:rPr>
        <w:t>单位平时开展业务用车</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 xml:space="preserve">     </w:t>
      </w:r>
    </w:p>
    <w:p w14:paraId="378F916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单价100万元（含）以上设备（不含车辆）</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台（套）。</w:t>
      </w:r>
    </w:p>
    <w:p w14:paraId="20F5AB1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center"/>
        <w:textAlignment w:val="auto"/>
        <w:rPr>
          <w:rFonts w:hint="eastAsia" w:ascii="黑体" w:hAnsi="ˎ̥" w:eastAsia="黑体"/>
          <w:color w:val="auto"/>
          <w:sz w:val="32"/>
          <w:szCs w:val="32"/>
        </w:rPr>
      </w:pPr>
      <w:bookmarkStart w:id="113" w:name="_Toc15425_WPSOffice_Level1"/>
      <w:bookmarkStart w:id="114" w:name="_Toc4398_WPSOffice_Level1"/>
      <w:bookmarkStart w:id="115" w:name="_Toc8808_WPSOffice_Level1"/>
      <w:bookmarkStart w:id="116" w:name="_Toc11039_WPSOffice_Level1"/>
      <w:bookmarkStart w:id="117" w:name="_Toc17580_WPSOffice_Level1"/>
      <w:bookmarkStart w:id="118" w:name="_Toc8874_WPSOffice_Level1"/>
    </w:p>
    <w:p w14:paraId="7D7EA2A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color w:val="auto"/>
          <w:sz w:val="32"/>
          <w:szCs w:val="32"/>
        </w:rPr>
      </w:pPr>
      <w:r>
        <w:rPr>
          <w:rFonts w:hint="eastAsia" w:ascii="黑体" w:hAnsi="ˎ̥" w:eastAsia="黑体"/>
          <w:color w:val="auto"/>
          <w:sz w:val="32"/>
          <w:szCs w:val="32"/>
        </w:rPr>
        <w:t>第四部分  名词解释</w:t>
      </w:r>
      <w:bookmarkEnd w:id="113"/>
      <w:bookmarkEnd w:id="114"/>
      <w:bookmarkEnd w:id="115"/>
      <w:bookmarkEnd w:id="116"/>
      <w:bookmarkEnd w:id="117"/>
      <w:bookmarkEnd w:id="118"/>
    </w:p>
    <w:p w14:paraId="20DF7197">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color w:val="auto"/>
          <w:sz w:val="32"/>
          <w:szCs w:val="32"/>
        </w:rPr>
      </w:pPr>
    </w:p>
    <w:p w14:paraId="7197CEF9">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财政拨款收入：指同级政府财政部门当年拨付的各类财政拨款。</w:t>
      </w:r>
    </w:p>
    <w:p w14:paraId="7DA2B54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二、上级补助收入：指事业单位从主管部门和上级单位取得的非财政补助收入。</w:t>
      </w:r>
    </w:p>
    <w:p w14:paraId="2A93201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三、事业收入：指事业单位开展专业业务活动及辅助活动取得的收入。</w:t>
      </w:r>
    </w:p>
    <w:p w14:paraId="07958E2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四、经营收入：指事业单位在专业业务活动及其辅助活动之外开展非独立核算经营活动取得的收入。</w:t>
      </w:r>
    </w:p>
    <w:p w14:paraId="2092876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五、附属单位上缴收入：指事业单位取得附属独立核算单位根据有关规定上缴的收入。</w:t>
      </w:r>
    </w:p>
    <w:p w14:paraId="2323CEA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六、其他收入：指除上述“财政拨款收入”“事业收入”“上级补助收入”“经营收入”“附属单位上缴收入”等以外的收入。</w:t>
      </w:r>
    </w:p>
    <w:p w14:paraId="4062D03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七、使用非财政拨款结余（含专用结余）：指事业单位在当年的“财政拨款收入”“事业收入”“经营收入”“其他收入”等不足以安排当年支出的情况下，使用非同级财政拨款结余资金弥补本年度收支缺口。</w:t>
      </w:r>
    </w:p>
    <w:p w14:paraId="64AEE7C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八、年初结转和结余：指以前年度尚未完成、结转到本年按有关规定继续使用的资金，或项目已完成等产生的结余资金。</w:t>
      </w:r>
    </w:p>
    <w:p w14:paraId="24D18E5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九、结余分配：指事业单位缴纳企业所得税以及从非财政拨款结余或经营结余中提取各类结余的情况。</w:t>
      </w:r>
    </w:p>
    <w:p w14:paraId="5625F05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十、年末结转和结余：指本年度或以前年度预算安排、因客观条件发生变化无法按原计划实施，需要延迟到以后年度按有关规定继续使用的资金（不包括事业单位非财政拨款结余和专用结余）。</w:t>
      </w:r>
    </w:p>
    <w:p w14:paraId="66457CB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十一、基本支出：指为保障机构正常运转、完成日常工作任务而发生的人员支出和公用支出。</w:t>
      </w:r>
    </w:p>
    <w:p w14:paraId="29DCB54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十二、项目支出：指在基本支出之外为完成特定行政任务和事业发展目标所发生的支出。</w:t>
      </w:r>
    </w:p>
    <w:p w14:paraId="2BF293A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十三、经营支出：指事业单位在专业业务活动及其辅助活动之外开展非独立核算经营活动发生的支出。</w:t>
      </w:r>
    </w:p>
    <w:p w14:paraId="4BFE062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十四、“三公”经费：纳入本级财政预决算管理的“三公”经费，是指用一般公共预算财政拨款、政府性基金预算财政拨款及国有资本经营预算财政拨款安排的因公出国（境）费</w:t>
      </w:r>
      <w:r>
        <w:rPr>
          <w:rFonts w:hint="eastAsia" w:ascii="仿宋" w:hAnsi="仿宋" w:eastAsia="仿宋" w:cs="仿宋"/>
          <w:color w:val="auto"/>
          <w:sz w:val="32"/>
          <w:szCs w:val="32"/>
          <w:highlight w:val="none"/>
          <w:lang w:eastAsia="zh-CN"/>
        </w:rPr>
        <w:t>用</w:t>
      </w:r>
      <w:r>
        <w:rPr>
          <w:rFonts w:hint="eastAsia" w:ascii="仿宋" w:hAnsi="仿宋" w:eastAsia="仿宋" w:cs="仿宋"/>
          <w:color w:val="auto"/>
          <w:sz w:val="32"/>
          <w:szCs w:val="32"/>
          <w:highlight w:val="none"/>
        </w:rPr>
        <w:t>、公务用车购置及运行维护费和公务接待费。其中，因公出国（境）费</w:t>
      </w:r>
      <w:r>
        <w:rPr>
          <w:rFonts w:hint="eastAsia" w:ascii="仿宋" w:hAnsi="仿宋" w:eastAsia="仿宋" w:cs="仿宋"/>
          <w:color w:val="auto"/>
          <w:sz w:val="32"/>
          <w:szCs w:val="32"/>
          <w:highlight w:val="none"/>
          <w:lang w:eastAsia="zh-CN"/>
        </w:rPr>
        <w:t>用</w:t>
      </w:r>
      <w:r>
        <w:rPr>
          <w:rFonts w:hint="eastAsia" w:ascii="仿宋" w:hAnsi="仿宋" w:eastAsia="仿宋" w:cs="仿宋"/>
          <w:color w:val="auto"/>
          <w:sz w:val="32"/>
          <w:szCs w:val="32"/>
          <w:highlight w:val="none"/>
        </w:rPr>
        <w:t>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14:paraId="670215F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76F30C3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十六、支出功能分类：</w:t>
      </w:r>
    </w:p>
    <w:p w14:paraId="4ED079B3">
      <w:pPr>
        <w:pStyle w:val="5"/>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社会保障和就业支出（类）行政事业单位养老支出（款）机关事业单位基本养老保险缴费支出（项），反映机关事业单位实施养老保险制度由单位缴纳的基本养老保险费支出；</w:t>
      </w:r>
    </w:p>
    <w:p w14:paraId="047AF3BC">
      <w:pPr>
        <w:pStyle w:val="5"/>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社会保障和就业支出（类）行政事业单位养老支出（款）机关事业单位职业年金缴费支出（项），反映机关事业单位实施养老保险制度由单位实际缴纳的职业年金支出；</w:t>
      </w:r>
    </w:p>
    <w:p w14:paraId="088D9F5D">
      <w:pPr>
        <w:pStyle w:val="5"/>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卫生健康支出（类）行政事业单位医疗（款）事业单位医疗（项），反映财政部门安排的事业单位基本医疗保险缴费经费，未参加医疗保险的事业单位的公费医疗经费，按国家规定享受离休人员待遇的医疗经费；</w:t>
      </w:r>
    </w:p>
    <w:p w14:paraId="5CEC400E">
      <w:pPr>
        <w:pStyle w:val="5"/>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农林水支出（类）农业农村（款）事业运行（项），反映用于农业事业单位基本支出，事业单位设施、系统运行与资产维护等方面的支出；</w:t>
      </w:r>
    </w:p>
    <w:p w14:paraId="7619B32D">
      <w:pPr>
        <w:pStyle w:val="5"/>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农林水支出（类）农业农村（款）</w:t>
      </w:r>
      <w:r>
        <w:rPr>
          <w:rFonts w:hint="eastAsia" w:ascii="仿宋" w:hAnsi="仿宋" w:eastAsia="仿宋" w:cs="仿宋"/>
          <w:color w:val="000000" w:themeColor="text1"/>
          <w:sz w:val="32"/>
          <w:szCs w:val="32"/>
          <w:lang w:eastAsia="zh-CN"/>
          <w14:textFill>
            <w14:solidFill>
              <w14:schemeClr w14:val="tx1"/>
            </w14:solidFill>
          </w14:textFill>
        </w:rPr>
        <w:t>科技转化与推广服务</w:t>
      </w:r>
      <w:r>
        <w:rPr>
          <w:rFonts w:hint="eastAsia" w:ascii="仿宋" w:hAnsi="仿宋" w:eastAsia="仿宋" w:cs="仿宋"/>
          <w:color w:val="000000" w:themeColor="text1"/>
          <w:sz w:val="32"/>
          <w:szCs w:val="32"/>
          <w14:textFill>
            <w14:solidFill>
              <w14:schemeClr w14:val="tx1"/>
            </w14:solidFill>
          </w14:textFill>
        </w:rPr>
        <w:t>（项），反映用于</w:t>
      </w:r>
      <w:r>
        <w:rPr>
          <w:rFonts w:hint="eastAsia" w:ascii="仿宋" w:hAnsi="仿宋" w:eastAsia="仿宋" w:cs="仿宋"/>
          <w:color w:val="000000" w:themeColor="text1"/>
          <w:sz w:val="32"/>
          <w:szCs w:val="32"/>
          <w:lang w:eastAsia="zh-CN"/>
          <w14:textFill>
            <w14:solidFill>
              <w14:schemeClr w14:val="tx1"/>
            </w14:solidFill>
          </w14:textFill>
        </w:rPr>
        <w:t>农业科技成果转化，农业科技人才奖励，农业新品种、新机具、新技术引进、试验、示范、推广及服务，农村人居环境整治等方面的技术试验示范支出</w:t>
      </w:r>
      <w:r>
        <w:rPr>
          <w:rFonts w:hint="eastAsia" w:ascii="仿宋" w:hAnsi="仿宋" w:eastAsia="仿宋" w:cs="仿宋"/>
          <w:color w:val="000000" w:themeColor="text1"/>
          <w:sz w:val="32"/>
          <w:szCs w:val="32"/>
          <w14:textFill>
            <w14:solidFill>
              <w14:schemeClr w14:val="tx1"/>
            </w14:solidFill>
          </w14:textFill>
        </w:rPr>
        <w:t>；</w:t>
      </w:r>
    </w:p>
    <w:p w14:paraId="6510737F">
      <w:pPr>
        <w:pStyle w:val="5"/>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农林水支出（类）农业农村（款）</w:t>
      </w:r>
      <w:r>
        <w:rPr>
          <w:rFonts w:hint="eastAsia" w:ascii="仿宋" w:hAnsi="仿宋" w:eastAsia="仿宋" w:cs="仿宋"/>
          <w:color w:val="000000" w:themeColor="text1"/>
          <w:sz w:val="32"/>
          <w:szCs w:val="32"/>
          <w:lang w:eastAsia="zh-CN"/>
          <w14:textFill>
            <w14:solidFill>
              <w14:schemeClr w14:val="tx1"/>
            </w14:solidFill>
          </w14:textFill>
        </w:rPr>
        <w:t>行业业务管理</w:t>
      </w:r>
      <w:r>
        <w:rPr>
          <w:rFonts w:hint="eastAsia" w:ascii="仿宋" w:hAnsi="仿宋" w:eastAsia="仿宋" w:cs="仿宋"/>
          <w:color w:val="000000" w:themeColor="text1"/>
          <w:sz w:val="32"/>
          <w:szCs w:val="32"/>
          <w14:textFill>
            <w14:solidFill>
              <w14:schemeClr w14:val="tx1"/>
            </w14:solidFill>
          </w14:textFill>
        </w:rPr>
        <w:t>（项），</w:t>
      </w:r>
      <w:r>
        <w:rPr>
          <w:rFonts w:hint="eastAsia" w:ascii="仿宋" w:hAnsi="仿宋" w:eastAsia="仿宋" w:cs="仿宋"/>
          <w:color w:val="000000" w:themeColor="text1"/>
          <w:sz w:val="32"/>
          <w:szCs w:val="32"/>
          <w:lang w:eastAsia="zh-CN"/>
          <w14:textFill>
            <w14:solidFill>
              <w14:schemeClr w14:val="tx1"/>
            </w14:solidFill>
          </w14:textFill>
        </w:rPr>
        <w:t>反映用于农业农村政策研究、规划编制、评审评估、绩效评价、监督检查等基本业务管理工作的支出</w:t>
      </w:r>
      <w:r>
        <w:rPr>
          <w:rFonts w:hint="eastAsia" w:ascii="仿宋" w:hAnsi="仿宋" w:eastAsia="仿宋" w:cs="仿宋"/>
          <w:color w:val="000000" w:themeColor="text1"/>
          <w:sz w:val="32"/>
          <w:szCs w:val="32"/>
          <w14:textFill>
            <w14:solidFill>
              <w14:schemeClr w14:val="tx1"/>
            </w14:solidFill>
          </w14:textFill>
        </w:rPr>
        <w:t>；</w:t>
      </w:r>
    </w:p>
    <w:p w14:paraId="2497DE1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color w:val="auto"/>
        </w:rPr>
      </w:pPr>
      <w:r>
        <w:rPr>
          <w:rFonts w:hint="eastAsia" w:ascii="仿宋" w:hAnsi="仿宋" w:eastAsia="仿宋" w:cs="仿宋"/>
          <w:color w:val="000000" w:themeColor="text1"/>
          <w:sz w:val="32"/>
          <w:szCs w:val="32"/>
          <w14:textFill>
            <w14:solidFill>
              <w14:schemeClr w14:val="tx1"/>
            </w14:solidFill>
          </w14:textFill>
        </w:rPr>
        <w:t>住房保障支出（类）住房改革支出（款）住房公积金（项），反映行政事业单位按人力资源和社会保障部、财政部规定的基本工资和津贴补贴以及规定比例为职工缴纳的住房公积金。</w:t>
      </w:r>
    </w:p>
    <w:sectPr>
      <w:footerReference r:id="rId3" w:type="default"/>
      <w:footerReference r:id="rId4" w:type="even"/>
      <w:pgSz w:w="11906" w:h="16838"/>
      <w:pgMar w:top="2098" w:right="1474" w:bottom="130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ˎ̥">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国标仿宋-GB/T 2312">
    <w:panose1 w:val="02000500000000000000"/>
    <w:charset w:val="86"/>
    <w:family w:val="auto"/>
    <w:pitch w:val="default"/>
    <w:sig w:usb0="800002AF" w:usb1="08476CF8" w:usb2="0000001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国标宋体">
    <w:panose1 w:val="02000500000000000000"/>
    <w:charset w:val="86"/>
    <w:family w:val="auto"/>
    <w:pitch w:val="default"/>
    <w:sig w:usb0="00000001" w:usb1="28000000" w:usb2="00000000" w:usb3="00000000" w:csb0="00040000" w:csb1="00000000"/>
  </w:font>
  <w:font w:name="国标宋体-GB/T 2312">
    <w:panose1 w:val="02000500000000000000"/>
    <w:charset w:val="86"/>
    <w:family w:val="auto"/>
    <w:pitch w:val="default"/>
    <w:sig w:usb0="00000001" w:usb1="08000000" w:usb2="00000000" w:usb3="00000000" w:csb0="00040000" w:csb1="00000000"/>
  </w:font>
  <w:font w:name="Liberation Mono">
    <w:panose1 w:val="02070409020205020404"/>
    <w:charset w:val="00"/>
    <w:family w:val="auto"/>
    <w:pitch w:val="default"/>
    <w:sig w:usb0="A00002AF" w:usb1="400078FB" w:usb2="00000000" w:usb3="00000000" w:csb0="6000009F" w:csb1="DFD70000"/>
  </w:font>
  <w:font w:name="MathJax_Script">
    <w:panose1 w:val="00000000000000000000"/>
    <w:charset w:val="00"/>
    <w:family w:val="auto"/>
    <w:pitch w:val="default"/>
    <w:sig w:usb0="800000EF" w:usb1="1000ECED" w:usb2="00000000" w:usb3="00000000" w:csb0="2000008F" w:csb1="5E030000"/>
  </w:font>
  <w:font w:name="MathJax_Typewriter">
    <w:panose1 w:val="00000000000000000000"/>
    <w:charset w:val="00"/>
    <w:family w:val="auto"/>
    <w:pitch w:val="default"/>
    <w:sig w:usb0="800000EF" w:usb1="1000ECED" w:usb2="00000000" w:usb3="00000000" w:csb0="2000008F" w:csb1="5E030000"/>
  </w:font>
  <w:font w:name="Noto Sans Armenian">
    <w:panose1 w:val="020B0502040504020204"/>
    <w:charset w:val="00"/>
    <w:family w:val="auto"/>
    <w:pitch w:val="default"/>
    <w:sig w:usb0="80000403" w:usb1="40000000" w:usb2="00000000" w:usb3="00000000" w:csb0="00000001" w:csb1="00000000"/>
  </w:font>
  <w:font w:name="Noto Sans CJK SC">
    <w:panose1 w:val="020B0500000000000000"/>
    <w:charset w:val="86"/>
    <w:family w:val="auto"/>
    <w:pitch w:val="default"/>
    <w:sig w:usb0="30000083" w:usb1="2BDF3C10" w:usb2="00000016" w:usb3="00000000" w:csb0="602E0107" w:csb1="00000000"/>
  </w:font>
  <w:font w:name="Noto Sans Georgian">
    <w:panose1 w:val="020B0502040504020204"/>
    <w:charset w:val="00"/>
    <w:family w:val="auto"/>
    <w:pitch w:val="default"/>
    <w:sig w:usb0="84000443" w:usb1="00000002" w:usb2="00000000" w:usb3="00000000" w:csb0="00000001" w:csb1="00000000"/>
  </w:font>
  <w:font w:name="Noto Sans Javanese">
    <w:panose1 w:val="020B0502040504020204"/>
    <w:charset w:val="00"/>
    <w:family w:val="auto"/>
    <w:pitch w:val="default"/>
    <w:sig w:usb0="80000003" w:usb1="00002000" w:usb2="00000000" w:usb3="00000000" w:csb0="00000001" w:csb1="00000000"/>
  </w:font>
  <w:font w:name="Noto Sans Khudawadi">
    <w:panose1 w:val="020B0502040504020204"/>
    <w:charset w:val="00"/>
    <w:family w:val="auto"/>
    <w:pitch w:val="default"/>
    <w:sig w:usb0="80008003" w:usb1="02002000" w:usb2="00000000" w:usb3="00000000" w:csb0="00000001" w:csb1="00000000"/>
  </w:font>
  <w:font w:name="Noto Sans Limbu">
    <w:panose1 w:val="020B0502040504020204"/>
    <w:charset w:val="00"/>
    <w:family w:val="auto"/>
    <w:pitch w:val="default"/>
    <w:sig w:usb0="80008003" w:usb1="00002000" w:usb2="20000000" w:usb3="00000000" w:csb0="00000001" w:csb1="00000000"/>
  </w:font>
  <w:font w:name="Noto Sans Hanifi Rohingya">
    <w:panose1 w:val="020B0502040504020204"/>
    <w:charset w:val="00"/>
    <w:family w:val="auto"/>
    <w:pitch w:val="default"/>
    <w:sig w:usb0="80002003" w:usb1="02002000" w:usb2="00000000" w:usb3="00000000" w:csb0="00000001" w:csb1="00000000"/>
  </w:font>
  <w:font w:name="Noto Sans Chakma">
    <w:panose1 w:val="020B0502040504020204"/>
    <w:charset w:val="00"/>
    <w:family w:val="auto"/>
    <w:pitch w:val="default"/>
    <w:sig w:usb0="80010003" w:usb1="02002000" w:usb2="00000400" w:usb3="00000000" w:csb0="00000001" w:csb1="00000000"/>
  </w:font>
  <w:font w:name="Noto Sans Buhid">
    <w:panose1 w:val="020B0502040504020204"/>
    <w:charset w:val="00"/>
    <w:family w:val="auto"/>
    <w:pitch w:val="default"/>
    <w:sig w:usb0="80000003" w:usb1="00002000" w:usb2="00100000" w:usb3="00000000" w:csb0="00000001" w:csb1="00000000"/>
  </w:font>
  <w:font w:name="Noto Kufi Arabic">
    <w:panose1 w:val="00000000000000000000"/>
    <w:charset w:val="00"/>
    <w:family w:val="auto"/>
    <w:pitch w:val="default"/>
    <w:sig w:usb0="00002000" w:usb1="00000000" w:usb2="00000008" w:usb3="00000000" w:csb0="00000001" w:csb1="00000000"/>
  </w:font>
  <w:font w:name="MathJax_SansSerif">
    <w:panose1 w:val="00000000000000000000"/>
    <w:charset w:val="00"/>
    <w:family w:val="auto"/>
    <w:pitch w:val="default"/>
    <w:sig w:usb0="800000EF" w:usb1="1000ECED" w:usb2="00000000" w:usb3="00000000" w:csb0="2000008F" w:csb1="5E030000"/>
  </w:font>
  <w:font w:name="Droid Sans Fallback">
    <w:panose1 w:val="020B0502000000000001"/>
    <w:charset w:val="86"/>
    <w:family w:val="auto"/>
    <w:pitch w:val="default"/>
    <w:sig w:usb0="910002FF" w:usb1="2BDFFCFB" w:usb2="00000036" w:usb3="00000000" w:csb0="203F01FF" w:csb1="D7FF0000"/>
  </w:font>
  <w:font w:name="CESI仿宋-GB13000">
    <w:panose1 w:val="02000500000000000000"/>
    <w:charset w:val="86"/>
    <w:family w:val="auto"/>
    <w:pitch w:val="default"/>
    <w:sig w:usb0="800002BF" w:usb1="18CF7CF8" w:usb2="00000016" w:usb3="00000000" w:csb0="0004000F" w:csb1="00000000"/>
  </w:font>
  <w:font w:name="华文行楷">
    <w:panose1 w:val="02010800040101010101"/>
    <w:charset w:val="86"/>
    <w:family w:val="auto"/>
    <w:pitch w:val="default"/>
    <w:sig w:usb0="00000001" w:usb1="080F0000" w:usb2="00000000" w:usb3="00000000" w:csb0="00040000" w:csb1="00000000"/>
  </w:font>
  <w:font w:name="国标黑体-GB/T 2312">
    <w:panose1 w:val="02000500000000000000"/>
    <w:charset w:val="86"/>
    <w:family w:val="auto"/>
    <w:pitch w:val="default"/>
    <w:sig w:usb0="00000001" w:usb1="08000000" w:usb2="00000000" w:usb3="00000000" w:csb0="00040000" w:csb1="00000000"/>
  </w:font>
  <w:font w:name="文泉驿等宽正黑">
    <w:panose1 w:val="02000603000000000000"/>
    <w:charset w:val="86"/>
    <w:family w:val="auto"/>
    <w:pitch w:val="default"/>
    <w:sig w:usb0="900002BF" w:usb1="2BDF7DFB" w:usb2="00000036" w:usb3="00000000" w:csb0="603E000D" w:csb1="D2D70000"/>
  </w:font>
  <w:font w:name="方正小标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9E08A">
    <w:pPr>
      <w:pStyle w:val="7"/>
      <w:framePr w:wrap="around" w:vAnchor="text" w:hAnchor="margin" w:xAlign="center" w:y="1"/>
      <w:rPr>
        <w:rStyle w:val="12"/>
        <w:rFonts w:hint="eastAsia" w:ascii="宋体" w:hAnsi="宋体" w:eastAsia="宋体" w:cs="宋体"/>
        <w:sz w:val="28"/>
        <w:szCs w:val="28"/>
      </w:rPr>
    </w:pPr>
    <w:r>
      <w:rPr>
        <w:rFonts w:hint="eastAsia" w:ascii="宋体" w:hAnsi="宋体" w:eastAsia="宋体" w:cs="宋体"/>
        <w:sz w:val="28"/>
        <w:szCs w:val="28"/>
      </w:rPr>
      <w:fldChar w:fldCharType="begin"/>
    </w:r>
    <w:r>
      <w:rPr>
        <w:rStyle w:val="12"/>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2"/>
        <w:rFonts w:hint="eastAsia" w:ascii="宋体" w:hAnsi="宋体" w:eastAsia="宋体" w:cs="宋体"/>
        <w:sz w:val="28"/>
        <w:szCs w:val="28"/>
      </w:rPr>
      <w:t>18</w:t>
    </w:r>
    <w:r>
      <w:rPr>
        <w:rFonts w:hint="eastAsia" w:ascii="宋体" w:hAnsi="宋体" w:eastAsia="宋体" w:cs="宋体"/>
        <w:sz w:val="28"/>
        <w:szCs w:val="28"/>
      </w:rPr>
      <w:fldChar w:fldCharType="end"/>
    </w:r>
  </w:p>
  <w:p w14:paraId="1BD1ED87">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6F60F">
    <w:pPr>
      <w:pStyle w:val="7"/>
      <w:framePr w:wrap="around" w:vAnchor="text" w:hAnchor="margin" w:xAlign="center" w:y="1"/>
      <w:rPr>
        <w:rStyle w:val="12"/>
      </w:rPr>
    </w:pPr>
    <w:r>
      <w:fldChar w:fldCharType="begin"/>
    </w:r>
    <w:r>
      <w:rPr>
        <w:rStyle w:val="12"/>
      </w:rPr>
      <w:instrText xml:space="preserve">PAGE  </w:instrText>
    </w:r>
    <w:r>
      <w:fldChar w:fldCharType="separate"/>
    </w:r>
    <w:r>
      <w:fldChar w:fldCharType="end"/>
    </w:r>
  </w:p>
  <w:p w14:paraId="07FD915D">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DE7ABA8A"/>
    <w:multiLevelType w:val="singleLevel"/>
    <w:tmpl w:val="DE7ABA8A"/>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35166A0"/>
    <w:rsid w:val="03AF1619"/>
    <w:rsid w:val="04CB1139"/>
    <w:rsid w:val="06400C4E"/>
    <w:rsid w:val="080B7C62"/>
    <w:rsid w:val="09201287"/>
    <w:rsid w:val="0AF81AF7"/>
    <w:rsid w:val="0B8646CF"/>
    <w:rsid w:val="0F0D0E98"/>
    <w:rsid w:val="0F5B4403"/>
    <w:rsid w:val="0F64775C"/>
    <w:rsid w:val="0FB6BF81"/>
    <w:rsid w:val="0FC80124"/>
    <w:rsid w:val="106D0892"/>
    <w:rsid w:val="136F98C7"/>
    <w:rsid w:val="13CC1D73"/>
    <w:rsid w:val="17427E68"/>
    <w:rsid w:val="1755065F"/>
    <w:rsid w:val="17F378CF"/>
    <w:rsid w:val="1AFC29C9"/>
    <w:rsid w:val="1CA52F2E"/>
    <w:rsid w:val="1CFF6831"/>
    <w:rsid w:val="1E3630B9"/>
    <w:rsid w:val="1E766B63"/>
    <w:rsid w:val="1EB3B1B8"/>
    <w:rsid w:val="22FB1D2D"/>
    <w:rsid w:val="24013373"/>
    <w:rsid w:val="25FD6EEB"/>
    <w:rsid w:val="26EEC2B5"/>
    <w:rsid w:val="29472309"/>
    <w:rsid w:val="2B406E77"/>
    <w:rsid w:val="2BF67536"/>
    <w:rsid w:val="2C2A0C43"/>
    <w:rsid w:val="2C895B0F"/>
    <w:rsid w:val="2D1E73A5"/>
    <w:rsid w:val="2D984D48"/>
    <w:rsid w:val="2DAA682A"/>
    <w:rsid w:val="32717154"/>
    <w:rsid w:val="34B63260"/>
    <w:rsid w:val="37FDA7E2"/>
    <w:rsid w:val="389D2A9B"/>
    <w:rsid w:val="3A314D88"/>
    <w:rsid w:val="3A746883"/>
    <w:rsid w:val="3C8A1D00"/>
    <w:rsid w:val="3CA15DE9"/>
    <w:rsid w:val="3D0F0457"/>
    <w:rsid w:val="3D7CFBF7"/>
    <w:rsid w:val="3DFA2EB5"/>
    <w:rsid w:val="3EFFB0D7"/>
    <w:rsid w:val="3F77FD24"/>
    <w:rsid w:val="3FD02B45"/>
    <w:rsid w:val="3FE61EE5"/>
    <w:rsid w:val="406508EE"/>
    <w:rsid w:val="408D6263"/>
    <w:rsid w:val="41B40CEE"/>
    <w:rsid w:val="42834F1E"/>
    <w:rsid w:val="45060392"/>
    <w:rsid w:val="46773AE2"/>
    <w:rsid w:val="48317291"/>
    <w:rsid w:val="484D5079"/>
    <w:rsid w:val="485F7024"/>
    <w:rsid w:val="488F68F0"/>
    <w:rsid w:val="48C447EC"/>
    <w:rsid w:val="48E70666"/>
    <w:rsid w:val="4C6877E5"/>
    <w:rsid w:val="4D4E6D7A"/>
    <w:rsid w:val="4D6A468D"/>
    <w:rsid w:val="4EA86137"/>
    <w:rsid w:val="50FFB312"/>
    <w:rsid w:val="51DA7627"/>
    <w:rsid w:val="54AB6860"/>
    <w:rsid w:val="55384597"/>
    <w:rsid w:val="56031AB3"/>
    <w:rsid w:val="56B81EA5"/>
    <w:rsid w:val="56CA7FD0"/>
    <w:rsid w:val="57832294"/>
    <w:rsid w:val="57FA38D1"/>
    <w:rsid w:val="58174786"/>
    <w:rsid w:val="58CF72C7"/>
    <w:rsid w:val="5A6A4AC7"/>
    <w:rsid w:val="5AB97EAE"/>
    <w:rsid w:val="5AD7F67D"/>
    <w:rsid w:val="5D9E1657"/>
    <w:rsid w:val="5F7D3333"/>
    <w:rsid w:val="5FF77F91"/>
    <w:rsid w:val="5FFC6139"/>
    <w:rsid w:val="601D7037"/>
    <w:rsid w:val="61385890"/>
    <w:rsid w:val="64CC0566"/>
    <w:rsid w:val="66CB4B3F"/>
    <w:rsid w:val="687436E1"/>
    <w:rsid w:val="6A6B4546"/>
    <w:rsid w:val="6A8E20AF"/>
    <w:rsid w:val="6DA45C50"/>
    <w:rsid w:val="6E9A7825"/>
    <w:rsid w:val="6F670F9B"/>
    <w:rsid w:val="72AC15A0"/>
    <w:rsid w:val="737450E0"/>
    <w:rsid w:val="74054476"/>
    <w:rsid w:val="742F38C4"/>
    <w:rsid w:val="74AB66DC"/>
    <w:rsid w:val="74C4154C"/>
    <w:rsid w:val="75956FFF"/>
    <w:rsid w:val="777F0192"/>
    <w:rsid w:val="778D20C9"/>
    <w:rsid w:val="77AA2D01"/>
    <w:rsid w:val="77AE408F"/>
    <w:rsid w:val="783C4637"/>
    <w:rsid w:val="793C6888"/>
    <w:rsid w:val="7AAC0F59"/>
    <w:rsid w:val="7B3FE7C3"/>
    <w:rsid w:val="7BDD7745"/>
    <w:rsid w:val="7CDE1DBD"/>
    <w:rsid w:val="7D943A85"/>
    <w:rsid w:val="7DB0448C"/>
    <w:rsid w:val="7DEBF847"/>
    <w:rsid w:val="7E5F9AA4"/>
    <w:rsid w:val="7FB41373"/>
    <w:rsid w:val="7FFCEA67"/>
    <w:rsid w:val="8FFC8888"/>
    <w:rsid w:val="A7F73C99"/>
    <w:rsid w:val="ABBB626F"/>
    <w:rsid w:val="B3BF9729"/>
    <w:rsid w:val="BDDF8A58"/>
    <w:rsid w:val="BFFE3BF4"/>
    <w:rsid w:val="D7241CE9"/>
    <w:rsid w:val="DBBD5377"/>
    <w:rsid w:val="DFEBDA37"/>
    <w:rsid w:val="DFFF0B20"/>
    <w:rsid w:val="E77FC767"/>
    <w:rsid w:val="EDF948E7"/>
    <w:rsid w:val="EF6FCA1D"/>
    <w:rsid w:val="EFDF3694"/>
    <w:rsid w:val="EFFF57D6"/>
    <w:rsid w:val="F6FCE02B"/>
    <w:rsid w:val="F77F7022"/>
    <w:rsid w:val="F77FA035"/>
    <w:rsid w:val="F7B79181"/>
    <w:rsid w:val="F7FED831"/>
    <w:rsid w:val="FCAF2296"/>
    <w:rsid w:val="FD33A2D0"/>
    <w:rsid w:val="FDB79CDD"/>
    <w:rsid w:val="FEAD82E6"/>
    <w:rsid w:val="FF778876"/>
    <w:rsid w:val="FF7FA20F"/>
    <w:rsid w:val="FFFE81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99"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Cambria" w:hAnsi="Cambria" w:cs="Times New Roman"/>
      <w:sz w:val="24"/>
    </w:rPr>
  </w:style>
  <w:style w:type="paragraph" w:styleId="3">
    <w:name w:val="annotation text"/>
    <w:basedOn w:val="1"/>
    <w:link w:val="14"/>
    <w:qFormat/>
    <w:uiPriority w:val="0"/>
    <w:pPr>
      <w:jc w:val="left"/>
    </w:pPr>
  </w:style>
  <w:style w:type="paragraph" w:styleId="4">
    <w:name w:val="index 6"/>
    <w:basedOn w:val="1"/>
    <w:next w:val="1"/>
    <w:semiHidden/>
    <w:qFormat/>
    <w:uiPriority w:val="99"/>
  </w:style>
  <w:style w:type="paragraph" w:styleId="5">
    <w:name w:val="Body Text"/>
    <w:basedOn w:val="1"/>
    <w:next w:val="1"/>
    <w:unhideWhenUsed/>
    <w:qFormat/>
    <w:uiPriority w:val="99"/>
    <w:pPr>
      <w:ind w:left="106" w:firstLine="480"/>
    </w:pPr>
    <w:rPr>
      <w:rFonts w:ascii="仿宋_GB2312" w:hAnsi="仿宋_GB2312" w:eastAsia="仿宋_GB2312"/>
      <w:sz w:val="24"/>
      <w:szCs w:val="24"/>
    </w:r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17"/>
    <w:qFormat/>
    <w:uiPriority w:val="0"/>
    <w:rPr>
      <w:b/>
      <w:bCs/>
    </w:rPr>
  </w:style>
  <w:style w:type="character" w:styleId="12">
    <w:name w:val="page number"/>
    <w:qFormat/>
    <w:uiPriority w:val="0"/>
  </w:style>
  <w:style w:type="character" w:styleId="13">
    <w:name w:val="annotation reference"/>
    <w:qFormat/>
    <w:uiPriority w:val="0"/>
    <w:rPr>
      <w:sz w:val="21"/>
      <w:szCs w:val="21"/>
    </w:rPr>
  </w:style>
  <w:style w:type="character" w:customStyle="1" w:styleId="14">
    <w:name w:val="批注文字 Char"/>
    <w:link w:val="3"/>
    <w:qFormat/>
    <w:uiPriority w:val="0"/>
    <w:rPr>
      <w:kern w:val="2"/>
      <w:sz w:val="21"/>
      <w:szCs w:val="24"/>
    </w:rPr>
  </w:style>
  <w:style w:type="character" w:customStyle="1" w:styleId="15">
    <w:name w:val="批注框文本 Char"/>
    <w:link w:val="6"/>
    <w:qFormat/>
    <w:uiPriority w:val="0"/>
    <w:rPr>
      <w:kern w:val="2"/>
      <w:sz w:val="18"/>
      <w:szCs w:val="18"/>
    </w:rPr>
  </w:style>
  <w:style w:type="character" w:customStyle="1" w:styleId="16">
    <w:name w:val="页眉 Char"/>
    <w:link w:val="8"/>
    <w:qFormat/>
    <w:uiPriority w:val="0"/>
    <w:rPr>
      <w:kern w:val="2"/>
      <w:sz w:val="18"/>
      <w:szCs w:val="18"/>
    </w:rPr>
  </w:style>
  <w:style w:type="character" w:customStyle="1" w:styleId="17">
    <w:name w:val="批注主题 Char"/>
    <w:link w:val="9"/>
    <w:qFormat/>
    <w:uiPriority w:val="0"/>
    <w:rPr>
      <w:b/>
      <w:bCs/>
      <w:kern w:val="2"/>
      <w:sz w:val="21"/>
      <w:szCs w:val="24"/>
    </w:rPr>
  </w:style>
  <w:style w:type="paragraph" w:customStyle="1" w:styleId="18">
    <w:name w:val="WPSOffice手动目录 1"/>
    <w:qFormat/>
    <w:uiPriority w:val="0"/>
    <w:rPr>
      <w:rFonts w:ascii="Times New Roman" w:hAnsi="Times New Roman" w:eastAsia="宋体" w:cs="Times New Roman"/>
      <w:lang w:val="en-US" w:eastAsia="zh-CN" w:bidi="ar-SA"/>
    </w:rPr>
  </w:style>
  <w:style w:type="paragraph" w:customStyle="1" w:styleId="19">
    <w:name w:val="WPSOffice手动目录 2"/>
    <w:qFormat/>
    <w:uiPriority w:val="0"/>
    <w:pPr>
      <w:ind w:leftChars="200"/>
    </w:pPr>
    <w:rPr>
      <w:rFonts w:ascii="Times New Roman" w:hAnsi="Times New Roman" w:eastAsia="宋体" w:cs="Times New Roman"/>
      <w:lang w:val="en-US" w:eastAsia="zh-CN" w:bidi="ar-SA"/>
    </w:rPr>
  </w:style>
  <w:style w:type="paragraph" w:customStyle="1" w:styleId="20">
    <w:name w:val="正文1 Char Char Char"/>
    <w:basedOn w:val="1"/>
    <w:qFormat/>
    <w:uiPriority w:val="0"/>
    <w:pPr>
      <w:spacing w:line="360" w:lineRule="auto"/>
      <w:ind w:firstLine="200" w:firstLineChars="200"/>
    </w:pPr>
  </w:style>
  <w:style w:type="paragraph" w:customStyle="1" w:styleId="21">
    <w:name w:val="列出段落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1086</Words>
  <Characters>2053</Characters>
  <Lines>67</Lines>
  <Paragraphs>18</Paragraphs>
  <TotalTime>0</TotalTime>
  <ScaleCrop>false</ScaleCrop>
  <LinksUpToDate>false</LinksUpToDate>
  <CharactersWithSpaces>2089</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2024-07-25T03:26:00Z</dcterms:created>
  <dc:creator>uos</dc:creator>
  <cp:lastModifiedBy>zhihai</cp:lastModifiedBy>
  <cp:lastPrinted>2023-08-04T00:58:00Z</cp:lastPrinted>
  <dcterms:modified xsi:type="dcterms:W3CDTF">2026-08-31T19:21:35Z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03AE7F14E2DC4BACB053764200FF950D_13</vt:lpwstr>
  </property>
  <property fmtid="{D5CDD505-2E9C-101B-9397-08002B2CF9AE}" pid="4" name="KSOTemplateDocerSaveRecord">
    <vt:lpwstr>eyJoZGlkIjoiY2VlZThlZDk5ZTQ4MTFjNGY3MjIxNTdiOWMzZmQwMWMiLCJ1c2VySWQiOiIyMzQ5MTc1OTYifQ==</vt:lpwstr>
  </property>
</Properties>
</file>