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E356A">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海南省农业农村厅本级</w:t>
      </w:r>
      <w:r>
        <w:rPr>
          <w:rFonts w:hint="default" w:asciiTheme="majorEastAsia" w:hAnsiTheme="majorEastAsia" w:eastAsiaTheme="majorEastAsia" w:cstheme="majorEastAsia"/>
          <w:b/>
          <w:bCs/>
          <w:sz w:val="44"/>
          <w:szCs w:val="44"/>
          <w:lang w:val="en-US"/>
        </w:rPr>
        <w:t>2025</w:t>
      </w:r>
      <w:r>
        <w:rPr>
          <w:rFonts w:hint="eastAsia" w:asciiTheme="majorEastAsia" w:hAnsiTheme="majorEastAsia" w:eastAsiaTheme="majorEastAsia" w:cstheme="majorEastAsia"/>
          <w:b/>
          <w:bCs/>
          <w:sz w:val="44"/>
          <w:szCs w:val="44"/>
        </w:rPr>
        <w:t>年度部门决算公开报告</w:t>
      </w:r>
    </w:p>
    <w:p w14:paraId="6C2B2D3A">
      <w:pPr>
        <w:spacing w:line="578" w:lineRule="exact"/>
        <w:jc w:val="center"/>
        <w:rPr>
          <w:rFonts w:hint="eastAsia" w:ascii="黑体" w:hAnsi="ˎ̥" w:eastAsia="黑体"/>
          <w:b/>
          <w:sz w:val="32"/>
          <w:szCs w:val="32"/>
        </w:rPr>
      </w:pPr>
    </w:p>
    <w:p w14:paraId="6A8F1018">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目录</w:t>
      </w:r>
    </w:p>
    <w:p w14:paraId="6A2F743B">
      <w:pPr>
        <w:pStyle w:val="19"/>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第一部分基本情况</w:t>
      </w:r>
      <w:r>
        <w:rPr>
          <w:sz w:val="32"/>
          <w:szCs w:val="32"/>
        </w:rPr>
        <w:tab/>
      </w:r>
      <w:r>
        <w:rPr>
          <w:sz w:val="32"/>
          <w:szCs w:val="32"/>
        </w:rPr>
        <w:fldChar w:fldCharType="end"/>
      </w:r>
      <w:r>
        <w:rPr>
          <w:rFonts w:hint="eastAsia"/>
          <w:sz w:val="32"/>
          <w:szCs w:val="32"/>
        </w:rPr>
        <w:t>2</w:t>
      </w:r>
    </w:p>
    <w:p w14:paraId="29CBFE79">
      <w:pPr>
        <w:pStyle w:val="20"/>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09089809">
      <w:pPr>
        <w:pStyle w:val="20"/>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14:paraId="3B013F23">
      <w:pPr>
        <w:pStyle w:val="19"/>
        <w:tabs>
          <w:tab w:val="right" w:leader="dot" w:pos="8306"/>
        </w:tabs>
        <w:spacing w:line="578" w:lineRule="exact"/>
        <w:rPr>
          <w:rFonts w:hint="eastAsia" w:eastAsia="宋体"/>
          <w:sz w:val="32"/>
          <w:szCs w:val="32"/>
          <w:lang w:eastAsia="zh-CN"/>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第二部分</w:t>
      </w:r>
      <w:r>
        <w:rPr>
          <w:rFonts w:hint="default" w:ascii="黑体" w:hAnsi="ˎ̥" w:eastAsia="黑体"/>
          <w:sz w:val="32"/>
          <w:szCs w:val="32"/>
          <w:lang w:val="en-US"/>
        </w:rPr>
        <w:t>2025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lang w:val="en-US" w:eastAsia="zh-CN"/>
        </w:rPr>
        <w:t>6</w:t>
      </w:r>
    </w:p>
    <w:p w14:paraId="6E57563D">
      <w:pPr>
        <w:pStyle w:val="19"/>
        <w:tabs>
          <w:tab w:val="right" w:leader="dot" w:pos="8306"/>
        </w:tabs>
        <w:spacing w:line="578" w:lineRule="exact"/>
        <w:rPr>
          <w:rFonts w:hint="eastAsia" w:eastAsia="宋体"/>
          <w:sz w:val="32"/>
          <w:szCs w:val="32"/>
          <w:lang w:eastAsia="zh-CN"/>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default" w:ascii="黑体" w:hAnsi="ˎ̥" w:eastAsia="黑体"/>
          <w:sz w:val="32"/>
          <w:szCs w:val="32"/>
          <w:lang w:val="en-US"/>
        </w:rPr>
        <w:t>2025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lang w:val="en-US" w:eastAsia="zh-CN"/>
        </w:rPr>
        <w:t>7</w:t>
      </w:r>
    </w:p>
    <w:p w14:paraId="65C40179">
      <w:pPr>
        <w:pStyle w:val="20"/>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7</w:t>
      </w:r>
    </w:p>
    <w:p w14:paraId="4BD7D57F">
      <w:pPr>
        <w:pStyle w:val="20"/>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7</w:t>
      </w:r>
    </w:p>
    <w:p w14:paraId="0C54764D">
      <w:pPr>
        <w:pStyle w:val="20"/>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14:paraId="51FC70A3">
      <w:pPr>
        <w:pStyle w:val="20"/>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14:paraId="7A0C8420">
      <w:pPr>
        <w:pStyle w:val="20"/>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14:paraId="0F3513AE">
      <w:pPr>
        <w:pStyle w:val="20"/>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14</w:t>
      </w:r>
    </w:p>
    <w:p w14:paraId="14C271AC">
      <w:pPr>
        <w:pStyle w:val="20"/>
        <w:numPr>
          <w:ilvl w:val="0"/>
          <w:numId w:val="0"/>
        </w:numPr>
        <w:tabs>
          <w:tab w:val="right" w:leader="dot" w:pos="8306"/>
        </w:tabs>
        <w:spacing w:line="578" w:lineRule="exact"/>
        <w:rPr>
          <w:rFonts w:hint="default" w:ascii="仿宋" w:hAnsi="仿宋" w:eastAsia="仿宋" w:cs="仿宋"/>
          <w:sz w:val="32"/>
          <w:szCs w:val="32"/>
          <w:lang w:val="en-US" w:eastAsia="zh-CN"/>
        </w:rPr>
      </w:pPr>
      <w:r>
        <w:rPr>
          <w:rFonts w:hint="eastAsia" w:ascii="仿宋" w:hAnsi="仿宋" w:eastAsia="仿宋" w:cs="仿宋"/>
          <w:bCs/>
          <w:sz w:val="32"/>
          <w:szCs w:val="32"/>
          <w:lang w:val="en-US" w:eastAsia="zh-CN"/>
        </w:rPr>
        <w:t>七、</w:t>
      </w: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15</w:t>
      </w:r>
    </w:p>
    <w:p w14:paraId="341B0484">
      <w:pPr>
        <w:pStyle w:val="20"/>
        <w:numPr>
          <w:ilvl w:val="0"/>
          <w:numId w:val="0"/>
        </w:numPr>
        <w:tabs>
          <w:tab w:val="right" w:leader="dot" w:pos="8306"/>
        </w:tabs>
        <w:spacing w:line="578" w:lineRule="exact"/>
        <w:rPr>
          <w:rFonts w:hint="default" w:ascii="仿宋" w:hAnsi="仿宋" w:eastAsia="仿宋" w:cs="仿宋"/>
          <w:sz w:val="32"/>
          <w:szCs w:val="32"/>
          <w:lang w:val="en-US" w:eastAsia="zh-CN"/>
        </w:rPr>
      </w:pPr>
      <w:r>
        <w:rPr>
          <w:rFonts w:hint="eastAsia" w:ascii="仿宋" w:hAnsi="仿宋" w:eastAsia="仿宋" w:cs="仿宋"/>
          <w:bCs/>
          <w:sz w:val="32"/>
          <w:szCs w:val="32"/>
          <w:lang w:val="en-US" w:eastAsia="zh-CN"/>
        </w:rPr>
        <w:t>八、</w:t>
      </w: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15</w:t>
      </w:r>
    </w:p>
    <w:p w14:paraId="4A5010BD">
      <w:pPr>
        <w:pStyle w:val="20"/>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16</w:t>
      </w:r>
    </w:p>
    <w:p w14:paraId="23F091F4">
      <w:pPr>
        <w:pStyle w:val="20"/>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19</w:t>
      </w:r>
    </w:p>
    <w:p w14:paraId="11226842">
      <w:pPr>
        <w:pStyle w:val="20"/>
        <w:numPr>
          <w:ilvl w:val="0"/>
          <w:numId w:val="0"/>
        </w:numPr>
        <w:tabs>
          <w:tab w:val="right" w:leader="dot" w:pos="8306"/>
        </w:tabs>
        <w:spacing w:line="578" w:lineRule="exact"/>
        <w:rPr>
          <w:rFonts w:hint="default" w:ascii="仿宋" w:hAnsi="仿宋" w:eastAsia="仿宋" w:cs="仿宋"/>
          <w:sz w:val="32"/>
          <w:szCs w:val="32"/>
          <w:lang w:val="en-US" w:eastAsia="zh-CN"/>
        </w:rPr>
      </w:pPr>
      <w:r>
        <w:rPr>
          <w:rFonts w:hint="eastAsia" w:ascii="仿宋" w:hAnsi="仿宋" w:eastAsia="仿宋" w:cs="仿宋"/>
          <w:bCs/>
          <w:sz w:val="32"/>
          <w:szCs w:val="32"/>
          <w:lang w:val="en-US" w:eastAsia="zh-CN"/>
        </w:rPr>
        <w:t>十一、</w:t>
      </w:r>
      <w:r>
        <w:rPr>
          <w:rFonts w:hint="eastAsia" w:ascii="仿宋" w:hAnsi="仿宋" w:eastAsia="仿宋" w:cs="仿宋"/>
          <w:bCs/>
          <w:sz w:val="32"/>
          <w:szCs w:val="32"/>
        </w:rPr>
        <w:t>落实习惯过紧日子要求、保障重点支出情况说明</w:t>
      </w:r>
      <w:r>
        <w:rPr>
          <w:rFonts w:hint="eastAsia" w:ascii="仿宋" w:hAnsi="仿宋" w:eastAsia="仿宋" w:cs="仿宋"/>
          <w:sz w:val="32"/>
          <w:szCs w:val="32"/>
        </w:rPr>
        <w:tab/>
      </w:r>
      <w:r>
        <w:rPr>
          <w:rFonts w:hint="eastAsia" w:ascii="仿宋" w:hAnsi="仿宋" w:eastAsia="仿宋" w:cs="仿宋"/>
          <w:sz w:val="32"/>
          <w:szCs w:val="32"/>
          <w:lang w:val="en-US" w:eastAsia="zh-CN"/>
        </w:rPr>
        <w:t>24</w:t>
      </w:r>
    </w:p>
    <w:p w14:paraId="4705ABB2">
      <w:pPr>
        <w:pStyle w:val="20"/>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bCs/>
          <w:sz w:val="32"/>
          <w:szCs w:val="32"/>
        </w:rPr>
        <w:t>十</w:t>
      </w:r>
      <w:r>
        <w:rPr>
          <w:rFonts w:hint="eastAsia" w:ascii="仿宋" w:hAnsi="仿宋" w:eastAsia="仿宋" w:cs="仿宋"/>
          <w:bCs/>
          <w:sz w:val="32"/>
          <w:szCs w:val="32"/>
          <w:lang w:val="en-US" w:eastAsia="zh-CN"/>
        </w:rPr>
        <w:t>二</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lang w:val="en-US" w:eastAsia="zh-CN"/>
        </w:rPr>
        <w:t>24</w:t>
      </w:r>
    </w:p>
    <w:p w14:paraId="1704E608">
      <w:pPr>
        <w:pStyle w:val="19"/>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第四部分名词解释</w:t>
      </w:r>
      <w:r>
        <w:rPr>
          <w:sz w:val="32"/>
          <w:szCs w:val="32"/>
        </w:rPr>
        <w:tab/>
      </w:r>
      <w:r>
        <w:rPr>
          <w:rFonts w:hint="eastAsia"/>
          <w:sz w:val="32"/>
          <w:szCs w:val="32"/>
          <w:lang w:val="en-US" w:eastAsia="zh-CN"/>
        </w:rPr>
        <w:t>2</w:t>
      </w:r>
      <w:r>
        <w:rPr>
          <w:sz w:val="32"/>
          <w:szCs w:val="32"/>
        </w:rPr>
        <w:fldChar w:fldCharType="end"/>
      </w:r>
      <w:bookmarkEnd w:id="0"/>
      <w:r>
        <w:rPr>
          <w:rFonts w:hint="eastAsia"/>
          <w:sz w:val="32"/>
          <w:szCs w:val="32"/>
          <w:lang w:val="en-US" w:eastAsia="zh-CN"/>
        </w:rPr>
        <w:t>6</w:t>
      </w:r>
    </w:p>
    <w:p w14:paraId="4EC8D6DA">
      <w:pPr>
        <w:spacing w:line="578" w:lineRule="exact"/>
        <w:jc w:val="both"/>
        <w:rPr>
          <w:rFonts w:hint="eastAsia" w:ascii="黑体" w:hAnsi="ˎ̥" w:eastAsia="黑体"/>
          <w:sz w:val="32"/>
          <w:szCs w:val="32"/>
        </w:rPr>
      </w:pPr>
      <w:bookmarkStart w:id="1" w:name="_Toc10720_WPSOffice_Level1"/>
      <w:bookmarkStart w:id="2" w:name="_Toc22941_WPSOffice_Level1"/>
      <w:bookmarkStart w:id="3" w:name="_Toc10049_WPSOffice_Level1"/>
      <w:bookmarkStart w:id="4" w:name="_Toc32433_WPSOffice_Level1"/>
      <w:bookmarkStart w:id="5" w:name="_Toc1704_WPSOffice_Level1"/>
      <w:bookmarkStart w:id="6" w:name="_Toc23465_WPSOffice_Level1"/>
      <w:bookmarkStart w:id="7" w:name="_Toc24238_WPSOffice_Level2"/>
      <w:bookmarkStart w:id="8" w:name="_Toc32622_WPSOffice_Level2"/>
      <w:bookmarkStart w:id="9" w:name="_Toc20274_WPSOffice_Level2"/>
      <w:bookmarkStart w:id="10" w:name="_Toc20205_WPSOffice_Level2"/>
      <w:bookmarkStart w:id="11" w:name="_Toc14159_WPSOffice_Level2"/>
      <w:bookmarkStart w:id="12" w:name="_Toc26580_WPSOffice_Level2"/>
    </w:p>
    <w:p w14:paraId="13495E08">
      <w:pPr>
        <w:spacing w:line="578" w:lineRule="exact"/>
        <w:jc w:val="center"/>
        <w:rPr>
          <w:rFonts w:hint="eastAsia" w:ascii="黑体" w:hAnsi="ˎ̥" w:eastAsia="黑体"/>
          <w:sz w:val="32"/>
          <w:szCs w:val="32"/>
        </w:rPr>
      </w:pPr>
      <w:r>
        <w:rPr>
          <w:rFonts w:hint="eastAsia" w:ascii="黑体" w:hAnsi="ˎ̥" w:eastAsia="黑体"/>
          <w:sz w:val="32"/>
          <w:szCs w:val="32"/>
        </w:rPr>
        <w:t>第一部分</w:t>
      </w:r>
      <w:bookmarkEnd w:id="1"/>
      <w:bookmarkEnd w:id="2"/>
      <w:bookmarkEnd w:id="3"/>
      <w:bookmarkEnd w:id="4"/>
      <w:bookmarkEnd w:id="5"/>
      <w:bookmarkEnd w:id="6"/>
      <w:r>
        <w:rPr>
          <w:rFonts w:hint="eastAsia" w:ascii="黑体" w:hAnsi="ˎ̥" w:eastAsia="黑体"/>
          <w:sz w:val="32"/>
          <w:szCs w:val="32"/>
        </w:rPr>
        <w:t>基本情况</w:t>
      </w:r>
    </w:p>
    <w:p w14:paraId="59DE4DDD">
      <w:pPr>
        <w:spacing w:line="578" w:lineRule="exact"/>
        <w:ind w:firstLine="640" w:firstLineChars="200"/>
        <w:rPr>
          <w:rFonts w:hint="eastAsia" w:ascii="楷体" w:hAnsi="楷体" w:eastAsia="楷体" w:cs="楷体"/>
          <w:sz w:val="32"/>
          <w:szCs w:val="32"/>
        </w:rPr>
      </w:pPr>
    </w:p>
    <w:p w14:paraId="4A3D8885">
      <w:pPr>
        <w:spacing w:line="578"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一、部门</w:t>
      </w:r>
      <w:bookmarkEnd w:id="7"/>
      <w:r>
        <w:rPr>
          <w:rFonts w:hint="eastAsia" w:ascii="黑体" w:hAnsi="黑体" w:eastAsia="黑体" w:cs="黑体"/>
          <w:color w:val="000000" w:themeColor="text1"/>
          <w:sz w:val="32"/>
          <w:szCs w:val="32"/>
          <w:highlight w:val="none"/>
          <w14:textFill>
            <w14:solidFill>
              <w14:schemeClr w14:val="tx1"/>
            </w14:solidFill>
          </w14:textFill>
        </w:rPr>
        <w:t>（单位）职责</w:t>
      </w:r>
      <w:bookmarkEnd w:id="8"/>
      <w:bookmarkEnd w:id="9"/>
      <w:bookmarkEnd w:id="10"/>
      <w:bookmarkEnd w:id="11"/>
      <w:bookmarkEnd w:id="12"/>
    </w:p>
    <w:p w14:paraId="20265DEF">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bookmarkStart w:id="13" w:name="_Toc24059_WPSOffice_Level2"/>
      <w:bookmarkStart w:id="14" w:name="_Toc24474_WPSOffice_Level2"/>
      <w:bookmarkStart w:id="15" w:name="_Toc4833_WPSOffice_Level2"/>
      <w:bookmarkStart w:id="16" w:name="_Toc6572_WPSOffice_Level2"/>
      <w:bookmarkStart w:id="17" w:name="_Toc17796_WPSOffice_Level2"/>
      <w:r>
        <w:rPr>
          <w:rFonts w:hint="eastAsia" w:ascii="黑体" w:hAnsi="黑体" w:eastAsia="仿宋" w:cs="黑体"/>
          <w:color w:val="000000" w:themeColor="text1"/>
          <w:sz w:val="32"/>
          <w:szCs w:val="32"/>
          <w:highlight w:val="none"/>
          <w14:textFill>
            <w14:solidFill>
              <w14:schemeClr w14:val="tx1"/>
            </w14:solidFill>
          </w14:textFill>
        </w:rPr>
        <w:t>省农业农村厅负责贯彻落实党中央关于“三农”工作的方针政策和省委有关决策部署，把坚持和加强党中央对“三农”工作的集中统一领导落实到履行职责过程中。主要职责是：</w:t>
      </w:r>
    </w:p>
    <w:p w14:paraId="2867CF43">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（一）研究拟订并组织实施全省以乡村振兴为重心的“三农”工作发展战略、规划、政策，研究提出海南自由贸易港建设“三农”有关政策建议。组织起草农业农村</w:t>
      </w:r>
      <w:bookmarkStart w:id="118" w:name="_GoBack"/>
      <w:bookmarkEnd w:id="118"/>
      <w:r>
        <w:rPr>
          <w:rFonts w:hint="eastAsia" w:ascii="黑体" w:hAnsi="黑体" w:eastAsia="仿宋" w:cs="黑体"/>
          <w:color w:val="000000" w:themeColor="text1"/>
          <w:sz w:val="32"/>
          <w:szCs w:val="32"/>
          <w:highlight w:val="none"/>
          <w14:textFill>
            <w14:solidFill>
              <w14:schemeClr w14:val="tx1"/>
            </w14:solidFill>
          </w14:textFill>
        </w:rPr>
        <w:t>和乡村振兴有关法规规章草案，承担省级农业行政执法工作，监督指导市县农业综合行政执法。参与涉农的金融保险等政策制定。</w:t>
      </w:r>
    </w:p>
    <w:p w14:paraId="4D0AEA33">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二）统筹推动发展全省农村社会事业、农村公共服务、农村文化，推动农村基础设施建设和乡村治理。牵头组织改善全省农村人居环境。指导优秀农耕文化发展，配合推动全省农村精神文明建设。指导全省农业行业安全生产工作。</w:t>
      </w:r>
    </w:p>
    <w:p w14:paraId="07ADF400">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三）拟订深化全省农村经济体制改革和巩固完善农村基本经营制度的措施。负责农民承包地、农村宅基地改革和管理有关工作。负责全省农村集体产权制度改革，指导农村集体经济组织发展和集体资产管理工作。指导农民合作经济组织、农业社会化服务体系、新型农业经营主体建设与发展。</w:t>
      </w:r>
    </w:p>
    <w:p w14:paraId="78A5B877">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四）负责巩固拓展脱贫攻坚成果有关工作。牵头开展全省防止返贫监测和帮扶，组织拟订本省乡村振兴重点帮扶县帮扶政策和扶持标准，组织开展定点帮扶、行业帮扶、社会帮扶，会同有关部门组织实施过渡期内巩固拓展脱贫攻坚成果相关考核评估工作，拟订中央和省财政衔接推进乡村振兴相关资金分配建议方案，监督检查资金的使用，推动乡村帮扶产业发展。推动农村低收入人口常态化帮扶有关工作，构建长效帮扶机制。</w:t>
      </w:r>
    </w:p>
    <w:p w14:paraId="0FF5B3C9">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五）统筹推动全省热带特色高效农业产业发展，建设国家热带现代农业基地。指导乡村特色产业、农产品加工业、休闲农业和乡镇企业发展工作，推动延长农产品产业链。提出促进主要农产品流通的建议，培育、保护农业品牌。发布农业农村经济信息，监测分析农业农村经济运行。承担农业统计、农业农村信息化有关工作。</w:t>
      </w:r>
    </w:p>
    <w:p w14:paraId="4AA0606D">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六）负责全省种植业、畜牧业、渔业、农业机械化等农业各产业的监督管理，指导垦区农业产业发展。监督管理南繁工作。指导粮食等农产品生产，推进构建多元化食物供给体系。组织构建现代农业产业体系、生产体系、经营体系，指导农业标准化生产。监督管理远洋渔业。负责渔政渔港监督管理有关工作。</w:t>
      </w:r>
    </w:p>
    <w:p w14:paraId="5DCAC579">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七）负责全省农产品质量安全监督管理。组织开展农产品质量安全监测、追溯、风险评估。参与制定农产品质量安全地方标准并会同有关部门组织实施。指导农业检验检测体系建设。负责牵头组织农业标准化工作。</w:t>
      </w:r>
    </w:p>
    <w:p w14:paraId="46AA3FFF">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八）负责耕地、永久基本农田质量保护和高标准农田建设工作。组织全省农业资源区划工作。指导农用地、渔业水域以及农业生物物种资源的保护与管理，负责水生野生动植物保护工作。指导农产品产地环境管理和农业清洁生产。指导设施农业、生态循环农业、节水农业发展以及农村可再生能源综合开发利用、农业生物质产业发展，推进农业绿色发展。牵头管理外来物种。</w:t>
      </w:r>
    </w:p>
    <w:p w14:paraId="3DC86CA7">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九）负责全省有关农业生产资料和农业投入品的监督管理。组织农业生产资料市场体系建设，拟订有关农业生产资料地方标准并监督实施。拟订全省种业振兴政策并组织实施。制定兽药质量、兽药残留限量和残留检测方法地方标准并按规定发布。组织兽医医政、兽药药政药检工作，负责执业兽医和畜禽屠宰行业管理。</w:t>
      </w:r>
    </w:p>
    <w:p w14:paraId="2D667786">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十）负责全省农业防灾减灾、农作物重大病虫害防治工作。负责渔船日常安全监管，协助开展渔船防台风抢险救灾工作。组织实施动植物防疫检疫体系建设，组织、监督本省动植物防疫检疫工作，按规定权限发布疫情并组织扑灭。</w:t>
      </w:r>
    </w:p>
    <w:p w14:paraId="6E207780">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十一）负责农业投资管理。提出全省农业投融资体制机制改革建议。编制全省农业投资项目建设计划，提出农业投资规模和方向、扶持农业农村发展财政项目的建议，按规定权限审批农业投资项目，负责农业投资项目资金安排和监督管理。推动创设海南特色农产品期货品种。</w:t>
      </w:r>
    </w:p>
    <w:p w14:paraId="58278B4C">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十二）推动全省农业科技体制改革和农业科技创新体系建设。指导农业产业技术体系和农技推广体系建设，组织开展农业科技成果转化和技术推广。负责农业转基因生物安全监督管理和农业植物新品种保护。牵头推动国家热带农业科学中心建设，统筹南繁硅谷建设，监督指导南繁科研育种基地建设。</w:t>
      </w:r>
    </w:p>
    <w:p w14:paraId="734B0FF1">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（十三）指导全省农业农村人才工作。拟订农业农村人才队伍建设规划并组织实施，指导农业教育和农业职业技能开发，指导和组织实施高素质农民培育、农业科技人才培养和农村实用人才培训工作。</w:t>
      </w:r>
    </w:p>
    <w:p w14:paraId="744E29D7">
      <w:pPr>
        <w:spacing w:line="578" w:lineRule="exact"/>
        <w:ind w:firstLine="640" w:firstLineChars="200"/>
        <w:rPr>
          <w:rFonts w:hint="eastAsia" w:ascii="黑体" w:hAnsi="黑体" w:eastAsia="仿宋"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十四）组织开展全省农业对外合作工作。承办政府间农业涉外事务，组织开展农业贸易促进及有关国际国内交流合作，执行有关农业援外项目。围绕种业等重点领域，深化现代农业对外开放，打造21世纪海上丝绸之路农业交流平台，推动农业对外开放合作试验区建设。</w:t>
      </w:r>
    </w:p>
    <w:p w14:paraId="254FC82F">
      <w:pPr>
        <w:spacing w:line="578"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仿宋" w:cs="黑体"/>
          <w:color w:val="000000" w:themeColor="text1"/>
          <w:sz w:val="32"/>
          <w:szCs w:val="32"/>
          <w:highlight w:val="none"/>
          <w14:textFill>
            <w14:solidFill>
              <w14:schemeClr w14:val="tx1"/>
            </w14:solidFill>
          </w14:textFill>
        </w:rPr>
        <w:t>（十五）完成省委、省政府和上级部门交办的其他任务。</w:t>
      </w:r>
    </w:p>
    <w:p w14:paraId="0680DACE">
      <w:pPr>
        <w:spacing w:line="578" w:lineRule="exact"/>
        <w:ind w:firstLine="640" w:firstLineChars="20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二、机构设置</w:t>
      </w:r>
      <w:bookmarkEnd w:id="13"/>
      <w:bookmarkEnd w:id="14"/>
      <w:bookmarkEnd w:id="15"/>
      <w:bookmarkEnd w:id="16"/>
      <w:bookmarkEnd w:id="17"/>
    </w:p>
    <w:p w14:paraId="1E2DB0D9">
      <w:pPr>
        <w:numPr>
          <w:ilvl w:val="-1"/>
          <w:numId w:val="0"/>
        </w:numPr>
        <w:spacing w:line="560" w:lineRule="exact"/>
        <w:ind w:left="0" w:firstLine="640" w:firstLineChars="200"/>
        <w:jc w:val="left"/>
        <w:rPr>
          <w:rFonts w:hint="eastAsia" w:ascii="仿宋_GB2312" w:hAnsi="黑体" w:eastAsia="仿宋_GB2312" w:cs="仿宋_GB2312"/>
          <w:color w:val="000000" w:themeColor="text1"/>
          <w:sz w:val="32"/>
          <w:szCs w:val="32"/>
          <w:highlight w:val="none"/>
          <w:u w:val="none"/>
          <w:lang w:val="en-US" w:eastAsia="zh-CN"/>
          <w14:textFill>
            <w14:solidFill>
              <w14:schemeClr w14:val="tx1"/>
            </w14:solidFill>
          </w14:textFill>
        </w:rPr>
      </w:pPr>
      <w:r>
        <w:rPr>
          <w:rFonts w:hint="eastAsia" w:ascii="仿宋_GB2312" w:hAnsi="黑体" w:eastAsia="仿宋_GB2312" w:cs="仿宋_GB2312"/>
          <w:color w:val="000000" w:themeColor="text1"/>
          <w:sz w:val="32"/>
          <w:szCs w:val="32"/>
          <w:highlight w:val="none"/>
          <w:u w:val="none"/>
          <w:lang w:val="en-US" w:eastAsia="zh-CN"/>
          <w14:textFill>
            <w14:solidFill>
              <w14:schemeClr w14:val="tx1"/>
            </w14:solidFill>
          </w14:textFill>
        </w:rPr>
        <w:t>海南省农业农村厅本级内设25个处室，包括办公室、人事处（产业人才工作处）、政策法规处（行政审批办公室）、发展规划处、计划财务处、种植业管理处、畜牧兽医处、渔业经济发展处、渔业基础建设处、安全生产处、乡村产业发展处（农产品加工处）、乡村建设促进处、农村社会事业促进处（区域协作处）、农村合作经济指导处、帮扶处、监督检查处（审计处）、市场与信息化处、交流合作处、农业科技处（农业转基因生物安全管理办公室）、农产品质量安全监管处（口岸协调处）、热带作物处（垦区农业发展处）、种业管理处、农业机械化管理处、农田建设管理处、农业行政执法局。</w:t>
      </w:r>
    </w:p>
    <w:p w14:paraId="194FC673">
      <w:pPr>
        <w:spacing w:line="578"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p>
    <w:p w14:paraId="149848AF">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bookmarkStart w:id="18" w:name="_Toc15521_WPSOffice_Level1"/>
      <w:bookmarkStart w:id="19" w:name="_Toc28253_WPSOffice_Level1"/>
      <w:bookmarkStart w:id="20" w:name="_Toc30451_WPSOffice_Level1"/>
      <w:bookmarkStart w:id="21" w:name="_Toc8164_WPSOffice_Level1"/>
      <w:bookmarkStart w:id="22" w:name="_Toc6234_WPSOffice_Level1"/>
      <w:bookmarkStart w:id="23" w:name="_Toc30690_WPSOffice_Level1"/>
      <w:bookmarkStart w:id="24" w:name="_Toc32695_WPSOffice_Level2"/>
      <w:bookmarkStart w:id="25" w:name="_Toc11518_WPSOffice_Level2"/>
      <w:bookmarkStart w:id="26" w:name="_Toc8867_WPSOffice_Level2"/>
      <w:bookmarkStart w:id="27" w:name="_Toc4029_WPSOffice_Level2"/>
      <w:bookmarkStart w:id="28" w:name="_Toc6211_WPSOffice_Level2"/>
      <w:bookmarkStart w:id="29" w:name="_Toc32472_WPSOffice_Level2"/>
    </w:p>
    <w:p w14:paraId="5B58216A">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5ABA64D5">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r>
        <w:rPr>
          <w:rFonts w:hint="eastAsia" w:ascii="黑体" w:hAnsi="ˎ̥" w:eastAsia="黑体"/>
          <w:color w:val="000000" w:themeColor="text1"/>
          <w:sz w:val="32"/>
          <w:szCs w:val="32"/>
          <w:highlight w:val="none"/>
          <w14:textFill>
            <w14:solidFill>
              <w14:schemeClr w14:val="tx1"/>
            </w14:solidFill>
          </w14:textFill>
        </w:rPr>
        <w:t>第二部分</w:t>
      </w:r>
      <w:r>
        <w:rPr>
          <w:rFonts w:hint="default" w:ascii="黑体" w:hAnsi="ˎ̥" w:eastAsia="黑体"/>
          <w:color w:val="000000" w:themeColor="text1"/>
          <w:sz w:val="32"/>
          <w:szCs w:val="32"/>
          <w:highlight w:val="none"/>
          <w:lang w:val="en-US"/>
          <w14:textFill>
            <w14:solidFill>
              <w14:schemeClr w14:val="tx1"/>
            </w14:solidFill>
          </w14:textFill>
        </w:rPr>
        <w:t>2025</w:t>
      </w:r>
      <w:r>
        <w:rPr>
          <w:rFonts w:hint="eastAsia" w:ascii="黑体" w:hAnsi="ˎ̥" w:eastAsia="黑体"/>
          <w:color w:val="000000" w:themeColor="text1"/>
          <w:sz w:val="32"/>
          <w:szCs w:val="32"/>
          <w:highlight w:val="none"/>
          <w14:textFill>
            <w14:solidFill>
              <w14:schemeClr w14:val="tx1"/>
            </w14:solidFill>
          </w14:textFill>
        </w:rPr>
        <w:t>年度部门决算公开报表</w:t>
      </w:r>
      <w:bookmarkEnd w:id="18"/>
      <w:bookmarkEnd w:id="19"/>
      <w:bookmarkEnd w:id="20"/>
      <w:bookmarkEnd w:id="21"/>
      <w:bookmarkEnd w:id="22"/>
      <w:bookmarkEnd w:id="23"/>
    </w:p>
    <w:p w14:paraId="1A7D1292">
      <w:pPr>
        <w:spacing w:line="578" w:lineRule="exact"/>
        <w:ind w:firstLine="645"/>
        <w:rPr>
          <w:rFonts w:hint="eastAsia" w:ascii="黑体" w:hAnsi="黑体" w:eastAsia="黑体" w:cs="黑体"/>
          <w:color w:val="000000" w:themeColor="text1"/>
          <w:sz w:val="32"/>
          <w:szCs w:val="32"/>
          <w:highlight w:val="none"/>
          <w14:textFill>
            <w14:solidFill>
              <w14:schemeClr w14:val="tx1"/>
            </w14:solidFill>
          </w14:textFill>
        </w:rPr>
      </w:pPr>
    </w:p>
    <w:p w14:paraId="4609FEC3">
      <w:pPr>
        <w:spacing w:line="578" w:lineRule="exact"/>
        <w:ind w:firstLine="645"/>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一、收入支出决算公开表</w:t>
      </w:r>
      <w:bookmarkEnd w:id="24"/>
      <w:bookmarkEnd w:id="25"/>
      <w:bookmarkEnd w:id="26"/>
      <w:bookmarkEnd w:id="27"/>
      <w:bookmarkEnd w:id="28"/>
      <w:bookmarkEnd w:id="29"/>
    </w:p>
    <w:p w14:paraId="646AEC68">
      <w:pPr>
        <w:spacing w:line="578" w:lineRule="exact"/>
        <w:ind w:firstLine="645"/>
        <w:rPr>
          <w:rFonts w:hint="eastAsia" w:ascii="黑体" w:hAnsi="黑体" w:eastAsia="黑体" w:cs="黑体"/>
          <w:color w:val="000000" w:themeColor="text1"/>
          <w:sz w:val="32"/>
          <w:szCs w:val="32"/>
          <w:highlight w:val="none"/>
          <w14:textFill>
            <w14:solidFill>
              <w14:schemeClr w14:val="tx1"/>
            </w14:solidFill>
          </w14:textFill>
        </w:rPr>
      </w:pPr>
      <w:bookmarkStart w:id="30" w:name="_Toc30334_WPSOffice_Level2"/>
      <w:bookmarkStart w:id="31" w:name="_Toc25608_WPSOffice_Level2"/>
      <w:bookmarkStart w:id="32" w:name="_Toc26621_WPSOffice_Level2"/>
      <w:bookmarkStart w:id="33" w:name="_Toc28622_WPSOffice_Level2"/>
      <w:bookmarkStart w:id="34" w:name="_Toc23139_WPSOffice_Level2"/>
      <w:bookmarkStart w:id="35" w:name="_Toc14349_WPSOffice_Level2"/>
      <w:r>
        <w:rPr>
          <w:rFonts w:hint="eastAsia" w:ascii="黑体" w:hAnsi="黑体" w:eastAsia="黑体" w:cs="黑体"/>
          <w:color w:val="000000" w:themeColor="text1"/>
          <w:sz w:val="32"/>
          <w:szCs w:val="32"/>
          <w:highlight w:val="none"/>
          <w14:textFill>
            <w14:solidFill>
              <w14:schemeClr w14:val="tx1"/>
            </w14:solidFill>
          </w14:textFill>
        </w:rPr>
        <w:t>二、收入决算公开表</w:t>
      </w:r>
      <w:bookmarkEnd w:id="30"/>
      <w:bookmarkEnd w:id="31"/>
      <w:bookmarkEnd w:id="32"/>
      <w:bookmarkEnd w:id="33"/>
      <w:bookmarkEnd w:id="34"/>
      <w:bookmarkEnd w:id="35"/>
      <w:bookmarkStart w:id="36" w:name="_Toc14658_WPSOffice_Level2"/>
      <w:bookmarkStart w:id="37" w:name="_Toc5489_WPSOffice_Level2"/>
      <w:bookmarkStart w:id="38" w:name="_Toc17858_WPSOffice_Level2"/>
      <w:bookmarkStart w:id="39" w:name="_Toc17626_WPSOffice_Level2"/>
      <w:bookmarkStart w:id="40" w:name="_Toc3262_WPSOffice_Level2"/>
      <w:bookmarkStart w:id="41" w:name="_Toc13854_WPSOffice_Level2"/>
    </w:p>
    <w:p w14:paraId="2D43FEAF">
      <w:pPr>
        <w:spacing w:line="578" w:lineRule="exact"/>
        <w:ind w:firstLine="645"/>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三、支出决算公开表</w:t>
      </w:r>
      <w:bookmarkEnd w:id="36"/>
      <w:bookmarkEnd w:id="37"/>
      <w:bookmarkEnd w:id="38"/>
      <w:bookmarkEnd w:id="39"/>
      <w:bookmarkEnd w:id="40"/>
      <w:bookmarkEnd w:id="41"/>
      <w:bookmarkStart w:id="42" w:name="_Toc23591_WPSOffice_Level2"/>
      <w:bookmarkStart w:id="43" w:name="_Toc21415_WPSOffice_Level2"/>
      <w:bookmarkStart w:id="44" w:name="_Toc13701_WPSOffice_Level2"/>
      <w:bookmarkStart w:id="45" w:name="_Toc23493_WPSOffice_Level2"/>
      <w:bookmarkStart w:id="46" w:name="_Toc4265_WPSOffice_Level2"/>
      <w:bookmarkStart w:id="47" w:name="_Toc7988_WPSOffice_Level2"/>
    </w:p>
    <w:p w14:paraId="466CE0B2">
      <w:pPr>
        <w:spacing w:line="578" w:lineRule="exact"/>
        <w:ind w:firstLine="645"/>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四、财政拨款收入支出决算公开表</w:t>
      </w:r>
      <w:bookmarkEnd w:id="42"/>
      <w:bookmarkEnd w:id="43"/>
      <w:bookmarkEnd w:id="44"/>
      <w:bookmarkEnd w:id="45"/>
      <w:bookmarkEnd w:id="46"/>
      <w:bookmarkEnd w:id="47"/>
    </w:p>
    <w:p w14:paraId="1CA1AAB7">
      <w:pPr>
        <w:spacing w:line="578" w:lineRule="exact"/>
        <w:ind w:firstLine="645"/>
        <w:rPr>
          <w:rFonts w:hint="eastAsia" w:ascii="黑体" w:hAnsi="黑体" w:eastAsia="黑体" w:cs="黑体"/>
          <w:color w:val="000000" w:themeColor="text1"/>
          <w:sz w:val="32"/>
          <w:szCs w:val="32"/>
          <w:highlight w:val="none"/>
          <w14:textFill>
            <w14:solidFill>
              <w14:schemeClr w14:val="tx1"/>
            </w14:solidFill>
          </w14:textFill>
        </w:rPr>
      </w:pPr>
      <w:bookmarkStart w:id="48" w:name="_Toc22783_WPSOffice_Level2"/>
      <w:bookmarkStart w:id="49" w:name="_Toc7879_WPSOffice_Level2"/>
      <w:bookmarkStart w:id="50" w:name="_Toc25166_WPSOffice_Level2"/>
      <w:bookmarkStart w:id="51" w:name="_Toc23829_WPSOffice_Level2"/>
      <w:bookmarkStart w:id="52" w:name="_Toc13516_WPSOffice_Level2"/>
      <w:bookmarkStart w:id="53" w:name="_Toc2158_WPSOffice_Level2"/>
      <w:r>
        <w:rPr>
          <w:rFonts w:hint="eastAsia" w:ascii="黑体" w:hAnsi="黑体" w:eastAsia="黑体" w:cs="黑体"/>
          <w:color w:val="000000" w:themeColor="text1"/>
          <w:sz w:val="32"/>
          <w:szCs w:val="32"/>
          <w:highlight w:val="none"/>
          <w14:textFill>
            <w14:solidFill>
              <w14:schemeClr w14:val="tx1"/>
            </w14:solidFill>
          </w14:textFill>
        </w:rPr>
        <w:t>五、一般公共预算财政拨款收入支出决算</w:t>
      </w:r>
      <w:bookmarkEnd w:id="48"/>
      <w:bookmarkEnd w:id="49"/>
      <w:bookmarkEnd w:id="50"/>
      <w:bookmarkEnd w:id="51"/>
      <w:r>
        <w:rPr>
          <w:rFonts w:hint="eastAsia" w:ascii="黑体" w:hAnsi="黑体" w:eastAsia="黑体" w:cs="黑体"/>
          <w:color w:val="000000" w:themeColor="text1"/>
          <w:sz w:val="32"/>
          <w:szCs w:val="32"/>
          <w:highlight w:val="none"/>
          <w14:textFill>
            <w14:solidFill>
              <w14:schemeClr w14:val="tx1"/>
            </w14:solidFill>
          </w14:textFill>
        </w:rPr>
        <w:t>公开表</w:t>
      </w:r>
      <w:bookmarkEnd w:id="52"/>
      <w:bookmarkEnd w:id="53"/>
      <w:bookmarkStart w:id="54" w:name="_Toc17833_WPSOffice_Level2"/>
      <w:bookmarkStart w:id="55" w:name="_Toc2632_WPSOffice_Level2"/>
      <w:bookmarkStart w:id="56" w:name="_Toc17283_WPSOffice_Level2"/>
      <w:bookmarkStart w:id="57" w:name="_Toc8373_WPSOffice_Level2"/>
      <w:bookmarkStart w:id="58" w:name="_Toc5343_WPSOffice_Level2"/>
      <w:bookmarkStart w:id="59" w:name="_Toc25362_WPSOffice_Level2"/>
    </w:p>
    <w:p w14:paraId="163493D2">
      <w:pPr>
        <w:spacing w:line="578" w:lineRule="exact"/>
        <w:ind w:firstLine="645"/>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六、一般公共预算财政拨款基本支出决算</w:t>
      </w:r>
      <w:bookmarkEnd w:id="54"/>
      <w:bookmarkEnd w:id="55"/>
      <w:bookmarkEnd w:id="56"/>
      <w:bookmarkEnd w:id="57"/>
      <w:bookmarkEnd w:id="58"/>
      <w:bookmarkEnd w:id="59"/>
      <w:r>
        <w:rPr>
          <w:rFonts w:hint="eastAsia" w:ascii="黑体" w:hAnsi="黑体" w:eastAsia="黑体" w:cs="黑体"/>
          <w:color w:val="000000" w:themeColor="text1"/>
          <w:sz w:val="32"/>
          <w:szCs w:val="32"/>
          <w:highlight w:val="none"/>
          <w14:textFill>
            <w14:solidFill>
              <w14:schemeClr w14:val="tx1"/>
            </w14:solidFill>
          </w14:textFill>
        </w:rPr>
        <w:t>公开表</w:t>
      </w:r>
    </w:p>
    <w:p w14:paraId="11250B0D">
      <w:pPr>
        <w:spacing w:line="578" w:lineRule="exact"/>
        <w:ind w:left="1118" w:leftChars="304" w:hanging="480" w:hangingChars="150"/>
        <w:rPr>
          <w:rFonts w:hint="eastAsia" w:ascii="黑体" w:hAnsi="黑体" w:eastAsia="黑体" w:cs="黑体"/>
          <w:color w:val="000000" w:themeColor="text1"/>
          <w:sz w:val="32"/>
          <w:szCs w:val="32"/>
          <w:highlight w:val="none"/>
          <w14:textFill>
            <w14:solidFill>
              <w14:schemeClr w14:val="tx1"/>
            </w14:solidFill>
          </w14:textFill>
        </w:rPr>
      </w:pPr>
      <w:bookmarkStart w:id="60" w:name="_Toc1533_WPSOffice_Level2"/>
      <w:bookmarkStart w:id="61" w:name="_Toc21310_WPSOffice_Level2"/>
      <w:bookmarkStart w:id="62" w:name="_Toc13345_WPSOffice_Level2"/>
      <w:bookmarkStart w:id="63" w:name="_Toc5594_WPSOffice_Level2"/>
      <w:bookmarkStart w:id="64" w:name="_Toc11799_WPSOffice_Level2"/>
      <w:bookmarkStart w:id="65" w:name="_Toc6020_WPSOffice_Level2"/>
      <w:r>
        <w:rPr>
          <w:rFonts w:hint="eastAsia" w:ascii="黑体" w:hAnsi="黑体" w:eastAsia="黑体" w:cs="黑体"/>
          <w:color w:val="000000" w:themeColor="text1"/>
          <w:sz w:val="32"/>
          <w:szCs w:val="32"/>
          <w:highlight w:val="none"/>
          <w14:textFill>
            <w14:solidFill>
              <w14:schemeClr w14:val="tx1"/>
            </w14:solidFill>
          </w14:textFill>
        </w:rPr>
        <w:t>七、政府性基金预算财政拨款收入支出决算</w:t>
      </w:r>
      <w:bookmarkEnd w:id="60"/>
      <w:bookmarkEnd w:id="61"/>
      <w:bookmarkEnd w:id="62"/>
      <w:bookmarkEnd w:id="63"/>
      <w:bookmarkEnd w:id="64"/>
      <w:bookmarkEnd w:id="65"/>
      <w:r>
        <w:rPr>
          <w:rFonts w:hint="eastAsia" w:ascii="黑体" w:hAnsi="黑体" w:eastAsia="黑体" w:cs="黑体"/>
          <w:color w:val="000000" w:themeColor="text1"/>
          <w:sz w:val="32"/>
          <w:szCs w:val="32"/>
          <w:highlight w:val="none"/>
          <w14:textFill>
            <w14:solidFill>
              <w14:schemeClr w14:val="tx1"/>
            </w14:solidFill>
          </w14:textFill>
        </w:rPr>
        <w:t>公开表</w:t>
      </w:r>
    </w:p>
    <w:p w14:paraId="33B6C1DC">
      <w:pPr>
        <w:spacing w:line="578" w:lineRule="exact"/>
        <w:ind w:left="1118" w:leftChars="304" w:hanging="480" w:hangingChars="150"/>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八、国有资本经营预算财政拨款收入支出决算公开表</w:t>
      </w:r>
    </w:p>
    <w:p w14:paraId="6225979D">
      <w:pPr>
        <w:spacing w:line="578" w:lineRule="exact"/>
        <w:ind w:firstLine="640"/>
        <w:rPr>
          <w:rFonts w:hint="eastAsia" w:ascii="黑体" w:hAnsi="黑体" w:eastAsia="黑体" w:cs="黑体"/>
          <w:color w:val="000000" w:themeColor="text1"/>
          <w:sz w:val="32"/>
          <w:szCs w:val="32"/>
          <w:highlight w:val="none"/>
          <w14:textFill>
            <w14:solidFill>
              <w14:schemeClr w14:val="tx1"/>
            </w14:solidFill>
          </w14:textFill>
        </w:rPr>
      </w:pPr>
      <w:bookmarkStart w:id="66" w:name="_Toc9377_WPSOffice_Level2"/>
      <w:bookmarkStart w:id="67" w:name="_Toc19961_WPSOffice_Level2"/>
      <w:bookmarkStart w:id="68" w:name="_Toc29886_WPSOffice_Level2"/>
      <w:bookmarkStart w:id="69" w:name="_Toc1820_WPSOffice_Level2"/>
      <w:r>
        <w:rPr>
          <w:rFonts w:hint="eastAsia" w:ascii="黑体" w:hAnsi="黑体" w:eastAsia="黑体" w:cs="黑体"/>
          <w:color w:val="000000" w:themeColor="text1"/>
          <w:sz w:val="32"/>
          <w:szCs w:val="32"/>
          <w:highlight w:val="none"/>
          <w14:textFill>
            <w14:solidFill>
              <w14:schemeClr w14:val="tx1"/>
            </w14:solidFill>
          </w14:textFill>
        </w:rPr>
        <w:t>九、财政拨款“三公”经费支出决算</w:t>
      </w:r>
      <w:bookmarkEnd w:id="66"/>
      <w:bookmarkEnd w:id="67"/>
      <w:bookmarkEnd w:id="68"/>
      <w:bookmarkEnd w:id="69"/>
      <w:r>
        <w:rPr>
          <w:rFonts w:hint="eastAsia" w:ascii="黑体" w:hAnsi="黑体" w:eastAsia="黑体" w:cs="黑体"/>
          <w:color w:val="000000" w:themeColor="text1"/>
          <w:sz w:val="32"/>
          <w:szCs w:val="32"/>
          <w:highlight w:val="none"/>
          <w14:textFill>
            <w14:solidFill>
              <w14:schemeClr w14:val="tx1"/>
            </w14:solidFill>
          </w14:textFill>
        </w:rPr>
        <w:t>公开表</w:t>
      </w:r>
    </w:p>
    <w:p w14:paraId="752E8721">
      <w:pPr>
        <w:spacing w:line="578" w:lineRule="exact"/>
        <w:ind w:firstLine="640"/>
        <w:rPr>
          <w:rFonts w:hint="eastAsia" w:ascii="仿宋" w:hAnsi="仿宋" w:eastAsia="仿宋" w:cs="仿宋"/>
          <w:color w:val="000000" w:themeColor="text1"/>
          <w:w w:val="100"/>
          <w:sz w:val="32"/>
          <w:szCs w:val="32"/>
          <w:highlight w:val="none"/>
          <w:lang w:eastAsia="zh-CN"/>
          <w14:textFill>
            <w14:solidFill>
              <w14:schemeClr w14:val="tx1"/>
            </w14:solidFill>
          </w14:textFill>
        </w:rPr>
      </w:pPr>
      <w:r>
        <w:rPr>
          <w:rFonts w:hint="eastAsia" w:ascii="仿宋" w:hAnsi="仿宋" w:eastAsia="仿宋" w:cs="仿宋"/>
          <w:color w:val="000000" w:themeColor="text1"/>
          <w:w w:val="100"/>
          <w:sz w:val="32"/>
          <w:szCs w:val="32"/>
          <w:highlight w:val="none"/>
          <w14:textFill>
            <w14:solidFill>
              <w14:schemeClr w14:val="tx1"/>
            </w14:solidFill>
          </w14:textFill>
        </w:rPr>
        <w:t>以上报表见附件1。</w:t>
      </w:r>
    </w:p>
    <w:p w14:paraId="5B482E07">
      <w:pPr>
        <w:spacing w:line="578" w:lineRule="exact"/>
        <w:rPr>
          <w:rFonts w:hint="eastAsia" w:ascii="黑体" w:hAnsi="黑体" w:eastAsia="黑体" w:cs="黑体"/>
          <w:color w:val="000000" w:themeColor="text1"/>
          <w:sz w:val="32"/>
          <w:szCs w:val="32"/>
          <w:highlight w:val="none"/>
          <w14:textFill>
            <w14:solidFill>
              <w14:schemeClr w14:val="tx1"/>
            </w14:solidFill>
          </w14:textFill>
        </w:rPr>
      </w:pPr>
    </w:p>
    <w:p w14:paraId="1BA8EC61">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bookmarkStart w:id="70" w:name="_Toc31264_WPSOffice_Level1"/>
      <w:bookmarkStart w:id="71" w:name="_Toc4402_WPSOffice_Level1"/>
      <w:bookmarkStart w:id="72" w:name="_Toc27590_WPSOffice_Level1"/>
      <w:bookmarkStart w:id="73" w:name="_Toc28629_WPSOffice_Level1"/>
      <w:bookmarkStart w:id="74" w:name="_Toc29683_WPSOffice_Level1"/>
      <w:bookmarkStart w:id="75" w:name="_Toc16686_WPSOffice_Level1"/>
    </w:p>
    <w:p w14:paraId="362BDEE2">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6DEB45D5">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611EAADA">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1A8D07BD">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094C6A1C">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54A7C5F9">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532AD365">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418ED793">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3E3F5FDF">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31BF6332">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r>
        <w:rPr>
          <w:rFonts w:hint="eastAsia" w:ascii="黑体" w:hAnsi="ˎ̥" w:eastAsia="黑体"/>
          <w:color w:val="000000" w:themeColor="text1"/>
          <w:sz w:val="32"/>
          <w:szCs w:val="32"/>
          <w:highlight w:val="none"/>
          <w14:textFill>
            <w14:solidFill>
              <w14:schemeClr w14:val="tx1"/>
            </w14:solidFill>
          </w14:textFill>
        </w:rPr>
        <w:t>第三部分</w:t>
      </w:r>
      <w:r>
        <w:rPr>
          <w:rFonts w:hint="default" w:ascii="黑体" w:hAnsi="ˎ̥" w:eastAsia="黑体"/>
          <w:color w:val="000000" w:themeColor="text1"/>
          <w:sz w:val="32"/>
          <w:szCs w:val="32"/>
          <w:highlight w:val="none"/>
          <w:lang w:val="en-US"/>
          <w14:textFill>
            <w14:solidFill>
              <w14:schemeClr w14:val="tx1"/>
            </w14:solidFill>
          </w14:textFill>
        </w:rPr>
        <w:t>2025</w:t>
      </w:r>
      <w:r>
        <w:rPr>
          <w:rFonts w:hint="eastAsia" w:ascii="黑体" w:hAnsi="ˎ̥" w:eastAsia="黑体"/>
          <w:color w:val="000000" w:themeColor="text1"/>
          <w:sz w:val="32"/>
          <w:szCs w:val="32"/>
          <w:highlight w:val="none"/>
          <w14:textFill>
            <w14:solidFill>
              <w14:schemeClr w14:val="tx1"/>
            </w14:solidFill>
          </w14:textFill>
        </w:rPr>
        <w:t>年度部门决算情况说明</w:t>
      </w:r>
      <w:bookmarkEnd w:id="70"/>
      <w:bookmarkEnd w:id="71"/>
      <w:bookmarkEnd w:id="72"/>
      <w:bookmarkEnd w:id="73"/>
      <w:bookmarkEnd w:id="74"/>
      <w:bookmarkEnd w:id="75"/>
    </w:p>
    <w:p w14:paraId="0108672B">
      <w:pPr>
        <w:spacing w:line="578" w:lineRule="exact"/>
        <w:jc w:val="center"/>
        <w:rPr>
          <w:rFonts w:hint="eastAsia" w:ascii="黑体" w:hAnsi="ˎ̥" w:eastAsia="黑体"/>
          <w:color w:val="000000" w:themeColor="text1"/>
          <w:sz w:val="32"/>
          <w:szCs w:val="32"/>
          <w:highlight w:val="none"/>
          <w14:textFill>
            <w14:solidFill>
              <w14:schemeClr w14:val="tx1"/>
            </w14:solidFill>
          </w14:textFill>
        </w:rPr>
      </w:pPr>
    </w:p>
    <w:p w14:paraId="594A6C42">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收入支出总体情况说明</w:t>
      </w:r>
    </w:p>
    <w:p w14:paraId="1051B5A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年度收入总计</w:t>
      </w:r>
      <w:r>
        <w:rPr>
          <w:rFonts w:hint="eastAsia" w:ascii="仿宋" w:hAnsi="仿宋" w:eastAsia="仿宋" w:cs="仿宋"/>
          <w:color w:val="000000" w:themeColor="text1"/>
          <w:sz w:val="32"/>
          <w:szCs w:val="32"/>
          <w:highlight w:val="none"/>
          <w:lang w:val="en-US"/>
          <w14:textFill>
            <w14:solidFill>
              <w14:schemeClr w14:val="tx1"/>
            </w14:solidFill>
          </w14:textFill>
        </w:rPr>
        <w:t>70,046.25</w:t>
      </w:r>
      <w:r>
        <w:rPr>
          <w:rFonts w:hint="eastAsia" w:ascii="仿宋" w:hAnsi="仿宋" w:eastAsia="仿宋" w:cs="仿宋"/>
          <w:color w:val="000000" w:themeColor="text1"/>
          <w:sz w:val="32"/>
          <w:szCs w:val="32"/>
          <w:highlight w:val="none"/>
          <w14:textFill>
            <w14:solidFill>
              <w14:schemeClr w14:val="tx1"/>
            </w14:solidFill>
          </w14:textFill>
        </w:rPr>
        <w:t>万元，支出总计</w:t>
      </w:r>
      <w:r>
        <w:rPr>
          <w:rFonts w:hint="eastAsia" w:ascii="仿宋" w:hAnsi="仿宋" w:eastAsia="仿宋" w:cs="仿宋"/>
          <w:color w:val="000000" w:themeColor="text1"/>
          <w:sz w:val="32"/>
          <w:szCs w:val="32"/>
          <w:highlight w:val="none"/>
          <w:lang w:val="en-US"/>
          <w14:textFill>
            <w14:solidFill>
              <w14:schemeClr w14:val="tx1"/>
            </w14:solidFill>
          </w14:textFill>
        </w:rPr>
        <w:t>70,046.25</w:t>
      </w:r>
      <w:r>
        <w:rPr>
          <w:rFonts w:hint="eastAsia" w:ascii="仿宋" w:hAnsi="仿宋" w:eastAsia="仿宋" w:cs="仿宋"/>
          <w:color w:val="000000" w:themeColor="text1"/>
          <w:sz w:val="32"/>
          <w:szCs w:val="32"/>
          <w:highlight w:val="none"/>
          <w14:textFill>
            <w14:solidFill>
              <w14:schemeClr w14:val="tx1"/>
            </w14:solidFill>
          </w14:textFill>
        </w:rPr>
        <w:t>万元，与</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年度相比，收入、支出总计各增加</w:t>
      </w:r>
      <w:r>
        <w:rPr>
          <w:rFonts w:hint="eastAsia" w:ascii="仿宋" w:hAnsi="仿宋" w:eastAsia="仿宋" w:cs="仿宋"/>
          <w:color w:val="000000" w:themeColor="text1"/>
          <w:sz w:val="32"/>
          <w:szCs w:val="32"/>
          <w:highlight w:val="none"/>
          <w:lang w:val="en-US"/>
          <w14:textFill>
            <w14:solidFill>
              <w14:schemeClr w14:val="tx1"/>
            </w14:solidFill>
          </w14:textFill>
        </w:rPr>
        <w:t>3,268.34</w:t>
      </w:r>
      <w:r>
        <w:rPr>
          <w:rFonts w:hint="eastAsia" w:ascii="仿宋" w:hAnsi="仿宋" w:eastAsia="仿宋" w:cs="仿宋"/>
          <w:color w:val="000000" w:themeColor="text1"/>
          <w:sz w:val="32"/>
          <w:szCs w:val="32"/>
          <w:highlight w:val="none"/>
          <w14:textFill>
            <w14:solidFill>
              <w14:schemeClr w14:val="tx1"/>
            </w14:solidFill>
          </w14:textFill>
        </w:rPr>
        <w:t>万元，增长4.89%。主要原因：一是增加世行贷款项目预防、准备与应对新发传染病项目；二</w:t>
      </w:r>
      <w:r>
        <w:rPr>
          <w:rFonts w:hint="eastAsia" w:ascii="仿宋" w:hAnsi="仿宋" w:eastAsia="仿宋" w:cs="仿宋"/>
          <w:color w:val="000000" w:themeColor="text1"/>
          <w:sz w:val="32"/>
          <w:szCs w:val="32"/>
          <w:highlight w:val="none"/>
          <w:lang w:val="en-US" w:eastAsia="zh-CN"/>
          <w14:textFill>
            <w14:solidFill>
              <w14:schemeClr w14:val="tx1"/>
            </w14:solidFill>
          </w14:textFill>
        </w:rPr>
        <w:t>是</w:t>
      </w:r>
      <w:r>
        <w:rPr>
          <w:rFonts w:hint="eastAsia" w:ascii="仿宋" w:hAnsi="仿宋" w:eastAsia="仿宋" w:cs="仿宋"/>
          <w:color w:val="000000" w:themeColor="text1"/>
          <w:sz w:val="32"/>
          <w:szCs w:val="32"/>
          <w:highlight w:val="none"/>
          <w14:textFill>
            <w14:solidFill>
              <w14:schemeClr w14:val="tx1"/>
            </w14:solidFill>
          </w14:textFill>
        </w:rPr>
        <w:t>省财政对农业农村领域投入持续增加。</w:t>
      </w:r>
    </w:p>
    <w:p w14:paraId="05B8AFD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（一</w:t>
      </w:r>
      <w:r>
        <w:rPr>
          <w:rFonts w:ascii="楷体" w:hAnsi="楷体" w:eastAsia="楷体" w:cs="楷体"/>
          <w:color w:val="000000" w:themeColor="text1"/>
          <w:sz w:val="32"/>
          <w:szCs w:val="32"/>
          <w:highlight w:val="none"/>
          <w14:textFill>
            <w14:solidFill>
              <w14:schemeClr w14:val="tx1"/>
            </w14:solidFill>
          </w14:textFill>
        </w:rPr>
        <w:t>）</w:t>
      </w:r>
      <w:r>
        <w:rPr>
          <w:rFonts w:hint="eastAsia" w:ascii="楷体" w:hAnsi="楷体" w:eastAsia="楷体" w:cs="楷体"/>
          <w:color w:val="000000" w:themeColor="text1"/>
          <w:sz w:val="32"/>
          <w:szCs w:val="32"/>
          <w:highlight w:val="none"/>
          <w14:textFill>
            <w14:solidFill>
              <w14:schemeClr w14:val="tx1"/>
            </w14:solidFill>
          </w14:textFill>
        </w:rPr>
        <w:t>收入</w:t>
      </w:r>
      <w:r>
        <w:rPr>
          <w:rFonts w:ascii="楷体" w:hAnsi="楷体" w:eastAsia="楷体" w:cs="楷体"/>
          <w:color w:val="000000" w:themeColor="text1"/>
          <w:sz w:val="32"/>
          <w:szCs w:val="32"/>
          <w:highlight w:val="none"/>
          <w14:textFill>
            <w14:solidFill>
              <w14:schemeClr w14:val="tx1"/>
            </w14:solidFill>
          </w14:textFill>
        </w:rPr>
        <w:t>总计</w:t>
      </w:r>
      <w:r>
        <w:rPr>
          <w:rFonts w:hint="eastAsia" w:ascii="楷体" w:hAnsi="楷体" w:eastAsia="楷体" w:cs="楷体"/>
          <w:color w:val="000000" w:themeColor="text1"/>
          <w:sz w:val="32"/>
          <w:szCs w:val="32"/>
          <w:highlight w:val="none"/>
          <w14:textFill>
            <w14:solidFill>
              <w14:schemeClr w14:val="tx1"/>
            </w14:solidFill>
          </w14:textFill>
        </w:rPr>
        <w:t>主要</w:t>
      </w:r>
      <w:r>
        <w:rPr>
          <w:rFonts w:ascii="楷体" w:hAnsi="楷体" w:eastAsia="楷体" w:cs="楷体"/>
          <w:color w:val="000000" w:themeColor="text1"/>
          <w:sz w:val="32"/>
          <w:szCs w:val="32"/>
          <w:highlight w:val="none"/>
          <w14:textFill>
            <w14:solidFill>
              <w14:schemeClr w14:val="tx1"/>
            </w14:solidFill>
          </w14:textFill>
        </w:rPr>
        <w:t>构成</w:t>
      </w:r>
    </w:p>
    <w:p w14:paraId="596A4F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本年收入</w:t>
      </w:r>
      <w:r>
        <w:rPr>
          <w:rFonts w:hint="eastAsia" w:ascii="仿宋" w:hAnsi="仿宋" w:eastAsia="仿宋" w:cs="仿宋"/>
          <w:color w:val="000000" w:themeColor="text1"/>
          <w:sz w:val="32"/>
          <w:szCs w:val="32"/>
          <w:highlight w:val="none"/>
          <w:lang w:val="en-US"/>
          <w14:textFill>
            <w14:solidFill>
              <w14:schemeClr w14:val="tx1"/>
            </w14:solidFill>
          </w14:textFill>
        </w:rPr>
        <w:t>69,620.91</w:t>
      </w:r>
      <w:r>
        <w:rPr>
          <w:rFonts w:hint="eastAsia" w:ascii="仿宋" w:hAnsi="仿宋" w:eastAsia="仿宋" w:cs="仿宋"/>
          <w:color w:val="000000" w:themeColor="text1"/>
          <w:sz w:val="32"/>
          <w:szCs w:val="32"/>
          <w:highlight w:val="none"/>
          <w14:textFill>
            <w14:solidFill>
              <w14:schemeClr w14:val="tx1"/>
            </w14:solidFill>
          </w14:textFill>
        </w:rPr>
        <w:t>万元。</w:t>
      </w:r>
    </w:p>
    <w:p w14:paraId="3AB6C1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使用非财政拨款结余</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万元，与202</w:t>
      </w: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r>
        <w:rPr>
          <w:rFonts w:hint="eastAsia" w:ascii="仿宋" w:hAnsi="仿宋" w:eastAsia="仿宋" w:cs="仿宋"/>
          <w:color w:val="000000" w:themeColor="text1"/>
          <w:sz w:val="32"/>
          <w:szCs w:val="32"/>
          <w:highlight w:val="none"/>
          <w14:textFill>
            <w14:solidFill>
              <w14:schemeClr w14:val="tx1"/>
            </w14:solidFill>
          </w14:textFill>
        </w:rPr>
        <w:t>年度决算数一致。</w:t>
      </w:r>
    </w:p>
    <w:p w14:paraId="5B2819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年初结转结余</w:t>
      </w:r>
      <w:r>
        <w:rPr>
          <w:rFonts w:hint="eastAsia" w:ascii="仿宋" w:hAnsi="仿宋" w:eastAsia="仿宋" w:cs="仿宋"/>
          <w:color w:val="000000" w:themeColor="text1"/>
          <w:sz w:val="32"/>
          <w:szCs w:val="32"/>
          <w:highlight w:val="none"/>
          <w:lang w:val="en-US"/>
          <w14:textFill>
            <w14:solidFill>
              <w14:schemeClr w14:val="tx1"/>
            </w14:solidFill>
          </w14:textFill>
        </w:rPr>
        <w:t>425.34</w:t>
      </w:r>
      <w:r>
        <w:rPr>
          <w:rFonts w:hint="eastAsia" w:ascii="仿宋" w:hAnsi="仿宋" w:eastAsia="仿宋" w:cs="仿宋"/>
          <w:color w:val="000000" w:themeColor="text1"/>
          <w:sz w:val="32"/>
          <w:szCs w:val="32"/>
          <w:highlight w:val="none"/>
          <w14:textFill>
            <w14:solidFill>
              <w14:schemeClr w14:val="tx1"/>
            </w14:solidFill>
          </w14:textFill>
        </w:rPr>
        <w:t>万元，主要是中央项目资金结转，较</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年度决算数减少</w:t>
      </w:r>
      <w:r>
        <w:rPr>
          <w:rFonts w:hint="eastAsia" w:ascii="仿宋" w:hAnsi="仿宋" w:eastAsia="仿宋" w:cs="仿宋"/>
          <w:color w:val="000000" w:themeColor="text1"/>
          <w:sz w:val="32"/>
          <w:szCs w:val="32"/>
          <w:highlight w:val="none"/>
          <w:lang w:val="en-US"/>
          <w14:textFill>
            <w14:solidFill>
              <w14:schemeClr w14:val="tx1"/>
            </w14:solidFill>
          </w14:textFill>
        </w:rPr>
        <w:t>290.98</w:t>
      </w:r>
      <w:r>
        <w:rPr>
          <w:rFonts w:hint="eastAsia" w:ascii="仿宋" w:hAnsi="仿宋" w:eastAsia="仿宋" w:cs="仿宋"/>
          <w:color w:val="000000" w:themeColor="text1"/>
          <w:sz w:val="32"/>
          <w:szCs w:val="32"/>
          <w:highlight w:val="none"/>
          <w:lang w:val="en-US" w:eastAsia="zh-CN"/>
          <w14:textFill>
            <w14:solidFill>
              <w14:schemeClr w14:val="tx1"/>
            </w14:solidFill>
          </w14:textFill>
        </w:rPr>
        <w:t>万元</w:t>
      </w:r>
      <w:r>
        <w:rPr>
          <w:rFonts w:hint="eastAsia" w:ascii="仿宋" w:hAnsi="仿宋" w:eastAsia="仿宋" w:cs="仿宋"/>
          <w:color w:val="000000" w:themeColor="text1"/>
          <w:sz w:val="32"/>
          <w:szCs w:val="32"/>
          <w:highlight w:val="none"/>
          <w14:textFill>
            <w14:solidFill>
              <w14:schemeClr w14:val="tx1"/>
            </w14:solidFill>
          </w14:textFill>
        </w:rPr>
        <w:t>，下降40.62%，主要原因是加快项目支出进度，减少农业产业发展资金等中央项目资金结转金额。</w:t>
      </w:r>
    </w:p>
    <w:p w14:paraId="74FADFF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lang w:eastAsia="zh-CN"/>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（二</w:t>
      </w:r>
      <w:r>
        <w:rPr>
          <w:rFonts w:ascii="楷体" w:hAnsi="楷体" w:eastAsia="楷体" w:cs="楷体"/>
          <w:color w:val="000000" w:themeColor="text1"/>
          <w:sz w:val="32"/>
          <w:szCs w:val="32"/>
          <w:highlight w:val="none"/>
          <w14:textFill>
            <w14:solidFill>
              <w14:schemeClr w14:val="tx1"/>
            </w14:solidFill>
          </w14:textFill>
        </w:rPr>
        <w:t>）</w:t>
      </w:r>
      <w:r>
        <w:rPr>
          <w:rFonts w:hint="eastAsia" w:ascii="楷体" w:hAnsi="楷体" w:eastAsia="楷体" w:cs="楷体"/>
          <w:color w:val="000000" w:themeColor="text1"/>
          <w:sz w:val="32"/>
          <w:szCs w:val="32"/>
          <w:highlight w:val="none"/>
          <w14:textFill>
            <w14:solidFill>
              <w14:schemeClr w14:val="tx1"/>
            </w14:solidFill>
          </w14:textFill>
        </w:rPr>
        <w:t>支出</w:t>
      </w:r>
      <w:r>
        <w:rPr>
          <w:rFonts w:ascii="楷体" w:hAnsi="楷体" w:eastAsia="楷体" w:cs="楷体"/>
          <w:color w:val="000000" w:themeColor="text1"/>
          <w:sz w:val="32"/>
          <w:szCs w:val="32"/>
          <w:highlight w:val="none"/>
          <w14:textFill>
            <w14:solidFill>
              <w14:schemeClr w14:val="tx1"/>
            </w14:solidFill>
          </w14:textFill>
        </w:rPr>
        <w:t>总计</w:t>
      </w:r>
      <w:r>
        <w:rPr>
          <w:rFonts w:hint="eastAsia" w:ascii="楷体" w:hAnsi="楷体" w:eastAsia="楷体" w:cs="楷体"/>
          <w:color w:val="000000" w:themeColor="text1"/>
          <w:sz w:val="32"/>
          <w:szCs w:val="32"/>
          <w:highlight w:val="none"/>
          <w14:textFill>
            <w14:solidFill>
              <w14:schemeClr w14:val="tx1"/>
            </w14:solidFill>
          </w14:textFill>
        </w:rPr>
        <w:t>主要</w:t>
      </w:r>
      <w:r>
        <w:rPr>
          <w:rFonts w:ascii="楷体" w:hAnsi="楷体" w:eastAsia="楷体" w:cs="楷体"/>
          <w:color w:val="000000" w:themeColor="text1"/>
          <w:sz w:val="32"/>
          <w:szCs w:val="32"/>
          <w:highlight w:val="none"/>
          <w14:textFill>
            <w14:solidFill>
              <w14:schemeClr w14:val="tx1"/>
            </w14:solidFill>
          </w14:textFill>
        </w:rPr>
        <w:t>构成</w:t>
      </w:r>
    </w:p>
    <w:p w14:paraId="788E8B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本年支出</w:t>
      </w:r>
      <w:r>
        <w:rPr>
          <w:rFonts w:hint="eastAsia" w:ascii="仿宋" w:hAnsi="仿宋" w:eastAsia="仿宋" w:cs="仿宋"/>
          <w:color w:val="000000" w:themeColor="text1"/>
          <w:sz w:val="32"/>
          <w:szCs w:val="32"/>
          <w:highlight w:val="none"/>
          <w:lang w:val="en-US"/>
          <w14:textFill>
            <w14:solidFill>
              <w14:schemeClr w14:val="tx1"/>
            </w14:solidFill>
          </w14:textFill>
        </w:rPr>
        <w:t>69,449.29</w:t>
      </w:r>
      <w:r>
        <w:rPr>
          <w:rFonts w:hint="eastAsia" w:ascii="仿宋" w:hAnsi="仿宋" w:eastAsia="仿宋" w:cs="仿宋"/>
          <w:color w:val="000000" w:themeColor="text1"/>
          <w:sz w:val="32"/>
          <w:szCs w:val="32"/>
          <w:highlight w:val="none"/>
          <w14:textFill>
            <w14:solidFill>
              <w14:schemeClr w14:val="tx1"/>
            </w14:solidFill>
          </w14:textFill>
        </w:rPr>
        <w:t>万元。</w:t>
      </w:r>
    </w:p>
    <w:p w14:paraId="3826849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结余分配</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万元，与202</w:t>
      </w: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r>
        <w:rPr>
          <w:rFonts w:hint="eastAsia" w:ascii="仿宋" w:hAnsi="仿宋" w:eastAsia="仿宋" w:cs="仿宋"/>
          <w:color w:val="000000" w:themeColor="text1"/>
          <w:sz w:val="32"/>
          <w:szCs w:val="32"/>
          <w:highlight w:val="none"/>
          <w14:textFill>
            <w14:solidFill>
              <w14:schemeClr w14:val="tx1"/>
            </w14:solidFill>
          </w14:textFill>
        </w:rPr>
        <w:t>年度决算数一致。</w:t>
      </w:r>
    </w:p>
    <w:p w14:paraId="33C8A0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年末结转结余</w:t>
      </w:r>
      <w:r>
        <w:rPr>
          <w:rFonts w:hint="eastAsia" w:ascii="仿宋" w:hAnsi="仿宋" w:eastAsia="仿宋" w:cs="仿宋"/>
          <w:color w:val="000000" w:themeColor="text1"/>
          <w:sz w:val="32"/>
          <w:szCs w:val="32"/>
          <w:highlight w:val="none"/>
          <w:lang w:val="en-US"/>
          <w14:textFill>
            <w14:solidFill>
              <w14:schemeClr w14:val="tx1"/>
            </w14:solidFill>
          </w14:textFill>
        </w:rPr>
        <w:t>596.96</w:t>
      </w:r>
      <w:r>
        <w:rPr>
          <w:rFonts w:hint="eastAsia" w:ascii="仿宋" w:hAnsi="仿宋" w:eastAsia="仿宋" w:cs="仿宋"/>
          <w:color w:val="000000" w:themeColor="text1"/>
          <w:sz w:val="32"/>
          <w:szCs w:val="32"/>
          <w:highlight w:val="none"/>
          <w14:textFill>
            <w14:solidFill>
              <w14:schemeClr w14:val="tx1"/>
            </w14:solidFill>
          </w14:textFill>
        </w:rPr>
        <w:t>万元，主要是中央项目资金结转，较</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年度决算数减少</w:t>
      </w:r>
      <w:r>
        <w:rPr>
          <w:rFonts w:hint="eastAsia" w:ascii="仿宋" w:hAnsi="仿宋" w:eastAsia="仿宋" w:cs="仿宋"/>
          <w:color w:val="000000" w:themeColor="text1"/>
          <w:sz w:val="32"/>
          <w:szCs w:val="32"/>
          <w:highlight w:val="none"/>
          <w:lang w:val="en-US"/>
          <w14:textFill>
            <w14:solidFill>
              <w14:schemeClr w14:val="tx1"/>
            </w14:solidFill>
          </w14:textFill>
        </w:rPr>
        <w:t>119.36</w:t>
      </w:r>
      <w:r>
        <w:rPr>
          <w:rFonts w:hint="eastAsia" w:ascii="仿宋" w:hAnsi="仿宋" w:eastAsia="仿宋" w:cs="仿宋"/>
          <w:color w:val="000000" w:themeColor="text1"/>
          <w:sz w:val="32"/>
          <w:szCs w:val="32"/>
          <w:highlight w:val="none"/>
          <w14:textFill>
            <w14:solidFill>
              <w14:schemeClr w14:val="tx1"/>
            </w14:solidFill>
          </w14:textFill>
        </w:rPr>
        <w:t>万元，下降</w:t>
      </w:r>
      <w:r>
        <w:rPr>
          <w:rFonts w:hint="eastAsia" w:ascii="仿宋" w:hAnsi="仿宋" w:eastAsia="仿宋" w:cs="仿宋"/>
          <w:color w:val="000000" w:themeColor="text1"/>
          <w:sz w:val="32"/>
          <w:szCs w:val="32"/>
          <w:highlight w:val="none"/>
          <w:lang w:val="en-US"/>
          <w14:textFill>
            <w14:solidFill>
              <w14:schemeClr w14:val="tx1"/>
            </w14:solidFill>
          </w14:textFill>
        </w:rPr>
        <w:t>16.66%</w:t>
      </w:r>
      <w:r>
        <w:rPr>
          <w:rFonts w:hint="eastAsia" w:ascii="仿宋" w:hAnsi="仿宋" w:eastAsia="仿宋" w:cs="仿宋"/>
          <w:color w:val="000000" w:themeColor="text1"/>
          <w:sz w:val="32"/>
          <w:szCs w:val="32"/>
          <w:highlight w:val="none"/>
          <w14:textFill>
            <w14:solidFill>
              <w14:schemeClr w14:val="tx1"/>
            </w14:solidFill>
          </w14:textFill>
        </w:rPr>
        <w:t>，主要原因是资金支出进度加快。</w:t>
      </w:r>
    </w:p>
    <w:p w14:paraId="1CA2D923">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收入决算情况说明</w:t>
      </w:r>
    </w:p>
    <w:p w14:paraId="0F317C3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本年收入</w:t>
      </w:r>
      <w:r>
        <w:rPr>
          <w:rFonts w:hint="eastAsia" w:ascii="仿宋" w:hAnsi="仿宋" w:eastAsia="仿宋" w:cs="仿宋"/>
          <w:color w:val="000000" w:themeColor="text1"/>
          <w:sz w:val="32"/>
          <w:szCs w:val="32"/>
          <w:highlight w:val="none"/>
          <w:lang w:val="en-US"/>
          <w14:textFill>
            <w14:solidFill>
              <w14:schemeClr w14:val="tx1"/>
            </w14:solidFill>
          </w14:textFill>
        </w:rPr>
        <w:t>69,620.91</w:t>
      </w:r>
      <w:r>
        <w:rPr>
          <w:rFonts w:hint="eastAsia" w:ascii="仿宋" w:hAnsi="仿宋" w:eastAsia="仿宋" w:cs="仿宋"/>
          <w:color w:val="000000" w:themeColor="text1"/>
          <w:sz w:val="32"/>
          <w:szCs w:val="32"/>
          <w:highlight w:val="none"/>
          <w14:textFill>
            <w14:solidFill>
              <w14:schemeClr w14:val="tx1"/>
            </w14:solidFill>
          </w14:textFill>
        </w:rPr>
        <w:t>万元，其中：财政拨款收入</w:t>
      </w:r>
      <w:r>
        <w:rPr>
          <w:rFonts w:hint="eastAsia" w:ascii="仿宋" w:hAnsi="仿宋" w:eastAsia="仿宋" w:cs="仿宋"/>
          <w:color w:val="000000" w:themeColor="text1"/>
          <w:sz w:val="32"/>
          <w:szCs w:val="32"/>
          <w:highlight w:val="none"/>
          <w:lang w:val="en-US"/>
          <w14:textFill>
            <w14:solidFill>
              <w14:schemeClr w14:val="tx1"/>
            </w14:solidFill>
          </w14:textFill>
        </w:rPr>
        <w:t>69,620.91</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100</w:t>
      </w:r>
      <w:r>
        <w:rPr>
          <w:rFonts w:hint="eastAsia" w:ascii="仿宋" w:hAnsi="仿宋" w:eastAsia="仿宋" w:cs="仿宋"/>
          <w:color w:val="000000" w:themeColor="text1"/>
          <w:sz w:val="32"/>
          <w:szCs w:val="32"/>
          <w:highlight w:val="none"/>
          <w14:textFill>
            <w14:solidFill>
              <w14:schemeClr w14:val="tx1"/>
            </w14:solidFill>
          </w14:textFill>
        </w:rPr>
        <w:t>%；上级补助收入</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%；事业收入</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%；经营收入</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%；附属单位上缴收入</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%；其他收入</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w:t>
      </w:r>
    </w:p>
    <w:p w14:paraId="5FF693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三、支出决算情况说明</w:t>
      </w:r>
    </w:p>
    <w:p w14:paraId="294101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本年支出</w:t>
      </w:r>
      <w:r>
        <w:rPr>
          <w:rFonts w:hint="eastAsia" w:ascii="仿宋" w:hAnsi="仿宋" w:eastAsia="仿宋" w:cs="仿宋"/>
          <w:color w:val="000000" w:themeColor="text1"/>
          <w:sz w:val="32"/>
          <w:szCs w:val="32"/>
          <w:highlight w:val="none"/>
          <w:lang w:val="en-US"/>
          <w14:textFill>
            <w14:solidFill>
              <w14:schemeClr w14:val="tx1"/>
            </w14:solidFill>
          </w14:textFill>
        </w:rPr>
        <w:t>69,449.29</w:t>
      </w:r>
      <w:r>
        <w:rPr>
          <w:rFonts w:hint="eastAsia" w:ascii="仿宋" w:hAnsi="仿宋" w:eastAsia="仿宋" w:cs="仿宋"/>
          <w:color w:val="000000" w:themeColor="text1"/>
          <w:sz w:val="32"/>
          <w:szCs w:val="32"/>
          <w:highlight w:val="none"/>
          <w14:textFill>
            <w14:solidFill>
              <w14:schemeClr w14:val="tx1"/>
            </w14:solidFill>
          </w14:textFill>
        </w:rPr>
        <w:t>万元，其中：基本支出</w:t>
      </w:r>
      <w:r>
        <w:rPr>
          <w:rFonts w:hint="eastAsia" w:ascii="仿宋" w:hAnsi="仿宋" w:eastAsia="仿宋" w:cs="仿宋"/>
          <w:color w:val="000000" w:themeColor="text1"/>
          <w:sz w:val="32"/>
          <w:szCs w:val="32"/>
          <w:highlight w:val="none"/>
          <w:lang w:val="en-US"/>
          <w14:textFill>
            <w14:solidFill>
              <w14:schemeClr w14:val="tx1"/>
            </w14:solidFill>
          </w14:textFill>
        </w:rPr>
        <w:t>6,239.88</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14:textFill>
            <w14:solidFill>
              <w14:schemeClr w14:val="tx1"/>
            </w14:solidFill>
          </w14:textFill>
        </w:rPr>
        <w:t>8.98%</w:t>
      </w:r>
      <w:r>
        <w:rPr>
          <w:rFonts w:hint="eastAsia" w:ascii="仿宋" w:hAnsi="仿宋" w:eastAsia="仿宋" w:cs="仿宋"/>
          <w:color w:val="000000" w:themeColor="text1"/>
          <w:sz w:val="32"/>
          <w:szCs w:val="32"/>
          <w:highlight w:val="none"/>
          <w14:textFill>
            <w14:solidFill>
              <w14:schemeClr w14:val="tx1"/>
            </w14:solidFill>
          </w14:textFill>
        </w:rPr>
        <w:t>；项目支出</w:t>
      </w:r>
      <w:r>
        <w:rPr>
          <w:rFonts w:hint="eastAsia" w:ascii="仿宋" w:hAnsi="仿宋" w:eastAsia="仿宋" w:cs="仿宋"/>
          <w:color w:val="000000" w:themeColor="text1"/>
          <w:sz w:val="32"/>
          <w:szCs w:val="32"/>
          <w:highlight w:val="none"/>
          <w:lang w:val="en-US"/>
          <w14:textFill>
            <w14:solidFill>
              <w14:schemeClr w14:val="tx1"/>
            </w14:solidFill>
          </w14:textFill>
        </w:rPr>
        <w:t>63,209.41</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14:textFill>
            <w14:solidFill>
              <w14:schemeClr w14:val="tx1"/>
            </w14:solidFill>
          </w14:textFill>
        </w:rPr>
        <w:t>91.02%</w:t>
      </w:r>
      <w:r>
        <w:rPr>
          <w:rFonts w:hint="eastAsia" w:ascii="仿宋" w:hAnsi="仿宋" w:eastAsia="仿宋" w:cs="仿宋"/>
          <w:color w:val="000000" w:themeColor="text1"/>
          <w:sz w:val="32"/>
          <w:szCs w:val="32"/>
          <w:highlight w:val="none"/>
          <w14:textFill>
            <w14:solidFill>
              <w14:schemeClr w14:val="tx1"/>
            </w14:solidFill>
          </w14:textFill>
        </w:rPr>
        <w:t>；上缴上级支出</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%；经营支出</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%；对附属单位补助支出</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w:t>
      </w:r>
    </w:p>
    <w:p w14:paraId="6EA146F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四、财政拨款收入支出决算总体情况说明</w:t>
      </w:r>
    </w:p>
    <w:p w14:paraId="3CD7D4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年度财政拨款收入</w:t>
      </w:r>
      <w:r>
        <w:rPr>
          <w:rFonts w:hint="eastAsia" w:ascii="仿宋" w:hAnsi="仿宋" w:eastAsia="仿宋" w:cs="仿宋"/>
          <w:color w:val="000000" w:themeColor="text1"/>
          <w:sz w:val="32"/>
          <w:szCs w:val="32"/>
          <w:highlight w:val="none"/>
          <w:lang w:val="en-US"/>
          <w14:textFill>
            <w14:solidFill>
              <w14:schemeClr w14:val="tx1"/>
            </w14:solidFill>
          </w14:textFill>
        </w:rPr>
        <w:t>69,620.91</w:t>
      </w:r>
      <w:r>
        <w:rPr>
          <w:rFonts w:hint="eastAsia" w:ascii="仿宋" w:hAnsi="仿宋" w:eastAsia="仿宋" w:cs="仿宋"/>
          <w:color w:val="000000" w:themeColor="text1"/>
          <w:sz w:val="32"/>
          <w:szCs w:val="32"/>
          <w:highlight w:val="none"/>
          <w14:textFill>
            <w14:solidFill>
              <w14:schemeClr w14:val="tx1"/>
            </w14:solidFill>
          </w14:textFill>
        </w:rPr>
        <w:t>万元，支出</w:t>
      </w:r>
      <w:r>
        <w:rPr>
          <w:rFonts w:hint="eastAsia" w:ascii="仿宋" w:hAnsi="仿宋" w:eastAsia="仿宋" w:cs="仿宋"/>
          <w:color w:val="000000" w:themeColor="text1"/>
          <w:sz w:val="32"/>
          <w:szCs w:val="32"/>
          <w:highlight w:val="none"/>
          <w:lang w:val="en-US"/>
          <w14:textFill>
            <w14:solidFill>
              <w14:schemeClr w14:val="tx1"/>
            </w14:solidFill>
          </w14:textFill>
        </w:rPr>
        <w:t>69,449.29</w:t>
      </w:r>
      <w:r>
        <w:rPr>
          <w:rFonts w:hint="eastAsia" w:ascii="仿宋" w:hAnsi="仿宋" w:eastAsia="仿宋" w:cs="仿宋"/>
          <w:color w:val="000000" w:themeColor="text1"/>
          <w:sz w:val="32"/>
          <w:szCs w:val="32"/>
          <w:highlight w:val="none"/>
          <w14:textFill>
            <w14:solidFill>
              <w14:schemeClr w14:val="tx1"/>
            </w14:solidFill>
          </w14:textFill>
        </w:rPr>
        <w:t>万元。与</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年度相比，财政拨款收入增加3,581.97万元，增长5.42%，主要原因：一是因机构改革，原乡村振兴局并入我厅，增加原乡村振兴局相关项目经费</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二是增加世行贷款项目预防、准备与应对新发传染病项目等项目经费。支出增加3,410.35万元，增长5.16%，主要原因：一是因机构改革，原乡村振兴局并入我厅，增加原乡村振兴局相关项目经费，二是增加世行贷款项目预防、准备与应对新发传染病项目等项目经费。</w:t>
      </w:r>
    </w:p>
    <w:p w14:paraId="2F2814C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财政拨款年初结转结余</w:t>
      </w:r>
      <w:r>
        <w:rPr>
          <w:rFonts w:hint="eastAsia" w:ascii="仿宋" w:hAnsi="仿宋" w:eastAsia="仿宋" w:cs="仿宋"/>
          <w:color w:val="000000" w:themeColor="text1"/>
          <w:sz w:val="32"/>
          <w:szCs w:val="32"/>
          <w:highlight w:val="none"/>
          <w:lang w:val="en-US"/>
          <w14:textFill>
            <w14:solidFill>
              <w14:schemeClr w14:val="tx1"/>
            </w14:solidFill>
          </w14:textFill>
        </w:rPr>
        <w:t>88.95</w:t>
      </w:r>
      <w:r>
        <w:rPr>
          <w:rFonts w:hint="eastAsia" w:ascii="仿宋" w:hAnsi="仿宋" w:eastAsia="仿宋" w:cs="仿宋"/>
          <w:color w:val="000000" w:themeColor="text1"/>
          <w:sz w:val="32"/>
          <w:szCs w:val="32"/>
          <w:highlight w:val="none"/>
          <w14:textFill>
            <w14:solidFill>
              <w14:schemeClr w14:val="tx1"/>
            </w14:solidFill>
          </w14:textFill>
        </w:rPr>
        <w:t>万元，主要是中央项目资金结转，较</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年度决算数减少</w:t>
      </w:r>
      <w:r>
        <w:rPr>
          <w:rFonts w:hint="eastAsia" w:ascii="仿宋" w:hAnsi="仿宋" w:eastAsia="仿宋" w:cs="仿宋"/>
          <w:color w:val="000000" w:themeColor="text1"/>
          <w:sz w:val="32"/>
          <w:szCs w:val="32"/>
          <w:highlight w:val="none"/>
          <w:lang w:val="en-US"/>
          <w14:textFill>
            <w14:solidFill>
              <w14:schemeClr w14:val="tx1"/>
            </w14:solidFill>
          </w14:textFill>
        </w:rPr>
        <w:t>290.21</w:t>
      </w:r>
      <w:r>
        <w:rPr>
          <w:rFonts w:hint="eastAsia" w:ascii="仿宋" w:hAnsi="仿宋" w:eastAsia="仿宋" w:cs="仿宋"/>
          <w:color w:val="000000" w:themeColor="text1"/>
          <w:sz w:val="32"/>
          <w:szCs w:val="32"/>
          <w:highlight w:val="none"/>
          <w14:textFill>
            <w14:solidFill>
              <w14:schemeClr w14:val="tx1"/>
            </w14:solidFill>
          </w14:textFill>
        </w:rPr>
        <w:t>万元，下降</w:t>
      </w:r>
      <w:r>
        <w:rPr>
          <w:rFonts w:hint="eastAsia" w:ascii="仿宋" w:hAnsi="仿宋" w:eastAsia="仿宋" w:cs="仿宋"/>
          <w:color w:val="000000" w:themeColor="text1"/>
          <w:sz w:val="32"/>
          <w:szCs w:val="32"/>
          <w:highlight w:val="none"/>
          <w:lang w:val="en-US"/>
          <w14:textFill>
            <w14:solidFill>
              <w14:schemeClr w14:val="tx1"/>
            </w14:solidFill>
          </w14:textFill>
        </w:rPr>
        <w:t>76.54%</w:t>
      </w:r>
      <w:r>
        <w:rPr>
          <w:rFonts w:hint="eastAsia" w:ascii="仿宋" w:hAnsi="仿宋" w:eastAsia="仿宋" w:cs="仿宋"/>
          <w:color w:val="000000" w:themeColor="text1"/>
          <w:sz w:val="32"/>
          <w:szCs w:val="32"/>
          <w:highlight w:val="none"/>
          <w14:textFill>
            <w14:solidFill>
              <w14:schemeClr w14:val="tx1"/>
            </w14:solidFill>
          </w14:textFill>
        </w:rPr>
        <w:t>，主要原因是千方百计加快项目支出进度。</w:t>
      </w:r>
    </w:p>
    <w:p w14:paraId="604B14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财政拨款年末结转结余</w:t>
      </w:r>
      <w:r>
        <w:rPr>
          <w:rFonts w:hint="eastAsia" w:ascii="仿宋" w:hAnsi="仿宋" w:eastAsia="仿宋" w:cs="仿宋"/>
          <w:color w:val="000000" w:themeColor="text1"/>
          <w:sz w:val="32"/>
          <w:szCs w:val="32"/>
          <w:highlight w:val="none"/>
          <w:lang w:val="en-US"/>
          <w14:textFill>
            <w14:solidFill>
              <w14:schemeClr w14:val="tx1"/>
            </w14:solidFill>
          </w14:textFill>
        </w:rPr>
        <w:t>260.56</w:t>
      </w:r>
      <w:r>
        <w:rPr>
          <w:rFonts w:hint="eastAsia" w:ascii="仿宋" w:hAnsi="仿宋" w:eastAsia="仿宋" w:cs="仿宋"/>
          <w:color w:val="000000" w:themeColor="text1"/>
          <w:sz w:val="32"/>
          <w:szCs w:val="32"/>
          <w:highlight w:val="none"/>
          <w14:textFill>
            <w14:solidFill>
              <w14:schemeClr w14:val="tx1"/>
            </w14:solidFill>
          </w14:textFill>
        </w:rPr>
        <w:t>万元，主要是中央农业生产发展资金、农业经营主体能力提升等项目资金，较</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年度决算数减少</w:t>
      </w:r>
      <w:r>
        <w:rPr>
          <w:rFonts w:hint="eastAsia" w:ascii="仿宋" w:hAnsi="仿宋" w:eastAsia="仿宋" w:cs="仿宋"/>
          <w:color w:val="000000" w:themeColor="text1"/>
          <w:sz w:val="32"/>
          <w:szCs w:val="32"/>
          <w:highlight w:val="none"/>
          <w:lang w:val="en-US"/>
          <w14:textFill>
            <w14:solidFill>
              <w14:schemeClr w14:val="tx1"/>
            </w14:solidFill>
          </w14:textFill>
        </w:rPr>
        <w:t>118.60</w:t>
      </w:r>
      <w:r>
        <w:rPr>
          <w:rFonts w:hint="eastAsia" w:ascii="仿宋" w:hAnsi="仿宋" w:eastAsia="仿宋" w:cs="仿宋"/>
          <w:color w:val="000000" w:themeColor="text1"/>
          <w:sz w:val="32"/>
          <w:szCs w:val="32"/>
          <w:highlight w:val="none"/>
          <w14:textFill>
            <w14:solidFill>
              <w14:schemeClr w14:val="tx1"/>
            </w14:solidFill>
          </w14:textFill>
        </w:rPr>
        <w:t>万元，下降</w:t>
      </w:r>
      <w:r>
        <w:rPr>
          <w:rFonts w:hint="eastAsia" w:ascii="仿宋" w:hAnsi="仿宋" w:eastAsia="仿宋" w:cs="仿宋"/>
          <w:color w:val="000000" w:themeColor="text1"/>
          <w:sz w:val="32"/>
          <w:szCs w:val="32"/>
          <w:highlight w:val="none"/>
          <w:lang w:val="en-US"/>
          <w14:textFill>
            <w14:solidFill>
              <w14:schemeClr w14:val="tx1"/>
            </w14:solidFill>
          </w14:textFill>
        </w:rPr>
        <w:t>31.28%</w:t>
      </w:r>
      <w:r>
        <w:rPr>
          <w:rFonts w:hint="eastAsia" w:ascii="仿宋" w:hAnsi="仿宋" w:eastAsia="仿宋" w:cs="仿宋"/>
          <w:color w:val="000000" w:themeColor="text1"/>
          <w:sz w:val="32"/>
          <w:szCs w:val="32"/>
          <w:highlight w:val="none"/>
          <w14:textFill>
            <w14:solidFill>
              <w14:schemeClr w14:val="tx1"/>
            </w14:solidFill>
          </w14:textFill>
        </w:rPr>
        <w:t>，主要原因是加快农业生产发展资金支出。</w:t>
      </w:r>
    </w:p>
    <w:p w14:paraId="7BE8C2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五、一般公共预算财政拨款支出决算情况说明</w:t>
      </w:r>
    </w:p>
    <w:p w14:paraId="5561639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bookmarkStart w:id="76" w:name="_Toc17398_WPSOffice_Level2"/>
      <w:bookmarkStart w:id="77" w:name="_Toc9989_WPSOffice_Level2"/>
      <w:bookmarkStart w:id="78" w:name="_Toc19665_WPSOffice_Level2"/>
      <w:bookmarkStart w:id="79" w:name="_Toc21737_WPSOffice_Level2"/>
      <w:bookmarkStart w:id="80" w:name="_Toc13694_WPSOffice_Level2"/>
      <w:bookmarkStart w:id="81" w:name="_Toc23005_WPSOffice_Level2"/>
      <w:r>
        <w:rPr>
          <w:rFonts w:hint="eastAsia" w:ascii="楷体" w:hAnsi="楷体" w:eastAsia="楷体" w:cs="楷体"/>
          <w:color w:val="000000" w:themeColor="text1"/>
          <w:sz w:val="32"/>
          <w:szCs w:val="32"/>
          <w:highlight w:val="none"/>
          <w14:textFill>
            <w14:solidFill>
              <w14:schemeClr w14:val="tx1"/>
            </w14:solidFill>
          </w14:textFill>
        </w:rPr>
        <w:t>（一）一般公共预算财政拨款支出决算总体情况</w:t>
      </w:r>
      <w:bookmarkEnd w:id="76"/>
      <w:bookmarkEnd w:id="77"/>
      <w:bookmarkEnd w:id="78"/>
      <w:bookmarkEnd w:id="79"/>
      <w:bookmarkEnd w:id="80"/>
      <w:bookmarkEnd w:id="81"/>
    </w:p>
    <w:p w14:paraId="0B0CF2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年度一般公共预算财政拨款支出</w:t>
      </w:r>
      <w:r>
        <w:rPr>
          <w:rFonts w:hint="eastAsia" w:ascii="仿宋" w:hAnsi="仿宋" w:eastAsia="仿宋" w:cs="仿宋"/>
          <w:color w:val="000000" w:themeColor="text1"/>
          <w:sz w:val="32"/>
          <w:szCs w:val="32"/>
          <w:highlight w:val="none"/>
          <w:lang w:val="en-US"/>
          <w14:textFill>
            <w14:solidFill>
              <w14:schemeClr w14:val="tx1"/>
            </w14:solidFill>
          </w14:textFill>
        </w:rPr>
        <w:t>69,449.29</w:t>
      </w:r>
      <w:r>
        <w:rPr>
          <w:rFonts w:hint="eastAsia" w:ascii="仿宋" w:hAnsi="仿宋" w:eastAsia="仿宋" w:cs="仿宋"/>
          <w:color w:val="000000" w:themeColor="text1"/>
          <w:sz w:val="32"/>
          <w:szCs w:val="32"/>
          <w:highlight w:val="none"/>
          <w14:textFill>
            <w14:solidFill>
              <w14:schemeClr w14:val="tx1"/>
            </w14:solidFill>
          </w14:textFill>
        </w:rPr>
        <w:t>万元，占本年支出合计的</w:t>
      </w:r>
      <w:r>
        <w:rPr>
          <w:rFonts w:hint="eastAsia" w:ascii="仿宋" w:hAnsi="仿宋" w:eastAsia="仿宋" w:cs="仿宋"/>
          <w:color w:val="000000" w:themeColor="text1"/>
          <w:sz w:val="32"/>
          <w:szCs w:val="32"/>
          <w:highlight w:val="none"/>
          <w:lang w:val="en-US" w:eastAsia="zh-CN"/>
          <w14:textFill>
            <w14:solidFill>
              <w14:schemeClr w14:val="tx1"/>
            </w14:solidFill>
          </w14:textFill>
        </w:rPr>
        <w:t>100</w:t>
      </w:r>
      <w:r>
        <w:rPr>
          <w:rFonts w:hint="eastAsia" w:ascii="仿宋" w:hAnsi="仿宋" w:eastAsia="仿宋" w:cs="仿宋"/>
          <w:color w:val="000000" w:themeColor="text1"/>
          <w:sz w:val="32"/>
          <w:szCs w:val="32"/>
          <w:highlight w:val="none"/>
          <w14:textFill>
            <w14:solidFill>
              <w14:schemeClr w14:val="tx1"/>
            </w14:solidFill>
          </w14:textFill>
        </w:rPr>
        <w:t>%。与</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年度相比，一般公共预算财政拨款支出增加</w:t>
      </w:r>
      <w:r>
        <w:rPr>
          <w:rFonts w:hint="eastAsia" w:ascii="仿宋" w:hAnsi="仿宋" w:eastAsia="仿宋" w:cs="仿宋"/>
          <w:color w:val="000000" w:themeColor="text1"/>
          <w:sz w:val="32"/>
          <w:szCs w:val="32"/>
          <w:highlight w:val="none"/>
          <w:lang w:val="en-US"/>
          <w14:textFill>
            <w14:solidFill>
              <w14:schemeClr w14:val="tx1"/>
            </w14:solidFill>
          </w14:textFill>
        </w:rPr>
        <w:t>3,410.35</w:t>
      </w:r>
      <w:r>
        <w:rPr>
          <w:rFonts w:hint="eastAsia" w:ascii="仿宋" w:hAnsi="仿宋" w:eastAsia="仿宋" w:cs="仿宋"/>
          <w:color w:val="000000" w:themeColor="text1"/>
          <w:sz w:val="32"/>
          <w:szCs w:val="32"/>
          <w:highlight w:val="none"/>
          <w14:textFill>
            <w14:solidFill>
              <w14:schemeClr w14:val="tx1"/>
            </w14:solidFill>
          </w14:textFill>
        </w:rPr>
        <w:t>万元，增长</w:t>
      </w:r>
      <w:r>
        <w:rPr>
          <w:rFonts w:hint="eastAsia" w:ascii="仿宋" w:hAnsi="仿宋" w:eastAsia="仿宋" w:cs="仿宋"/>
          <w:color w:val="000000" w:themeColor="text1"/>
          <w:sz w:val="32"/>
          <w:szCs w:val="32"/>
          <w:highlight w:val="none"/>
          <w:lang w:val="en-US"/>
          <w14:textFill>
            <w14:solidFill>
              <w14:schemeClr w14:val="tx1"/>
            </w14:solidFill>
          </w14:textFill>
        </w:rPr>
        <w:t>5.16%</w:t>
      </w:r>
      <w:r>
        <w:rPr>
          <w:rFonts w:hint="eastAsia" w:ascii="仿宋" w:hAnsi="仿宋" w:eastAsia="仿宋" w:cs="仿宋"/>
          <w:color w:val="000000" w:themeColor="text1"/>
          <w:sz w:val="32"/>
          <w:szCs w:val="32"/>
          <w:highlight w:val="none"/>
          <w14:textFill>
            <w14:solidFill>
              <w14:schemeClr w14:val="tx1"/>
            </w14:solidFill>
          </w14:textFill>
        </w:rPr>
        <w:t>，主要原因</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一是因机构改革，原乡村振兴局并入我厅，增加原乡村振兴局相关项目经费，二是增加世行贷款项目预防、准备与应对新发传染病项目等项目经费</w:t>
      </w:r>
      <w:r>
        <w:rPr>
          <w:rFonts w:hint="eastAsia" w:ascii="仿宋" w:hAnsi="仿宋" w:eastAsia="仿宋" w:cs="仿宋"/>
          <w:color w:val="000000" w:themeColor="text1"/>
          <w:sz w:val="32"/>
          <w:szCs w:val="32"/>
          <w:highlight w:val="none"/>
          <w14:textFill>
            <w14:solidFill>
              <w14:schemeClr w14:val="tx1"/>
            </w14:solidFill>
          </w14:textFill>
        </w:rPr>
        <w:t>。</w:t>
      </w:r>
    </w:p>
    <w:p w14:paraId="02CF4A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bookmarkStart w:id="82" w:name="_Toc27767_WPSOffice_Level2"/>
      <w:bookmarkStart w:id="83" w:name="_Toc19075_WPSOffice_Level2"/>
      <w:bookmarkStart w:id="84" w:name="_Toc19535_WPSOffice_Level2"/>
      <w:bookmarkStart w:id="85" w:name="_Toc2711_WPSOffice_Level2"/>
      <w:bookmarkStart w:id="86" w:name="_Toc23864_WPSOffice_Level2"/>
      <w:bookmarkStart w:id="87" w:name="_Toc18793_WPSOffice_Level2"/>
      <w:r>
        <w:rPr>
          <w:rFonts w:hint="eastAsia" w:ascii="楷体" w:hAnsi="楷体" w:eastAsia="楷体" w:cs="楷体"/>
          <w:color w:val="000000" w:themeColor="text1"/>
          <w:sz w:val="32"/>
          <w:szCs w:val="32"/>
          <w:highlight w:val="none"/>
          <w14:textFill>
            <w14:solidFill>
              <w14:schemeClr w14:val="tx1"/>
            </w14:solidFill>
          </w14:textFill>
        </w:rPr>
        <w:t>（二）一般公共预算财政拨款支出决算结构情况</w:t>
      </w:r>
      <w:bookmarkEnd w:id="82"/>
      <w:bookmarkEnd w:id="83"/>
      <w:bookmarkEnd w:id="84"/>
      <w:bookmarkEnd w:id="85"/>
      <w:bookmarkEnd w:id="86"/>
      <w:bookmarkEnd w:id="87"/>
    </w:p>
    <w:p w14:paraId="34D07E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年度一般公共预算财政拨款支出</w:t>
      </w:r>
      <w:r>
        <w:rPr>
          <w:rFonts w:hint="eastAsia" w:ascii="仿宋" w:hAnsi="仿宋" w:eastAsia="仿宋" w:cs="仿宋"/>
          <w:color w:val="000000" w:themeColor="text1"/>
          <w:sz w:val="32"/>
          <w:szCs w:val="32"/>
          <w:highlight w:val="none"/>
          <w:lang w:val="en-US"/>
          <w14:textFill>
            <w14:solidFill>
              <w14:schemeClr w14:val="tx1"/>
            </w14:solidFill>
          </w14:textFill>
        </w:rPr>
        <w:t>69,449.29</w:t>
      </w:r>
      <w:r>
        <w:rPr>
          <w:rFonts w:hint="eastAsia" w:ascii="仿宋" w:hAnsi="仿宋" w:eastAsia="仿宋" w:cs="仿宋"/>
          <w:color w:val="000000" w:themeColor="text1"/>
          <w:sz w:val="32"/>
          <w:szCs w:val="32"/>
          <w:highlight w:val="none"/>
          <w14:textFill>
            <w14:solidFill>
              <w14:schemeClr w14:val="tx1"/>
            </w14:solidFill>
          </w14:textFill>
        </w:rPr>
        <w:t>万元，主要用于以下方面：</w:t>
      </w:r>
      <w:r>
        <w:rPr>
          <w:rFonts w:hint="eastAsia" w:ascii="仿宋" w:hAnsi="仿宋" w:eastAsia="仿宋" w:cs="仿宋"/>
          <w:b/>
          <w:color w:val="000000" w:themeColor="text1"/>
          <w:sz w:val="32"/>
          <w:szCs w:val="32"/>
          <w:highlight w:val="none"/>
          <w14:textFill>
            <w14:solidFill>
              <w14:schemeClr w14:val="tx1"/>
            </w14:solidFill>
          </w14:textFill>
        </w:rPr>
        <w:t>一般公共服务（类）</w:t>
      </w:r>
      <w:r>
        <w:rPr>
          <w:rFonts w:hint="eastAsia" w:ascii="仿宋" w:hAnsi="仿宋" w:eastAsia="仿宋" w:cs="仿宋"/>
          <w:color w:val="000000" w:themeColor="text1"/>
          <w:sz w:val="32"/>
          <w:szCs w:val="32"/>
          <w:highlight w:val="none"/>
          <w14:textFill>
            <w14:solidFill>
              <w14:schemeClr w14:val="tx1"/>
            </w14:solidFill>
          </w14:textFill>
        </w:rPr>
        <w:t>支出1,040.72万元，占1.50%；</w:t>
      </w:r>
      <w:r>
        <w:rPr>
          <w:rFonts w:hint="eastAsia" w:ascii="仿宋" w:hAnsi="仿宋" w:eastAsia="仿宋" w:cs="仿宋"/>
          <w:b/>
          <w:bCs/>
          <w:color w:val="000000" w:themeColor="text1"/>
          <w:sz w:val="32"/>
          <w:szCs w:val="32"/>
          <w:highlight w:val="none"/>
          <w14:textFill>
            <w14:solidFill>
              <w14:schemeClr w14:val="tx1"/>
            </w14:solidFill>
          </w14:textFill>
        </w:rPr>
        <w:t>社会保障和就业（类）</w:t>
      </w:r>
      <w:r>
        <w:rPr>
          <w:rFonts w:hint="eastAsia" w:ascii="仿宋" w:hAnsi="仿宋" w:eastAsia="仿宋" w:cs="仿宋"/>
          <w:color w:val="000000" w:themeColor="text1"/>
          <w:sz w:val="32"/>
          <w:szCs w:val="32"/>
          <w:highlight w:val="none"/>
          <w14:textFill>
            <w14:solidFill>
              <w14:schemeClr w14:val="tx1"/>
            </w14:solidFill>
          </w14:textFill>
        </w:rPr>
        <w:t>支出849.65万元，占1.22%；</w:t>
      </w:r>
    </w:p>
    <w:p w14:paraId="1BE46458">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卫生健康（类）</w:t>
      </w:r>
      <w:r>
        <w:rPr>
          <w:rFonts w:hint="eastAsia" w:ascii="仿宋" w:hAnsi="仿宋" w:eastAsia="仿宋" w:cs="仿宋"/>
          <w:color w:val="000000" w:themeColor="text1"/>
          <w:sz w:val="32"/>
          <w:szCs w:val="32"/>
          <w:highlight w:val="none"/>
          <w14:textFill>
            <w14:solidFill>
              <w14:schemeClr w14:val="tx1"/>
            </w14:solidFill>
          </w14:textFill>
        </w:rPr>
        <w:t>支出179.23万元，占0.26%；</w:t>
      </w:r>
      <w:r>
        <w:rPr>
          <w:rFonts w:hint="eastAsia" w:ascii="仿宋" w:hAnsi="仿宋" w:eastAsia="仿宋" w:cs="仿宋"/>
          <w:b/>
          <w:bCs/>
          <w:color w:val="000000" w:themeColor="text1"/>
          <w:sz w:val="32"/>
          <w:szCs w:val="32"/>
          <w:highlight w:val="none"/>
          <w14:textFill>
            <w14:solidFill>
              <w14:schemeClr w14:val="tx1"/>
            </w14:solidFill>
          </w14:textFill>
        </w:rPr>
        <w:t>农林水（类）</w:t>
      </w:r>
      <w:r>
        <w:rPr>
          <w:rFonts w:hint="eastAsia" w:ascii="仿宋" w:hAnsi="仿宋" w:eastAsia="仿宋" w:cs="仿宋"/>
          <w:color w:val="000000" w:themeColor="text1"/>
          <w:sz w:val="32"/>
          <w:szCs w:val="32"/>
          <w:highlight w:val="none"/>
          <w14:textFill>
            <w14:solidFill>
              <w14:schemeClr w14:val="tx1"/>
            </w14:solidFill>
          </w14:textFill>
        </w:rPr>
        <w:t>支出66,915.33万元，占96.35%；</w:t>
      </w:r>
      <w:r>
        <w:rPr>
          <w:rFonts w:hint="eastAsia" w:ascii="仿宋" w:hAnsi="仿宋" w:eastAsia="仿宋" w:cs="仿宋"/>
          <w:b/>
          <w:bCs/>
          <w:color w:val="000000" w:themeColor="text1"/>
          <w:sz w:val="32"/>
          <w:szCs w:val="32"/>
          <w:highlight w:val="none"/>
          <w14:textFill>
            <w14:solidFill>
              <w14:schemeClr w14:val="tx1"/>
            </w14:solidFill>
          </w14:textFill>
        </w:rPr>
        <w:t>住房保障（类）</w:t>
      </w:r>
      <w:r>
        <w:rPr>
          <w:rFonts w:hint="eastAsia" w:ascii="仿宋" w:hAnsi="仿宋" w:eastAsia="仿宋" w:cs="仿宋"/>
          <w:color w:val="000000" w:themeColor="text1"/>
          <w:sz w:val="32"/>
          <w:szCs w:val="32"/>
          <w:highlight w:val="none"/>
          <w14:textFill>
            <w14:solidFill>
              <w14:schemeClr w14:val="tx1"/>
            </w14:solidFill>
          </w14:textFill>
        </w:rPr>
        <w:t>支出464.37万元，占0.67%。</w:t>
      </w:r>
    </w:p>
    <w:p w14:paraId="51B556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bookmarkStart w:id="88" w:name="_Toc22318_WPSOffice_Level2"/>
      <w:bookmarkStart w:id="89" w:name="_Toc29364_WPSOffice_Level2"/>
      <w:bookmarkStart w:id="90" w:name="_Toc9502_WPSOffice_Level2"/>
      <w:bookmarkStart w:id="91" w:name="_Toc15415_WPSOffice_Level2"/>
      <w:bookmarkStart w:id="92" w:name="_Toc25136_WPSOffice_Level2"/>
      <w:bookmarkStart w:id="93" w:name="_Toc21701_WPSOffice_Level2"/>
      <w:r>
        <w:rPr>
          <w:rFonts w:hint="eastAsia" w:ascii="楷体" w:hAnsi="楷体" w:eastAsia="楷体" w:cs="楷体"/>
          <w:color w:val="000000" w:themeColor="text1"/>
          <w:sz w:val="32"/>
          <w:szCs w:val="32"/>
          <w:highlight w:val="none"/>
          <w14:textFill>
            <w14:solidFill>
              <w14:schemeClr w14:val="tx1"/>
            </w14:solidFill>
          </w14:textFill>
        </w:rPr>
        <w:t>（三）一般公共预算财政拨款支出决算具体情况</w:t>
      </w:r>
      <w:bookmarkEnd w:id="88"/>
      <w:bookmarkEnd w:id="89"/>
      <w:bookmarkEnd w:id="90"/>
      <w:bookmarkEnd w:id="91"/>
      <w:bookmarkEnd w:id="92"/>
      <w:bookmarkEnd w:id="93"/>
    </w:p>
    <w:p w14:paraId="04217A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年度一般公共预算财政拨款支出年初预算为</w:t>
      </w:r>
      <w:r>
        <w:rPr>
          <w:rFonts w:hint="eastAsia" w:ascii="仿宋" w:hAnsi="仿宋" w:eastAsia="仿宋" w:cs="仿宋"/>
          <w:color w:val="000000" w:themeColor="text1"/>
          <w:sz w:val="32"/>
          <w:szCs w:val="32"/>
          <w:highlight w:val="none"/>
          <w:lang w:val="en-US"/>
          <w14:textFill>
            <w14:solidFill>
              <w14:schemeClr w14:val="tx1"/>
            </w14:solidFill>
          </w14:textFill>
        </w:rPr>
        <w:t>76,583.98</w:t>
      </w:r>
      <w:r>
        <w:rPr>
          <w:rFonts w:hint="eastAsia" w:ascii="仿宋" w:hAnsi="仿宋" w:eastAsia="仿宋" w:cs="仿宋"/>
          <w:color w:val="000000" w:themeColor="text1"/>
          <w:sz w:val="32"/>
          <w:szCs w:val="32"/>
          <w:highlight w:val="none"/>
          <w14:textFill>
            <w14:solidFill>
              <w14:schemeClr w14:val="tx1"/>
            </w14:solidFill>
          </w14:textFill>
        </w:rPr>
        <w:t>万元，支出决算为</w:t>
      </w:r>
      <w:r>
        <w:rPr>
          <w:rFonts w:hint="eastAsia" w:ascii="仿宋" w:hAnsi="仿宋" w:eastAsia="仿宋" w:cs="仿宋"/>
          <w:color w:val="000000" w:themeColor="text1"/>
          <w:sz w:val="32"/>
          <w:szCs w:val="32"/>
          <w:highlight w:val="none"/>
          <w:lang w:val="en-US"/>
          <w14:textFill>
            <w14:solidFill>
              <w14:schemeClr w14:val="tx1"/>
            </w14:solidFill>
          </w14:textFill>
        </w:rPr>
        <w:t>69,449.29</w:t>
      </w:r>
      <w:r>
        <w:rPr>
          <w:rFonts w:hint="eastAsia" w:ascii="仿宋" w:hAnsi="仿宋" w:eastAsia="仿宋" w:cs="仿宋"/>
          <w:color w:val="000000" w:themeColor="text1"/>
          <w:sz w:val="32"/>
          <w:szCs w:val="32"/>
          <w:highlight w:val="none"/>
          <w14:textFill>
            <w14:solidFill>
              <w14:schemeClr w14:val="tx1"/>
            </w14:solidFill>
          </w14:textFill>
        </w:rPr>
        <w:t>万元，完成年初预算的</w:t>
      </w:r>
      <w:r>
        <w:rPr>
          <w:rFonts w:hint="eastAsia" w:ascii="仿宋" w:hAnsi="仿宋" w:eastAsia="仿宋" w:cs="仿宋"/>
          <w:color w:val="000000" w:themeColor="text1"/>
          <w:sz w:val="32"/>
          <w:szCs w:val="32"/>
          <w:highlight w:val="none"/>
          <w:lang w:val="en-US" w:eastAsia="zh-CN"/>
          <w14:textFill>
            <w14:solidFill>
              <w14:schemeClr w14:val="tx1"/>
            </w14:solidFill>
          </w14:textFill>
        </w:rPr>
        <w:t>90.68</w:t>
      </w:r>
      <w:r>
        <w:rPr>
          <w:rFonts w:hint="eastAsia" w:ascii="仿宋" w:hAnsi="仿宋" w:eastAsia="仿宋" w:cs="仿宋"/>
          <w:color w:val="000000" w:themeColor="text1"/>
          <w:sz w:val="32"/>
          <w:szCs w:val="32"/>
          <w:highlight w:val="none"/>
          <w14:textFill>
            <w14:solidFill>
              <w14:schemeClr w14:val="tx1"/>
            </w14:solidFill>
          </w14:textFill>
        </w:rPr>
        <w:t>%。其中：</w:t>
      </w:r>
    </w:p>
    <w:p w14:paraId="4A98A0F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kern w:val="2"/>
          <w:sz w:val="32"/>
          <w:szCs w:val="32"/>
          <w:highlight w:val="none"/>
          <w:lang w:val="en-US" w:eastAsia="zh-CN" w:bidi="ar-SA"/>
          <w14:textFill>
            <w14:solidFill>
              <w14:schemeClr w14:val="tx1"/>
            </w14:solidFill>
          </w14:textFill>
        </w:rPr>
        <w:t>1.一般公共服务（类）商</w:t>
      </w:r>
      <w:r>
        <w:rPr>
          <w:rFonts w:hint="eastAsia" w:ascii="方正仿宋_GB2312" w:hAnsi="方正仿宋_GB2312" w:eastAsia="方正仿宋_GB2312" w:cs="方正仿宋_GB2312"/>
          <w:b/>
          <w:bCs/>
          <w:color w:val="000000" w:themeColor="text1"/>
          <w:sz w:val="32"/>
          <w:szCs w:val="32"/>
          <w:highlight w:val="none"/>
          <w:lang w:val="en-US" w:eastAsia="zh-CN"/>
          <w14:textFill>
            <w14:solidFill>
              <w14:schemeClr w14:val="tx1"/>
            </w14:solidFill>
          </w14:textFill>
        </w:rPr>
        <w:t>贸事务（款）招商引资（项）。</w:t>
      </w:r>
    </w:p>
    <w:p w14:paraId="4F1E876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年初预算为0万元（年初预算未安排，系年中追加），支出决算为1,040.72万元。决算数大于预算数的主要原因是2025年年中下达的会展项目奖励资金。</w:t>
      </w:r>
    </w:p>
    <w:p w14:paraId="1DC75BDE">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社会保障和就业（类）行政事业单位养老支出（款）机关事业单位基本养老保险缴费支出（项）。</w:t>
      </w:r>
    </w:p>
    <w:p w14:paraId="5664F17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年初预算为531.32万元，支出决算为514.34万元，完成年初预算的96.80%。决算数小于预算数的主要原因：一是年内人员调出、退休等变动导致缴费人数减少；二是缴费基数据实结算后略低于预算测算数。</w:t>
      </w:r>
    </w:p>
    <w:p w14:paraId="5D795458">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社会保障和就业（类）行政事业单位养老支出（款）机关事业单位职业年金缴费支出（项）。</w:t>
      </w:r>
    </w:p>
    <w:p w14:paraId="1C8DCFF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265.66万元，支出决算为279.79万元，完成年初预算的105.32%。决算数大于预算数的主要原因：一是年度工资基数调整（晋职晋级、正常调薪）导致缴费基数上升；二是人员结构变化增加职业年金缴费支出。</w:t>
      </w:r>
    </w:p>
    <w:p w14:paraId="51E4647B">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社会保障和就业（类）抚恤（款）死亡抚恤（项）。</w:t>
      </w:r>
    </w:p>
    <w:p w14:paraId="4C90B1F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年初预算为0万元，支出决算为38.76万元。决算数大于预算数的主要原因是年内发生死亡抚恤事项，按政策据实发放；</w:t>
      </w:r>
    </w:p>
    <w:p w14:paraId="65B25DC2">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社会保障和就业（类）抚恤（款）其他优抚支出（项）。</w:t>
      </w:r>
    </w:p>
    <w:p w14:paraId="0221F68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年初预算为16.63万元，支出决算为16.77万元，完成年初预算的100.84%。决算数大于预算数的主要原因：优抚对象补助标准按政策调整，支出略有增加，整体与预算基本持平。</w:t>
      </w:r>
    </w:p>
    <w:p w14:paraId="36E9F385">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卫生健康（类）行政事业单位医疗（款）行政单位医疗（项）。</w:t>
      </w:r>
    </w:p>
    <w:p w14:paraId="4C8BA84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年初预算为184.47万元，支出决算为179.23万元，完成年初预算的97.16%。决算数小于预算数的主要原因：一是年内人员变动导致医保缴费人数减少；二是缴费基数据实结算后略低于预算数。</w:t>
      </w:r>
    </w:p>
    <w:p w14:paraId="44DF5B36">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农林水（类）农业农村（款）行政运行（项）。</w:t>
      </w:r>
    </w:p>
    <w:p w14:paraId="7A1D319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5,035.36万元，支出决算为4,746.63万元，完成年初预算的94.27%。决算数小于预算数的主要原因：一是落实“过紧日子”要求，压减公用经费及一般性支出；二是人员经费按实际发放情况据实结算，略低于预算。</w:t>
      </w:r>
    </w:p>
    <w:p w14:paraId="51E3760E">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农林水（类）农业农村（款）一般行政管理事务（项）。</w:t>
      </w:r>
    </w:p>
    <w:p w14:paraId="6A85B4E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2,419.87万元，支出决算为1,530.78万元，完成年初预算的63.26%。决算数小于预算数的主要原因：一是部分事务性项目实施进度滞后，资金结转下年继续使用；二是压减非刚性、非重点支出，从严控制行政运行成本。</w:t>
      </w:r>
    </w:p>
    <w:p w14:paraId="28E4B980">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农林水（类）农业农村（款）科技转化与推广服务（项）。</w:t>
      </w:r>
    </w:p>
    <w:p w14:paraId="0C8021A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年初预算为2,962.00万元，支出决算为2,679.47万元，完成年初预算的90.46%。决算数小于预算数的主要原因：一是部分农业科技推广项目跨年度实施，当年支出进度未达预算；二是部分采购项目延后，资金结转下年。</w:t>
      </w:r>
    </w:p>
    <w:p w14:paraId="2AD61BED">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农林水（类）农业农村（款）病虫害控制（项）。</w:t>
      </w:r>
    </w:p>
    <w:p w14:paraId="3D13F95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年初预算为1,332.34万元，支出决算为4,595.96万元，完成年初预算的344.95%。决算数大于预算数的主要原因是年中下达世行贷款项目预防、准备与应对新发传染病项目资金。</w:t>
      </w:r>
    </w:p>
    <w:p w14:paraId="0160ABDB">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农林水（类）农业农村（款）农产品质量安全（项）。</w:t>
      </w:r>
    </w:p>
    <w:p w14:paraId="01F59E7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2,078.00万元，支出决算为1,893.45万元，完成年初预算的91.12%。决算数小于预算数的主要原因：一是部分质量安全检测项目采购流程延后，当年支出未达预算进度；二是检测任务据实安排，部分检测批次结转下年。</w:t>
      </w:r>
    </w:p>
    <w:p w14:paraId="44EFA13A">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农林水（类）农业农村（款）行业业务管理（项）。</w:t>
      </w:r>
    </w:p>
    <w:p w14:paraId="2CC7EC6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年初预算为2,945.96万元，支出决算为2,561.11万元，完成年初预算的86.94%。决算数小于预算数的主要原因：一是部分行业管理及调研项目实施进度慢于预期；二是相关会议、培训支出从严控制，资金结转下年。</w:t>
      </w:r>
    </w:p>
    <w:p w14:paraId="3AABBDF7">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农林水（类）农业农村（款）对外交流与合作（项）。</w:t>
      </w:r>
    </w:p>
    <w:p w14:paraId="126B184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年初预算为150.00万元，支出决算为122.16万元，完成年初预算的81.44%。决算数小于预算数的主要原因：一是部分对外交流合作活动受客观因素影响取消或延后；二是交流活动支出据实结算，低于预算安排。</w:t>
      </w:r>
    </w:p>
    <w:p w14:paraId="15CC768A">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农林水（类）农业农村（款）农业生产发展（项）。</w:t>
      </w:r>
    </w:p>
    <w:p w14:paraId="513E80E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年初预算为47,744.66万元，支出决算为39,400.07万元，完成年初预算的82.52%。决算数小于预算数的主要原因是部分生产发展项目实施周期跨年度，当年支出进度未达预算。</w:t>
      </w:r>
    </w:p>
    <w:p w14:paraId="3C9FD3E9">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农林水（类）农业农村（款）农村合作经济（项）。</w:t>
      </w:r>
    </w:p>
    <w:p w14:paraId="749CFD6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年初预算为1,329.36万元，支出决算为1,011.20万元，完成年初预算的76.07%。决算数小于预算数的主要原因：一是农民合作社培育项目实施进度滞后，资金结转下年；二是部分项目验收延后，当年未形成支出。</w:t>
      </w:r>
    </w:p>
    <w:p w14:paraId="08F6F312">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农林水（类）农业农村（款）农产品加工与促销（项）。</w:t>
      </w:r>
    </w:p>
    <w:p w14:paraId="2D3F3AC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年初预算为2,000.00万元，支出决算为1,936.60万元，完成年初预算的96.83%。决算数小于预算数的主要原因：与预算基本持平。</w:t>
      </w:r>
    </w:p>
    <w:p w14:paraId="64DBB7D4">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农林水（类）农业农村（款）农村社会事业（项）。</w:t>
      </w:r>
    </w:p>
    <w:p w14:paraId="7003820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年初预算为516.00万元，支出决算为374.97万元，完成年初预算的72.67%。决算数小于预算数的主要原因是部分农村社会事业项目实施进度慢，资金结转下年。</w:t>
      </w:r>
    </w:p>
    <w:p w14:paraId="07CFD4A3">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农林水（类）农业农村（款）农业生态资源保护（项）。</w:t>
      </w:r>
    </w:p>
    <w:p w14:paraId="2569A22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年初预算为380.00万元，支出决算为376.37万元，完成年初预算的99.04%。决算数小于预算数的主要原因：与预算基本持平。</w:t>
      </w:r>
    </w:p>
    <w:p w14:paraId="3BD85CC0">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农林水（类）农业农村（款）渔业发展（项）。</w:t>
      </w:r>
    </w:p>
    <w:p w14:paraId="61DFF3A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年初预算为4,221.50万元，支出决算为4,041.65万元，完成年初预算的95.74%。决算数小于预算数的主要原因：与预算基本持平。</w:t>
      </w:r>
    </w:p>
    <w:p w14:paraId="4DBDE0BA">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农林水（类）农业农村（款）耕地建设与利用（项）。</w:t>
      </w:r>
    </w:p>
    <w:p w14:paraId="7A73551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年初预算为328.63万元，支出决算为300.71万元，完成年初预算的91.50%。决算数小于预算数的主要原因：一是耕地建设项目实施进度滞后，资金结转下年；二是部分项目验收延后，当年未形成支出。</w:t>
      </w:r>
    </w:p>
    <w:p w14:paraId="354B807C">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农林水（类）农业农村（款）其他农业农村支出（项）。</w:t>
      </w:r>
    </w:p>
    <w:p w14:paraId="4B8C101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年初预算为1,176.00万元，支出决算为959.00万元，完成年初预算的81.55%。决算数小于预算数的主要原因：一是部分其他农业农村项目未达支出进度，资金结转下年；二是压减非重点支出，从严控制资金使用。</w:t>
      </w:r>
    </w:p>
    <w:p w14:paraId="5FDCB417">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农林水（类）巩固脱贫攻坚成果衔接乡村振兴（款）其他巩固脱贫攻坚成果衔接乡村振兴支出（项）。</w:t>
      </w:r>
    </w:p>
    <w:p w14:paraId="482810E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491.25万元，支出决算为385.20万元，完成年初预算的78.41%。决算数小于预算数的主要原因：一是衔接资金项目实施进度滞后，资金结转下年继续使用；二是部分项目审批及采购流程延后，当年支出未达预算。</w:t>
      </w:r>
    </w:p>
    <w:p w14:paraId="41B01557">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3"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住房保障（类）住房改革支出（款）住房公积金（项）。</w:t>
      </w:r>
    </w:p>
    <w:p w14:paraId="04A5039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年初预算为474.96万元，支出决算为464.37万元，完成年初预算的97.77%。决算数小于预算数的主要原因：与预算基本持平。</w:t>
      </w:r>
    </w:p>
    <w:p w14:paraId="6EAB98C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六、一般公共预算财政拨款基本支出决算情况说明</w:t>
      </w:r>
    </w:p>
    <w:p w14:paraId="330A779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年度财政拨款基本支出</w:t>
      </w:r>
      <w:r>
        <w:rPr>
          <w:rFonts w:hint="eastAsia" w:ascii="仿宋" w:hAnsi="仿宋" w:eastAsia="仿宋" w:cs="仿宋"/>
          <w:color w:val="000000" w:themeColor="text1"/>
          <w:sz w:val="32"/>
          <w:szCs w:val="32"/>
          <w:highlight w:val="none"/>
          <w:lang w:val="en-US"/>
          <w14:textFill>
            <w14:solidFill>
              <w14:schemeClr w14:val="tx1"/>
            </w14:solidFill>
          </w14:textFill>
        </w:rPr>
        <w:t>6,239.88</w:t>
      </w:r>
      <w:r>
        <w:rPr>
          <w:rFonts w:hint="eastAsia" w:ascii="仿宋" w:hAnsi="仿宋" w:eastAsia="仿宋" w:cs="仿宋"/>
          <w:color w:val="000000" w:themeColor="text1"/>
          <w:sz w:val="32"/>
          <w:szCs w:val="32"/>
          <w:highlight w:val="none"/>
          <w14:textFill>
            <w14:solidFill>
              <w14:schemeClr w14:val="tx1"/>
            </w14:solidFill>
          </w14:textFill>
        </w:rPr>
        <w:t>万元，其中：人员经费</w:t>
      </w:r>
      <w:r>
        <w:rPr>
          <w:rFonts w:hint="eastAsia" w:ascii="仿宋" w:hAnsi="仿宋" w:eastAsia="仿宋" w:cs="仿宋"/>
          <w:color w:val="000000" w:themeColor="text1"/>
          <w:sz w:val="32"/>
          <w:szCs w:val="32"/>
          <w:highlight w:val="none"/>
          <w:lang w:val="en-US"/>
          <w14:textFill>
            <w14:solidFill>
              <w14:schemeClr w14:val="tx1"/>
            </w14:solidFill>
          </w14:textFill>
        </w:rPr>
        <w:t>5,538.49</w:t>
      </w:r>
      <w:r>
        <w:rPr>
          <w:rFonts w:hint="eastAsia" w:ascii="仿宋" w:hAnsi="仿宋" w:eastAsia="仿宋" w:cs="仿宋"/>
          <w:color w:val="000000" w:themeColor="text1"/>
          <w:sz w:val="32"/>
          <w:szCs w:val="32"/>
          <w:highlight w:val="none"/>
          <w14:textFill>
            <w14:solidFill>
              <w14:schemeClr w14:val="tx1"/>
            </w14:solidFill>
          </w14:textFill>
        </w:rPr>
        <w:t>万元，主要包括：工资福利支出5,443.07万元，其中基本工资1,422.19万元、津贴补贴1,608.32万元、奖金846.66万元、伙食补助费0.28万元、机关事业单位基本养老保险缴费514.32万元、职业年金缴费279.79万元、职工基本医疗保险缴费179.23万元、其他社会保障缴费2.33万元、住房公积金464.37万元、医疗费17.67万元、其他工资福利支出107.92万元；对个人和家庭的补助95.42万元，其中抚恤金38.76万元、生活补助32.95万元、救济费1.15万元、奖励金1.70万元、其他对个人和家庭的补助20.87万元。公用经费</w:t>
      </w:r>
      <w:r>
        <w:rPr>
          <w:rFonts w:hint="eastAsia" w:ascii="仿宋" w:hAnsi="仿宋" w:eastAsia="仿宋" w:cs="仿宋"/>
          <w:color w:val="000000" w:themeColor="text1"/>
          <w:sz w:val="32"/>
          <w:szCs w:val="32"/>
          <w:highlight w:val="none"/>
          <w:lang w:val="en-US"/>
          <w14:textFill>
            <w14:solidFill>
              <w14:schemeClr w14:val="tx1"/>
            </w14:solidFill>
          </w14:textFill>
        </w:rPr>
        <w:t>701.39</w:t>
      </w:r>
      <w:r>
        <w:rPr>
          <w:rFonts w:hint="eastAsia" w:ascii="仿宋" w:hAnsi="仿宋" w:eastAsia="仿宋" w:cs="仿宋"/>
          <w:color w:val="000000" w:themeColor="text1"/>
          <w:sz w:val="32"/>
          <w:szCs w:val="32"/>
          <w:highlight w:val="none"/>
          <w14:textFill>
            <w14:solidFill>
              <w14:schemeClr w14:val="tx1"/>
            </w14:solidFill>
          </w14:textFill>
        </w:rPr>
        <w:t>万元，主要包括：</w:t>
      </w:r>
      <w:r>
        <w:rPr>
          <w:rFonts w:hint="eastAsia" w:ascii="仿宋" w:hAnsi="仿宋" w:eastAsia="仿宋" w:cs="仿宋"/>
          <w:color w:val="000000" w:themeColor="text1"/>
          <w:sz w:val="32"/>
          <w:szCs w:val="32"/>
          <w:highlight w:val="none"/>
          <w14:textFill>
            <w14:solidFill>
              <w14:schemeClr w14:val="tx1"/>
            </w14:solidFill>
          </w14:textFill>
        </w:rPr>
        <w:t>商品和服务支出698.54万元，其中办公费72.89万元、印刷费0.58万元、手续费0.72万元、邮电费60.95万元、差旅费2.97万元、因公出国（境）费用27.25万元、维修（护）费9.40万元、租赁费15.55万元、会议费0.50万元、培训费7.25万元、公务接待费5.68万元、专用材料费0.65万元、委托业务费1.43万元、工会经费76.78万元、公务用车运行维护费19.48万元、其他交通费用242.90万元、其他商品和服务支出153.56万元；资本性支出2.85万元，其中办公设备购置0.99万元、其他交通工具购置1.86万元。</w:t>
      </w:r>
    </w:p>
    <w:p w14:paraId="7241B08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七、政府性基金预算财政拨款支出决算情况说明</w:t>
      </w:r>
    </w:p>
    <w:p w14:paraId="643B85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（一）政府性基金预算财政拨款支出决算总体情况</w:t>
      </w:r>
    </w:p>
    <w:p w14:paraId="0E502A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年度政府性基金预算财政拨款支出</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万元，占本年支出合计的</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%。与2024年度相比持平，主要原因是</w:t>
      </w:r>
      <w:r>
        <w:rPr>
          <w:rFonts w:hint="eastAsia" w:ascii="仿宋" w:hAnsi="仿宋" w:eastAsia="仿宋" w:cs="仿宋"/>
          <w:color w:val="000000" w:themeColor="text1"/>
          <w:sz w:val="32"/>
          <w:szCs w:val="32"/>
          <w:highlight w:val="none"/>
          <w:lang w:val="en-US" w:eastAsia="zh-CN"/>
          <w14:textFill>
            <w14:solidFill>
              <w14:schemeClr w14:val="tx1"/>
            </w14:solidFill>
          </w14:textFill>
        </w:rPr>
        <w:t>厅本级</w:t>
      </w:r>
      <w:r>
        <w:rPr>
          <w:rFonts w:hint="eastAsia" w:ascii="仿宋" w:hAnsi="仿宋" w:eastAsia="仿宋" w:cs="仿宋"/>
          <w:color w:val="000000" w:themeColor="text1"/>
          <w:sz w:val="32"/>
          <w:szCs w:val="32"/>
          <w:highlight w:val="none"/>
          <w14:textFill>
            <w14:solidFill>
              <w14:schemeClr w14:val="tx1"/>
            </w14:solidFill>
          </w14:textFill>
        </w:rPr>
        <w:t>无政府性基金预算财政拨款。</w:t>
      </w:r>
    </w:p>
    <w:p w14:paraId="06BD91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（二）政府性基金预算财政拨款支出决算结构情况</w:t>
      </w:r>
    </w:p>
    <w:p w14:paraId="7B5BDB8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年度政府性基金预算财政拨款支出</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万元，无相关支出。</w:t>
      </w:r>
    </w:p>
    <w:p w14:paraId="2AA579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（三）政府性基金预算财政拨款支出决算具体情况</w:t>
      </w:r>
    </w:p>
    <w:p w14:paraId="5E2A6D6E">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年度政府性基金预算财政拨款支出年初预算为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万元，支出决算为</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万元，完成年初预算的</w:t>
      </w:r>
      <w:r>
        <w:rPr>
          <w:rFonts w:hint="eastAsia" w:ascii="仿宋" w:hAnsi="仿宋" w:eastAsia="仿宋" w:cs="仿宋"/>
          <w:color w:val="000000" w:themeColor="text1"/>
          <w:sz w:val="32"/>
          <w:szCs w:val="32"/>
          <w:highlight w:val="none"/>
          <w:lang w:val="en-US" w:eastAsia="zh-CN"/>
          <w14:textFill>
            <w14:solidFill>
              <w14:schemeClr w14:val="tx1"/>
            </w14:solidFill>
          </w14:textFill>
        </w:rPr>
        <w:t>100</w:t>
      </w:r>
      <w:r>
        <w:rPr>
          <w:rFonts w:hint="eastAsia" w:ascii="仿宋" w:hAnsi="仿宋" w:eastAsia="仿宋" w:cs="仿宋"/>
          <w:color w:val="000000" w:themeColor="text1"/>
          <w:sz w:val="32"/>
          <w:szCs w:val="32"/>
          <w:highlight w:val="none"/>
          <w14:textFill>
            <w14:solidFill>
              <w14:schemeClr w14:val="tx1"/>
            </w14:solidFill>
          </w14:textFill>
        </w:rPr>
        <w:t>%。</w:t>
      </w:r>
    </w:p>
    <w:p w14:paraId="101E92BC">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八、国有资本经营预算财政拨款支出决算情况说明</w:t>
      </w:r>
    </w:p>
    <w:p w14:paraId="5A44B18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（一）国有资本经营预算财政拨款支出决算总体情况</w:t>
      </w:r>
    </w:p>
    <w:p w14:paraId="5545C34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2025年度国有资本经营预算财政拨款支出0.00万元，占本年支出合计的0.00%。与2024年度相比持平，主要原因是我厅无国有资本经营预算拨款。</w:t>
      </w:r>
    </w:p>
    <w:p w14:paraId="06BC159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（二）国有资本经营预算财政拨款支出决算结构情况</w:t>
      </w:r>
    </w:p>
    <w:p w14:paraId="7121E6C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2025年度国有资本经营预算财政拨款支出0.00万元，无相关支出。</w:t>
      </w:r>
    </w:p>
    <w:p w14:paraId="342F90C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（三）国有资本经营预算财政拨款支出决算具体情况</w:t>
      </w:r>
    </w:p>
    <w:p w14:paraId="522EA6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2025年度国有资本经营预算财政拨款支出年初预算为0.00万元，支出决算为0.00万元，完成年初预算的100.00%。</w:t>
      </w:r>
    </w:p>
    <w:p w14:paraId="5834EC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九、财政拨款“三公”经费支出决算情况说明</w:t>
      </w:r>
    </w:p>
    <w:p w14:paraId="18F9E7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000000" w:themeColor="text1"/>
          <w:sz w:val="32"/>
          <w:szCs w:val="32"/>
          <w:highlight w:val="none"/>
          <w14:textFill>
            <w14:solidFill>
              <w14:schemeClr w14:val="tx1"/>
            </w14:solidFill>
          </w14:textFill>
        </w:rPr>
      </w:pPr>
      <w:r>
        <w:rPr>
          <w:rFonts w:hint="eastAsia" w:ascii="楷体" w:hAnsi="楷体" w:eastAsia="楷体" w:cs="楷体"/>
          <w:bCs/>
          <w:color w:val="000000" w:themeColor="text1"/>
          <w:sz w:val="32"/>
          <w:szCs w:val="32"/>
          <w:highlight w:val="none"/>
          <w14:textFill>
            <w14:solidFill>
              <w14:schemeClr w14:val="tx1"/>
            </w14:solidFill>
          </w14:textFill>
        </w:rPr>
        <w:t>（一）财政拨款“三公”经费支出决算总体情况说明</w:t>
      </w:r>
    </w:p>
    <w:p w14:paraId="10E59BB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年度财政拨款“三公”经费支出预算为105.10万元，支出决算为74.87万元，完成预算的71.24%，与2024年度相比，“三公”经费支出增加0.60万元，增长0.81%，主要原因是因公出国（境）任务较上年有所增加，公务用车运行维护、公务接待严格落实厉行节约过紧日子要求，总体支出规模基本持平</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14:paraId="0787B1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t>（二）财政拨款“三公”经费支出决算具体情况说明</w:t>
      </w:r>
    </w:p>
    <w:p w14:paraId="119C79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2025年度财政拨款“三公”经费支出决算中，因公出国（境）费用支出决算49.70万元，占66.38%；公务用车购置及运行维护费支出决算19.48万元，占26.02%；公务接待费支出决算5.68万元，占7.59%。具体情况如下</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14:paraId="734A431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val="0"/>
          <w:bCs/>
          <w:color w:val="000000" w:themeColor="text1"/>
          <w:sz w:val="32"/>
          <w:szCs w:val="32"/>
          <w:highlight w:val="none"/>
          <w14:textFill>
            <w14:solidFill>
              <w14:schemeClr w14:val="tx1"/>
            </w14:solidFill>
          </w14:textFill>
        </w:rPr>
      </w:pPr>
      <w:r>
        <w:rPr>
          <w:rFonts w:hint="eastAsia" w:ascii="仿宋" w:hAnsi="仿宋" w:eastAsia="仿宋" w:cs="仿宋"/>
          <w:b w:val="0"/>
          <w:bCs/>
          <w:color w:val="000000" w:themeColor="text1"/>
          <w:sz w:val="32"/>
          <w:szCs w:val="32"/>
          <w:highlight w:val="none"/>
          <w14:textFill>
            <w14:solidFill>
              <w14:schemeClr w14:val="tx1"/>
            </w14:solidFill>
          </w14:textFill>
        </w:rPr>
        <w:t>1.因公出国（境）费用支出49.70万元。全年安排因公出国（境）团组</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5</w:t>
      </w:r>
      <w:r>
        <w:rPr>
          <w:rFonts w:hint="eastAsia" w:ascii="仿宋" w:hAnsi="仿宋" w:eastAsia="仿宋" w:cs="仿宋"/>
          <w:b w:val="0"/>
          <w:bCs/>
          <w:color w:val="000000" w:themeColor="text1"/>
          <w:sz w:val="32"/>
          <w:szCs w:val="32"/>
          <w:highlight w:val="none"/>
          <w14:textFill>
            <w14:solidFill>
              <w14:schemeClr w14:val="tx1"/>
            </w14:solidFill>
          </w14:textFill>
        </w:rPr>
        <w:t>个，因公出国（境）</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8</w:t>
      </w:r>
      <w:r>
        <w:rPr>
          <w:rFonts w:hint="eastAsia" w:ascii="仿宋" w:hAnsi="仿宋" w:eastAsia="仿宋" w:cs="仿宋"/>
          <w:b w:val="0"/>
          <w:bCs/>
          <w:color w:val="000000" w:themeColor="text1"/>
          <w:sz w:val="32"/>
          <w:szCs w:val="32"/>
          <w:highlight w:val="none"/>
          <w14:textFill>
            <w14:solidFill>
              <w14:schemeClr w14:val="tx1"/>
            </w14:solidFill>
          </w14:textFill>
        </w:rPr>
        <w:t>人次。开支内容包括：</w:t>
      </w:r>
    </w:p>
    <w:p w14:paraId="505356A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val="0"/>
          <w:bCs/>
          <w:color w:val="000000" w:themeColor="text1"/>
          <w:sz w:val="32"/>
          <w:szCs w:val="32"/>
          <w:highlight w:val="none"/>
          <w:lang w:eastAsia="zh-CN"/>
          <w14:textFill>
            <w14:solidFill>
              <w14:schemeClr w14:val="tx1"/>
            </w14:solidFill>
          </w14:textFill>
        </w:rPr>
      </w:pPr>
      <w:r>
        <w:rPr>
          <w:rFonts w:hint="eastAsia" w:ascii="仿宋" w:hAnsi="仿宋" w:eastAsia="仿宋" w:cs="仿宋"/>
          <w:b w:val="0"/>
          <w:bCs/>
          <w:color w:val="000000" w:themeColor="text1"/>
          <w:sz w:val="32"/>
          <w:szCs w:val="32"/>
          <w:highlight w:val="none"/>
          <w14:textFill>
            <w14:solidFill>
              <w14:schemeClr w14:val="tx1"/>
            </w14:solidFill>
          </w14:textFill>
        </w:rPr>
        <w:t>（1）赴美国、安提瓜和巴布达团支出</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15.29万</w:t>
      </w:r>
      <w:r>
        <w:rPr>
          <w:rFonts w:hint="eastAsia" w:ascii="仿宋" w:hAnsi="仿宋" w:eastAsia="仿宋" w:cs="仿宋"/>
          <w:b w:val="0"/>
          <w:bCs/>
          <w:color w:val="000000" w:themeColor="text1"/>
          <w:sz w:val="32"/>
          <w:szCs w:val="32"/>
          <w:highlight w:val="none"/>
          <w14:textFill>
            <w14:solidFill>
              <w14:schemeClr w14:val="tx1"/>
            </w14:solidFill>
          </w14:textFill>
        </w:rPr>
        <w:t>元。主要用于朱文婷1人，2025年9月随省领导赴美国、安提瓜和巴布达团访问，深化与美国加州多领域合作，推介自贸港政策，拓展友城与侨务资源联动；出访安提瓜和巴布达，践行中拉命运共同体理念，推进友城缔结，深化农渔业务实合作，夯实双边友好关系</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w:t>
      </w:r>
    </w:p>
    <w:p w14:paraId="64F7A68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val="0"/>
          <w:bCs/>
          <w:color w:val="000000" w:themeColor="text1"/>
          <w:sz w:val="32"/>
          <w:szCs w:val="32"/>
          <w:highlight w:val="none"/>
          <w:lang w:eastAsia="zh-CN"/>
          <w14:textFill>
            <w14:solidFill>
              <w14:schemeClr w14:val="tx1"/>
            </w14:solidFill>
          </w14:textFill>
        </w:rPr>
      </w:pPr>
      <w:r>
        <w:rPr>
          <w:rFonts w:hint="eastAsia" w:ascii="仿宋" w:hAnsi="仿宋" w:eastAsia="仿宋" w:cs="仿宋"/>
          <w:b w:val="0"/>
          <w:bCs/>
          <w:color w:val="000000" w:themeColor="text1"/>
          <w:sz w:val="32"/>
          <w:szCs w:val="32"/>
          <w:highlight w:val="none"/>
          <w14:textFill>
            <w14:solidFill>
              <w14:schemeClr w14:val="tx1"/>
            </w14:solidFill>
          </w14:textFill>
        </w:rPr>
        <w:t>（2）赴新西兰团支出</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22.45万</w:t>
      </w:r>
      <w:r>
        <w:rPr>
          <w:rFonts w:hint="eastAsia" w:ascii="仿宋" w:hAnsi="仿宋" w:eastAsia="仿宋" w:cs="仿宋"/>
          <w:b w:val="0"/>
          <w:bCs/>
          <w:color w:val="000000" w:themeColor="text1"/>
          <w:sz w:val="32"/>
          <w:szCs w:val="32"/>
          <w:highlight w:val="none"/>
          <w14:textFill>
            <w14:solidFill>
              <w14:schemeClr w14:val="tx1"/>
            </w14:solidFill>
          </w14:textFill>
        </w:rPr>
        <w:t>元。主要用于李芸、谢有志、迟庆安等3人，2025年9月，我省赴新西兰开展人兽共患病防控合作交流，通过座谈研讨、实地观摩、技术对接，在专业技术、养殖模式、产业体系及人才培养方面取得务实成果，为海南畜牧业高质量发展补齐短板、夯实根基提供了宝贵经验</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w:t>
      </w:r>
    </w:p>
    <w:p w14:paraId="4A429B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val="0"/>
          <w:bCs/>
          <w:color w:val="000000" w:themeColor="text1"/>
          <w:sz w:val="32"/>
          <w:szCs w:val="32"/>
          <w:highlight w:val="none"/>
          <w:lang w:eastAsia="zh-CN"/>
          <w14:textFill>
            <w14:solidFill>
              <w14:schemeClr w14:val="tx1"/>
            </w14:solidFill>
          </w14:textFill>
        </w:rPr>
      </w:pPr>
      <w:r>
        <w:rPr>
          <w:rFonts w:hint="eastAsia" w:ascii="仿宋" w:hAnsi="仿宋" w:eastAsia="仿宋" w:cs="仿宋"/>
          <w:b w:val="0"/>
          <w:bCs/>
          <w:color w:val="000000" w:themeColor="text1"/>
          <w:sz w:val="32"/>
          <w:szCs w:val="32"/>
          <w:highlight w:val="none"/>
          <w14:textFill>
            <w14:solidFill>
              <w14:schemeClr w14:val="tx1"/>
            </w14:solidFill>
          </w14:textFill>
        </w:rPr>
        <w:t>（3）赴意大利、西班牙团支出</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3.58万</w:t>
      </w:r>
      <w:r>
        <w:rPr>
          <w:rFonts w:hint="eastAsia" w:ascii="仿宋" w:hAnsi="仿宋" w:eastAsia="仿宋" w:cs="仿宋"/>
          <w:b w:val="0"/>
          <w:bCs/>
          <w:color w:val="000000" w:themeColor="text1"/>
          <w:sz w:val="32"/>
          <w:szCs w:val="32"/>
          <w:highlight w:val="none"/>
          <w14:textFill>
            <w14:solidFill>
              <w14:schemeClr w14:val="tx1"/>
            </w14:solidFill>
          </w14:textFill>
        </w:rPr>
        <w:t>元。主要用于邓红燕1人，2025年6月随省领导团赴意大利拜访联合国粮农组织总干事屈冬玉，推进海南与粮农组织合作谅解备忘录</w:t>
      </w:r>
      <w:r>
        <w:rPr>
          <w:rFonts w:hint="eastAsia" w:ascii="仿宋" w:hAnsi="仿宋" w:eastAsia="仿宋" w:cs="仿宋"/>
          <w:b w:val="0"/>
          <w:bCs/>
          <w:color w:val="000000" w:themeColor="text1"/>
          <w:sz w:val="32"/>
          <w:szCs w:val="32"/>
          <w:highlight w:val="none"/>
          <w:lang w:eastAsia="zh-CN"/>
          <w14:textFill>
            <w14:solidFill>
              <w14:schemeClr w14:val="tx1"/>
            </w14:solidFill>
          </w14:textFill>
        </w:rPr>
        <w:t>签订</w:t>
      </w:r>
      <w:r>
        <w:rPr>
          <w:rFonts w:hint="eastAsia" w:ascii="仿宋" w:hAnsi="仿宋" w:eastAsia="仿宋" w:cs="仿宋"/>
          <w:b w:val="0"/>
          <w:bCs/>
          <w:color w:val="000000" w:themeColor="text1"/>
          <w:sz w:val="32"/>
          <w:szCs w:val="32"/>
          <w:highlight w:val="none"/>
          <w14:textFill>
            <w14:solidFill>
              <w14:schemeClr w14:val="tx1"/>
            </w14:solidFill>
          </w14:textFill>
        </w:rPr>
        <w:t>，推动海南与粮农组织在农业科技、文化等方面交流合作</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w:t>
      </w:r>
    </w:p>
    <w:p w14:paraId="1565C7B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val="0"/>
          <w:bCs/>
          <w:color w:val="000000" w:themeColor="text1"/>
          <w:sz w:val="32"/>
          <w:szCs w:val="32"/>
          <w:highlight w:val="none"/>
          <w:lang w:eastAsia="zh-CN"/>
          <w14:textFill>
            <w14:solidFill>
              <w14:schemeClr w14:val="tx1"/>
            </w14:solidFill>
          </w14:textFill>
        </w:rPr>
      </w:pPr>
      <w:r>
        <w:rPr>
          <w:rFonts w:hint="eastAsia" w:ascii="仿宋" w:hAnsi="仿宋" w:eastAsia="仿宋" w:cs="仿宋"/>
          <w:b w:val="0"/>
          <w:bCs/>
          <w:color w:val="000000" w:themeColor="text1"/>
          <w:sz w:val="32"/>
          <w:szCs w:val="32"/>
          <w:highlight w:val="none"/>
          <w14:textFill>
            <w14:solidFill>
              <w14:schemeClr w14:val="tx1"/>
            </w14:solidFill>
          </w14:textFill>
        </w:rPr>
        <w:t>（4）赴斯里兰卡、马尔代夫团支出</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5.81万</w:t>
      </w:r>
      <w:r>
        <w:rPr>
          <w:rFonts w:hint="eastAsia" w:ascii="仿宋" w:hAnsi="仿宋" w:eastAsia="仿宋" w:cs="仿宋"/>
          <w:b w:val="0"/>
          <w:bCs/>
          <w:color w:val="000000" w:themeColor="text1"/>
          <w:sz w:val="32"/>
          <w:szCs w:val="32"/>
          <w:highlight w:val="none"/>
          <w14:textFill>
            <w14:solidFill>
              <w14:schemeClr w14:val="tx1"/>
            </w14:solidFill>
          </w14:textFill>
        </w:rPr>
        <w:t>元。主要用于倪兴秀1人2025年11月随省领导团赴斯里兰卡、马尔代夫出访，深化海南与斯里兰卡、马尔代夫农渔领域务实合作，对接两国农业渔业部门，推进椰子产业、育种养殖技术交流与培训，签署相关合作协议，宣讲自贸港政策，服务国家外交与南南合作大局</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w:t>
      </w:r>
    </w:p>
    <w:p w14:paraId="3E49B1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val="0"/>
          <w:bCs/>
          <w:color w:val="000000" w:themeColor="text1"/>
          <w:sz w:val="32"/>
          <w:szCs w:val="32"/>
          <w:highlight w:val="none"/>
          <w:lang w:eastAsia="zh-CN"/>
          <w14:textFill>
            <w14:solidFill>
              <w14:schemeClr w14:val="tx1"/>
            </w14:solidFill>
          </w14:textFill>
        </w:rPr>
      </w:pPr>
      <w:r>
        <w:rPr>
          <w:rFonts w:hint="eastAsia" w:ascii="仿宋" w:hAnsi="仿宋" w:eastAsia="仿宋" w:cs="仿宋"/>
          <w:b w:val="0"/>
          <w:bCs/>
          <w:color w:val="000000" w:themeColor="text1"/>
          <w:sz w:val="32"/>
          <w:szCs w:val="32"/>
          <w:highlight w:val="none"/>
          <w14:textFill>
            <w14:solidFill>
              <w14:schemeClr w14:val="tx1"/>
            </w14:solidFill>
          </w14:textFill>
        </w:rPr>
        <w:t>（5）访问香港团支出</w:t>
      </w:r>
      <w:r>
        <w:rPr>
          <w:rFonts w:hint="eastAsia" w:ascii="仿宋" w:hAnsi="仿宋" w:eastAsia="仿宋" w:cs="仿宋"/>
          <w:b w:val="0"/>
          <w:bCs/>
          <w:color w:val="000000" w:themeColor="text1"/>
          <w:sz w:val="32"/>
          <w:szCs w:val="32"/>
          <w:highlight w:val="none"/>
          <w:lang w:val="en-US" w:eastAsia="zh-CN"/>
          <w14:textFill>
            <w14:solidFill>
              <w14:schemeClr w14:val="tx1"/>
            </w14:solidFill>
          </w14:textFill>
        </w:rPr>
        <w:t>2.57万</w:t>
      </w:r>
      <w:r>
        <w:rPr>
          <w:rFonts w:hint="eastAsia" w:ascii="仿宋" w:hAnsi="仿宋" w:eastAsia="仿宋" w:cs="仿宋"/>
          <w:b w:val="0"/>
          <w:bCs/>
          <w:color w:val="000000" w:themeColor="text1"/>
          <w:sz w:val="32"/>
          <w:szCs w:val="32"/>
          <w:highlight w:val="none"/>
          <w14:textFill>
            <w14:solidFill>
              <w14:schemeClr w14:val="tx1"/>
            </w14:solidFill>
          </w14:textFill>
        </w:rPr>
        <w:t>元。主要用于马育红、邓红燕、朱文婷等3人，2025年8月赴香港组织农产品出口企业赴香港参加2025年度香港美食博</w:t>
      </w:r>
      <w:r>
        <w:rPr>
          <w:rFonts w:hint="eastAsia" w:ascii="仿宋" w:hAnsi="仿宋" w:eastAsia="仿宋" w:cs="仿宋"/>
          <w:b w:val="0"/>
          <w:bCs/>
          <w:color w:val="000000" w:themeColor="text1"/>
          <w:sz w:val="32"/>
          <w:szCs w:val="32"/>
          <w:highlight w:val="none"/>
          <w:lang w:eastAsia="zh-CN"/>
          <w14:textFill>
            <w14:solidFill>
              <w14:schemeClr w14:val="tx1"/>
            </w14:solidFill>
          </w14:textFill>
        </w:rPr>
        <w:t>览会</w:t>
      </w:r>
      <w:r>
        <w:rPr>
          <w:rFonts w:hint="eastAsia" w:ascii="仿宋" w:hAnsi="仿宋" w:eastAsia="仿宋" w:cs="仿宋"/>
          <w:b w:val="0"/>
          <w:bCs/>
          <w:color w:val="000000" w:themeColor="text1"/>
          <w:sz w:val="32"/>
          <w:szCs w:val="32"/>
          <w:highlight w:val="none"/>
          <w14:textFill>
            <w14:solidFill>
              <w14:schemeClr w14:val="tx1"/>
            </w14:solidFill>
          </w14:textFill>
        </w:rPr>
        <w:t>，并开展宣传推介和实地招商与贸易交流活动</w:t>
      </w:r>
      <w:r>
        <w:rPr>
          <w:rFonts w:hint="eastAsia" w:ascii="仿宋" w:hAnsi="仿宋" w:eastAsia="仿宋" w:cs="仿宋"/>
          <w:b w:val="0"/>
          <w:bCs/>
          <w:color w:val="000000" w:themeColor="text1"/>
          <w:sz w:val="32"/>
          <w:szCs w:val="32"/>
          <w:highlight w:val="none"/>
          <w:lang w:eastAsia="zh-CN"/>
          <w14:textFill>
            <w14:solidFill>
              <w14:schemeClr w14:val="tx1"/>
            </w14:solidFill>
          </w14:textFill>
        </w:rPr>
        <w:t>。</w:t>
      </w:r>
    </w:p>
    <w:p w14:paraId="5F0EDE8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val="0"/>
          <w:bCs/>
          <w:color w:val="000000" w:themeColor="text1"/>
          <w:sz w:val="32"/>
          <w:szCs w:val="32"/>
          <w:highlight w:val="none"/>
          <w14:textFill>
            <w14:solidFill>
              <w14:schemeClr w14:val="tx1"/>
            </w14:solidFill>
          </w14:textFill>
        </w:rPr>
        <w:t>因公出国（境）费用支出决算数比预算数减少22.8万元，完成预算的68.55%。与2024年度相比，因公出国（境）费用支出增加3.94万元，增长8.61%，主要原因是因机构改革，原乡村振兴局并入我厅，相应的出国经费基数增加。</w:t>
      </w:r>
    </w:p>
    <w:p w14:paraId="7772B67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2.公务用车购置及运行维护费</w:t>
      </w:r>
      <w:r>
        <w:rPr>
          <w:rFonts w:hint="eastAsia" w:ascii="仿宋" w:hAnsi="仿宋" w:eastAsia="仿宋" w:cs="仿宋"/>
          <w:b w:val="0"/>
          <w:bCs/>
          <w:color w:val="000000" w:themeColor="text1"/>
          <w:sz w:val="32"/>
          <w:szCs w:val="32"/>
          <w:highlight w:val="none"/>
          <w14:textFill>
            <w14:solidFill>
              <w14:schemeClr w14:val="tx1"/>
            </w14:solidFill>
          </w14:textFill>
        </w:rPr>
        <w:t>支出</w:t>
      </w:r>
      <w:r>
        <w:rPr>
          <w:rFonts w:hint="eastAsia" w:ascii="仿宋" w:hAnsi="仿宋" w:eastAsia="仿宋" w:cs="仿宋"/>
          <w:color w:val="000000" w:themeColor="text1"/>
          <w:sz w:val="32"/>
          <w:szCs w:val="32"/>
          <w:highlight w:val="none"/>
          <w:lang w:val="en-US"/>
          <w14:textFill>
            <w14:solidFill>
              <w14:schemeClr w14:val="tx1"/>
            </w14:solidFill>
          </w14:textFill>
        </w:rPr>
        <w:t>19.48</w:t>
      </w:r>
      <w:r>
        <w:rPr>
          <w:rFonts w:hint="eastAsia" w:ascii="仿宋" w:hAnsi="仿宋" w:eastAsia="仿宋" w:cs="仿宋"/>
          <w:color w:val="000000" w:themeColor="text1"/>
          <w:sz w:val="32"/>
          <w:szCs w:val="32"/>
          <w:highlight w:val="none"/>
          <w14:textFill>
            <w14:solidFill>
              <w14:schemeClr w14:val="tx1"/>
            </w14:solidFill>
          </w14:textFill>
        </w:rPr>
        <w:t>万元。其中：</w:t>
      </w:r>
    </w:p>
    <w:p w14:paraId="0BB159C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公务用车购置</w:t>
      </w:r>
      <w:r>
        <w:rPr>
          <w:rFonts w:hint="eastAsia" w:ascii="仿宋" w:hAnsi="仿宋" w:eastAsia="仿宋" w:cs="仿宋"/>
          <w:b w:val="0"/>
          <w:bCs/>
          <w:color w:val="000000" w:themeColor="text1"/>
          <w:sz w:val="32"/>
          <w:szCs w:val="32"/>
          <w:highlight w:val="none"/>
          <w14:textFill>
            <w14:solidFill>
              <w14:schemeClr w14:val="tx1"/>
            </w14:solidFill>
          </w14:textFill>
        </w:rPr>
        <w:t>支出</w:t>
      </w:r>
      <w:r>
        <w:rPr>
          <w:rFonts w:hint="eastAsia" w:ascii="仿宋" w:hAnsi="仿宋" w:eastAsia="仿宋" w:cs="仿宋"/>
          <w:color w:val="000000" w:themeColor="text1"/>
          <w:sz w:val="32"/>
          <w:szCs w:val="32"/>
          <w:highlight w:val="none"/>
          <w:lang w:val="en-US"/>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万元，全年购置公务用车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辆，年末公务用车保有量7辆（其中主要负责人用车1辆、机要通信用车1辆、应急保障用车3辆、执法执勤用车2辆）。</w:t>
      </w:r>
    </w:p>
    <w:p w14:paraId="2F0F80C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公务用车运行维护费</w:t>
      </w:r>
      <w:r>
        <w:rPr>
          <w:rFonts w:hint="eastAsia" w:ascii="仿宋" w:hAnsi="仿宋" w:eastAsia="仿宋" w:cs="仿宋"/>
          <w:color w:val="000000" w:themeColor="text1"/>
          <w:sz w:val="32"/>
          <w:szCs w:val="32"/>
          <w:highlight w:val="none"/>
          <w14:textFill>
            <w14:solidFill>
              <w14:schemeClr w14:val="tx1"/>
            </w14:solidFill>
          </w14:textFill>
        </w:rPr>
        <w:t>支出</w:t>
      </w:r>
      <w:r>
        <w:rPr>
          <w:rFonts w:hint="eastAsia" w:ascii="仿宋" w:hAnsi="仿宋" w:eastAsia="仿宋" w:cs="仿宋"/>
          <w:color w:val="000000" w:themeColor="text1"/>
          <w:sz w:val="32"/>
          <w:szCs w:val="32"/>
          <w:highlight w:val="none"/>
          <w:lang w:val="en-US"/>
          <w14:textFill>
            <w14:solidFill>
              <w14:schemeClr w14:val="tx1"/>
            </w14:solidFill>
          </w14:textFill>
        </w:rPr>
        <w:t>19.48</w:t>
      </w:r>
      <w:r>
        <w:rPr>
          <w:rFonts w:hint="eastAsia" w:ascii="仿宋" w:hAnsi="仿宋" w:eastAsia="仿宋" w:cs="仿宋"/>
          <w:color w:val="000000" w:themeColor="text1"/>
          <w:sz w:val="32"/>
          <w:szCs w:val="32"/>
          <w:highlight w:val="none"/>
          <w14:textFill>
            <w14:solidFill>
              <w14:schemeClr w14:val="tx1"/>
            </w14:solidFill>
          </w14:textFill>
        </w:rPr>
        <w:t>万元，主要用于保障机要通信、应急保障、执法执勤等公务活动所需公务用车的燃料费、维修费、过路过桥费、保险费等支出，保障开展基层农业调研、项目督查、机要文件传递等公务出行。</w:t>
      </w:r>
    </w:p>
    <w:p w14:paraId="48DB029E">
      <w:pPr>
        <w:pStyle w:val="7"/>
        <w:keepNext w:val="0"/>
        <w:keepLines w:val="0"/>
        <w:widowControl/>
        <w:suppressLineNumbers w:val="0"/>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Cs/>
          <w:color w:val="000000" w:themeColor="text1"/>
          <w:sz w:val="32"/>
          <w:szCs w:val="32"/>
          <w:highlight w:val="none"/>
          <w14:textFill>
            <w14:solidFill>
              <w14:schemeClr w14:val="tx1"/>
            </w14:solidFill>
          </w14:textFill>
        </w:rPr>
        <w:t>公务用车购置及运行维护费支出决算数比预算数减少0.12万元，完成预算的99.39%</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与</w:t>
      </w:r>
      <w:r>
        <w:rPr>
          <w:rFonts w:hint="eastAsia" w:ascii="仿宋" w:hAnsi="仿宋" w:eastAsia="仿宋" w:cs="仿宋"/>
          <w:color w:val="000000" w:themeColor="text1"/>
          <w:sz w:val="32"/>
          <w:szCs w:val="32"/>
          <w:highlight w:val="none"/>
          <w:lang w:val="en-US"/>
          <w14:textFill>
            <w14:solidFill>
              <w14:schemeClr w14:val="tx1"/>
            </w14:solidFill>
          </w14:textFill>
        </w:rPr>
        <w:t>2024</w:t>
      </w:r>
      <w:r>
        <w:rPr>
          <w:rFonts w:hint="eastAsia" w:ascii="仿宋" w:hAnsi="仿宋" w:eastAsia="仿宋" w:cs="仿宋"/>
          <w:color w:val="000000" w:themeColor="text1"/>
          <w:sz w:val="32"/>
          <w:szCs w:val="32"/>
          <w:highlight w:val="none"/>
          <w14:textFill>
            <w14:solidFill>
              <w14:schemeClr w14:val="tx1"/>
            </w14:solidFill>
          </w14:textFill>
        </w:rPr>
        <w:t>年度相比，</w:t>
      </w:r>
      <w:r>
        <w:rPr>
          <w:rFonts w:hint="eastAsia" w:ascii="仿宋" w:hAnsi="仿宋" w:eastAsia="仿宋" w:cs="仿宋"/>
          <w:bCs/>
          <w:color w:val="000000" w:themeColor="text1"/>
          <w:sz w:val="32"/>
          <w:szCs w:val="32"/>
          <w:highlight w:val="none"/>
          <w14:textFill>
            <w14:solidFill>
              <w14:schemeClr w14:val="tx1"/>
            </w14:solidFill>
          </w14:textFill>
        </w:rPr>
        <w:t>公务用车购置及运行维护费</w:t>
      </w:r>
      <w:r>
        <w:rPr>
          <w:rFonts w:hint="eastAsia" w:ascii="仿宋" w:hAnsi="仿宋" w:eastAsia="仿宋" w:cs="仿宋"/>
          <w:color w:val="000000" w:themeColor="text1"/>
          <w:sz w:val="32"/>
          <w:szCs w:val="32"/>
          <w:highlight w:val="none"/>
          <w14:textFill>
            <w14:solidFill>
              <w14:schemeClr w14:val="tx1"/>
            </w14:solidFill>
          </w14:textFill>
        </w:rPr>
        <w:t>支出减少2.18万元，下降10.06%，主要原因是加强公务用车使用管理，规范车辆运维</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维修、燃油等运行成本。</w:t>
      </w:r>
    </w:p>
    <w:p w14:paraId="4815CAD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3.公务接待费</w:t>
      </w:r>
      <w:r>
        <w:rPr>
          <w:rFonts w:hint="eastAsia" w:ascii="仿宋" w:hAnsi="仿宋" w:eastAsia="仿宋" w:cs="仿宋"/>
          <w:b w:val="0"/>
          <w:bCs/>
          <w:color w:val="000000" w:themeColor="text1"/>
          <w:sz w:val="32"/>
          <w:szCs w:val="32"/>
          <w:highlight w:val="none"/>
          <w14:textFill>
            <w14:solidFill>
              <w14:schemeClr w14:val="tx1"/>
            </w14:solidFill>
          </w14:textFill>
        </w:rPr>
        <w:t>支出</w:t>
      </w:r>
      <w:r>
        <w:rPr>
          <w:rFonts w:hint="eastAsia" w:ascii="仿宋" w:hAnsi="仿宋" w:eastAsia="仿宋" w:cs="仿宋"/>
          <w:color w:val="000000" w:themeColor="text1"/>
          <w:sz w:val="32"/>
          <w:szCs w:val="32"/>
          <w:highlight w:val="none"/>
          <w:lang w:val="en-US"/>
          <w14:textFill>
            <w14:solidFill>
              <w14:schemeClr w14:val="tx1"/>
            </w14:solidFill>
          </w14:textFill>
        </w:rPr>
        <w:t>5.68</w:t>
      </w:r>
      <w:r>
        <w:rPr>
          <w:rFonts w:hint="eastAsia" w:ascii="仿宋" w:hAnsi="仿宋" w:eastAsia="仿宋" w:cs="仿宋"/>
          <w:color w:val="000000" w:themeColor="text1"/>
          <w:sz w:val="32"/>
          <w:szCs w:val="32"/>
          <w:highlight w:val="none"/>
          <w14:textFill>
            <w14:solidFill>
              <w14:schemeClr w14:val="tx1"/>
            </w14:solidFill>
          </w14:textFill>
        </w:rPr>
        <w:t>万元，其中：</w:t>
      </w:r>
    </w:p>
    <w:p w14:paraId="0444BB1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国内接待费</w:t>
      </w:r>
      <w:r>
        <w:rPr>
          <w:rFonts w:hint="eastAsia" w:ascii="仿宋" w:hAnsi="仿宋" w:eastAsia="仿宋" w:cs="仿宋"/>
          <w:color w:val="000000" w:themeColor="text1"/>
          <w:sz w:val="32"/>
          <w:szCs w:val="32"/>
          <w:highlight w:val="none"/>
          <w14:textFill>
            <w14:solidFill>
              <w14:schemeClr w14:val="tx1"/>
            </w14:solidFill>
          </w14:textFill>
        </w:rPr>
        <w:t>支出</w:t>
      </w:r>
      <w:r>
        <w:rPr>
          <w:rFonts w:hint="eastAsia" w:ascii="仿宋" w:hAnsi="仿宋" w:eastAsia="仿宋" w:cs="仿宋"/>
          <w:color w:val="000000" w:themeColor="text1"/>
          <w:sz w:val="32"/>
          <w:szCs w:val="32"/>
          <w:highlight w:val="none"/>
          <w:lang w:val="en-US"/>
          <w14:textFill>
            <w14:solidFill>
              <w14:schemeClr w14:val="tx1"/>
            </w14:solidFill>
          </w14:textFill>
        </w:rPr>
        <w:t>5.68</w:t>
      </w:r>
      <w:r>
        <w:rPr>
          <w:rFonts w:hint="eastAsia" w:ascii="仿宋" w:hAnsi="仿宋" w:eastAsia="仿宋" w:cs="仿宋"/>
          <w:color w:val="000000" w:themeColor="text1"/>
          <w:sz w:val="32"/>
          <w:szCs w:val="32"/>
          <w:highlight w:val="none"/>
          <w14:textFill>
            <w14:solidFill>
              <w14:schemeClr w14:val="tx1"/>
            </w14:solidFill>
          </w14:textFill>
        </w:rPr>
        <w:t>万元，国内公务接待42批次，接待339人次。</w:t>
      </w:r>
    </w:p>
    <w:p w14:paraId="4AC126C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国（境）外接待费</w:t>
      </w:r>
      <w:r>
        <w:rPr>
          <w:rFonts w:hint="eastAsia" w:ascii="仿宋" w:hAnsi="仿宋" w:eastAsia="仿宋" w:cs="仿宋"/>
          <w:color w:val="000000" w:themeColor="text1"/>
          <w:sz w:val="32"/>
          <w:szCs w:val="32"/>
          <w:highlight w:val="none"/>
          <w14:textFill>
            <w14:solidFill>
              <w14:schemeClr w14:val="tx1"/>
            </w14:solidFill>
          </w14:textFill>
        </w:rPr>
        <w:t>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0.00</w:t>
      </w:r>
      <w:r>
        <w:rPr>
          <w:rFonts w:hint="eastAsia" w:ascii="仿宋" w:hAnsi="仿宋" w:eastAsia="仿宋" w:cs="仿宋"/>
          <w:color w:val="000000" w:themeColor="text1"/>
          <w:sz w:val="32"/>
          <w:szCs w:val="32"/>
          <w:highlight w:val="none"/>
          <w14:textFill>
            <w14:solidFill>
              <w14:schemeClr w14:val="tx1"/>
            </w14:solidFill>
          </w14:textFill>
        </w:rPr>
        <w:t>万元，国（境）外公务接待</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批次，接待</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人次。</w:t>
      </w:r>
    </w:p>
    <w:p w14:paraId="0374301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公务接待费支出决算数比预算数减少7.32万元，完成预算的43.69%。与2024年度相比，公务接待费支出减少1.16万元，下降16.96%，主要原因是严格执行公务接待管理规定，坚持厉行节约，从严压缩接待规模、标准，压减非必要公务接待。</w:t>
      </w:r>
    </w:p>
    <w:p w14:paraId="3B8181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十、预算绩效情况说明</w:t>
      </w:r>
    </w:p>
    <w:p w14:paraId="16F958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000000" w:themeColor="text1"/>
          <w:sz w:val="32"/>
          <w:szCs w:val="32"/>
          <w:highlight w:val="none"/>
          <w14:textFill>
            <w14:solidFill>
              <w14:schemeClr w14:val="tx1"/>
            </w14:solidFill>
          </w14:textFill>
        </w:rPr>
      </w:pPr>
      <w:r>
        <w:rPr>
          <w:rFonts w:hint="eastAsia" w:ascii="楷体" w:hAnsi="楷体" w:eastAsia="楷体" w:cs="楷体"/>
          <w:bCs/>
          <w:color w:val="000000" w:themeColor="text1"/>
          <w:sz w:val="32"/>
          <w:szCs w:val="32"/>
          <w:highlight w:val="none"/>
          <w14:textFill>
            <w14:solidFill>
              <w14:schemeClr w14:val="tx1"/>
            </w14:solidFill>
          </w14:textFill>
        </w:rPr>
        <w:t>（一）绩效管理工作开展情况</w:t>
      </w:r>
    </w:p>
    <w:p w14:paraId="3ED8D3C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根据财政预算绩效管理要求，可按照如下格式说明：根据预算管理要求，我部门（单位）组织对</w:t>
      </w: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年度一般公共预算项目支出全面开展绩效自评</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共涉及资金11023.86万元，占一般公共预算项目支出总额的100%</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bidi="ar"/>
          <w14:textFill>
            <w14:solidFill>
              <w14:schemeClr w14:val="tx1"/>
            </w14:solidFill>
          </w14:textFill>
        </w:rPr>
        <w:t>组织对</w:t>
      </w:r>
      <w:r>
        <w:rPr>
          <w:rFonts w:hint="eastAsia" w:ascii="仿宋" w:hAnsi="仿宋" w:eastAsia="仿宋" w:cs="仿宋"/>
          <w:color w:val="000000" w:themeColor="text1"/>
          <w:sz w:val="32"/>
          <w:szCs w:val="32"/>
          <w:highlight w:val="none"/>
          <w:lang w:val="en-US" w:bidi="ar"/>
          <w14:textFill>
            <w14:solidFill>
              <w14:schemeClr w14:val="tx1"/>
            </w14:solidFill>
          </w14:textFill>
        </w:rPr>
        <w:t>2025</w:t>
      </w:r>
      <w:r>
        <w:rPr>
          <w:rFonts w:hint="eastAsia" w:ascii="仿宋" w:hAnsi="仿宋" w:eastAsia="仿宋" w:cs="仿宋"/>
          <w:color w:val="000000" w:themeColor="text1"/>
          <w:sz w:val="32"/>
          <w:szCs w:val="32"/>
          <w:highlight w:val="none"/>
          <w:lang w:bidi="ar"/>
          <w14:textFill>
            <w14:solidFill>
              <w14:schemeClr w14:val="tx1"/>
            </w14:solidFill>
          </w14:textFill>
        </w:rPr>
        <w:t>年度</w:t>
      </w:r>
      <w:r>
        <w:rPr>
          <w:rFonts w:hint="eastAsia" w:ascii="仿宋" w:hAnsi="仿宋" w:eastAsia="仿宋" w:cs="仿宋"/>
          <w:color w:val="000000" w:themeColor="text1"/>
          <w:sz w:val="32"/>
          <w:szCs w:val="32"/>
          <w:highlight w:val="none"/>
          <w:lang w:val="en-US" w:eastAsia="zh-CN" w:bidi="ar"/>
          <w14:textFill>
            <w14:solidFill>
              <w14:schemeClr w14:val="tx1"/>
            </w14:solidFill>
          </w14:textFill>
        </w:rPr>
        <w:t>0</w:t>
      </w:r>
      <w:r>
        <w:rPr>
          <w:rFonts w:hint="eastAsia" w:ascii="仿宋" w:hAnsi="仿宋" w:eastAsia="仿宋" w:cs="仿宋"/>
          <w:color w:val="000000" w:themeColor="text1"/>
          <w:sz w:val="32"/>
          <w:szCs w:val="32"/>
          <w:highlight w:val="none"/>
          <w:lang w:bidi="ar"/>
          <w14:textFill>
            <w14:solidFill>
              <w14:schemeClr w14:val="tx1"/>
            </w14:solidFill>
          </w14:textFill>
        </w:rPr>
        <w:t>个政府性基金预算项目开展绩效自评，共涉及资金</w:t>
      </w:r>
      <w:r>
        <w:rPr>
          <w:rFonts w:hint="eastAsia" w:ascii="仿宋" w:hAnsi="仿宋" w:eastAsia="仿宋" w:cs="仿宋"/>
          <w:color w:val="000000" w:themeColor="text1"/>
          <w:sz w:val="32"/>
          <w:szCs w:val="32"/>
          <w:highlight w:val="none"/>
          <w:lang w:val="en-US" w:eastAsia="zh-CN" w:bidi="ar"/>
          <w14:textFill>
            <w14:solidFill>
              <w14:schemeClr w14:val="tx1"/>
            </w14:solidFill>
          </w14:textFill>
        </w:rPr>
        <w:t>0.00</w:t>
      </w:r>
      <w:r>
        <w:rPr>
          <w:rFonts w:hint="eastAsia" w:ascii="仿宋" w:hAnsi="仿宋" w:eastAsia="仿宋" w:cs="仿宋"/>
          <w:color w:val="000000" w:themeColor="text1"/>
          <w:sz w:val="32"/>
          <w:szCs w:val="32"/>
          <w:highlight w:val="none"/>
          <w:lang w:bidi="ar"/>
          <w14:textFill>
            <w14:solidFill>
              <w14:schemeClr w14:val="tx1"/>
            </w14:solidFill>
          </w14:textFill>
        </w:rPr>
        <w:t>万元，占政府性基金预算项目支出总额的</w:t>
      </w:r>
      <w:r>
        <w:rPr>
          <w:rFonts w:hint="eastAsia" w:ascii="仿宋" w:hAnsi="仿宋" w:eastAsia="仿宋" w:cs="仿宋"/>
          <w:color w:val="000000" w:themeColor="text1"/>
          <w:sz w:val="32"/>
          <w:szCs w:val="32"/>
          <w:highlight w:val="none"/>
          <w:lang w:val="en-US" w:eastAsia="zh-CN" w:bidi="ar"/>
          <w14:textFill>
            <w14:solidFill>
              <w14:schemeClr w14:val="tx1"/>
            </w14:solidFill>
          </w14:textFill>
        </w:rPr>
        <w:t>0.00</w:t>
      </w:r>
      <w:r>
        <w:rPr>
          <w:rFonts w:hint="eastAsia" w:ascii="仿宋" w:hAnsi="仿宋" w:eastAsia="仿宋" w:cs="仿宋"/>
          <w:color w:val="000000" w:themeColor="text1"/>
          <w:sz w:val="32"/>
          <w:szCs w:val="32"/>
          <w:highlight w:val="none"/>
          <w:lang w:bidi="ar"/>
          <w14:textFill>
            <w14:solidFill>
              <w14:schemeClr w14:val="tx1"/>
            </w14:solidFill>
          </w14:textFill>
        </w:rPr>
        <w:t>%。组织对</w:t>
      </w:r>
      <w:r>
        <w:rPr>
          <w:rFonts w:hint="eastAsia" w:ascii="仿宋" w:hAnsi="仿宋" w:eastAsia="仿宋" w:cs="仿宋"/>
          <w:color w:val="000000" w:themeColor="text1"/>
          <w:sz w:val="32"/>
          <w:szCs w:val="32"/>
          <w:highlight w:val="none"/>
          <w:lang w:val="en-US" w:bidi="ar"/>
          <w14:textFill>
            <w14:solidFill>
              <w14:schemeClr w14:val="tx1"/>
            </w14:solidFill>
          </w14:textFill>
        </w:rPr>
        <w:t>2025</w:t>
      </w:r>
      <w:r>
        <w:rPr>
          <w:rFonts w:hint="eastAsia" w:ascii="仿宋" w:hAnsi="仿宋" w:eastAsia="仿宋" w:cs="仿宋"/>
          <w:color w:val="000000" w:themeColor="text1"/>
          <w:sz w:val="32"/>
          <w:szCs w:val="32"/>
          <w:highlight w:val="none"/>
          <w:lang w:bidi="ar"/>
          <w14:textFill>
            <w14:solidFill>
              <w14:schemeClr w14:val="tx1"/>
            </w14:solidFill>
          </w14:textFill>
        </w:rPr>
        <w:t>年度</w:t>
      </w:r>
      <w:r>
        <w:rPr>
          <w:rFonts w:hint="eastAsia" w:ascii="仿宋" w:hAnsi="仿宋" w:eastAsia="仿宋" w:cs="仿宋"/>
          <w:color w:val="000000" w:themeColor="text1"/>
          <w:sz w:val="32"/>
          <w:szCs w:val="32"/>
          <w:highlight w:val="none"/>
          <w:lang w:val="en-US" w:eastAsia="zh-CN" w:bidi="ar"/>
          <w14:textFill>
            <w14:solidFill>
              <w14:schemeClr w14:val="tx1"/>
            </w14:solidFill>
          </w14:textFill>
        </w:rPr>
        <w:t>0</w:t>
      </w:r>
      <w:r>
        <w:rPr>
          <w:rFonts w:hint="eastAsia" w:ascii="仿宋" w:hAnsi="仿宋" w:eastAsia="仿宋" w:cs="仿宋"/>
          <w:color w:val="000000" w:themeColor="text1"/>
          <w:sz w:val="32"/>
          <w:szCs w:val="32"/>
          <w:highlight w:val="none"/>
          <w:lang w:bidi="ar"/>
          <w14:textFill>
            <w14:solidFill>
              <w14:schemeClr w14:val="tx1"/>
            </w14:solidFill>
          </w14:textFill>
        </w:rPr>
        <w:t>个国有资本经营预算项目开展绩效自评，共涉及资金</w:t>
      </w:r>
      <w:r>
        <w:rPr>
          <w:rFonts w:hint="eastAsia" w:ascii="仿宋" w:hAnsi="仿宋" w:eastAsia="仿宋" w:cs="仿宋"/>
          <w:color w:val="000000" w:themeColor="text1"/>
          <w:sz w:val="32"/>
          <w:szCs w:val="32"/>
          <w:highlight w:val="none"/>
          <w:lang w:val="en-US" w:eastAsia="zh-CN" w:bidi="ar"/>
          <w14:textFill>
            <w14:solidFill>
              <w14:schemeClr w14:val="tx1"/>
            </w14:solidFill>
          </w14:textFill>
        </w:rPr>
        <w:t>0.00</w:t>
      </w:r>
      <w:r>
        <w:rPr>
          <w:rFonts w:hint="eastAsia" w:ascii="仿宋" w:hAnsi="仿宋" w:eastAsia="仿宋" w:cs="仿宋"/>
          <w:color w:val="000000" w:themeColor="text1"/>
          <w:sz w:val="32"/>
          <w:szCs w:val="32"/>
          <w:highlight w:val="none"/>
          <w:lang w:bidi="ar"/>
          <w14:textFill>
            <w14:solidFill>
              <w14:schemeClr w14:val="tx1"/>
            </w14:solidFill>
          </w14:textFill>
        </w:rPr>
        <w:t>万元，占国有资本经营预算项目支出总额的</w:t>
      </w:r>
      <w:r>
        <w:rPr>
          <w:rFonts w:hint="eastAsia" w:ascii="仿宋" w:hAnsi="仿宋" w:eastAsia="仿宋" w:cs="仿宋"/>
          <w:color w:val="000000" w:themeColor="text1"/>
          <w:sz w:val="32"/>
          <w:szCs w:val="32"/>
          <w:highlight w:val="none"/>
          <w:lang w:val="en-US" w:eastAsia="zh-CN" w:bidi="ar"/>
          <w14:textFill>
            <w14:solidFill>
              <w14:schemeClr w14:val="tx1"/>
            </w14:solidFill>
          </w14:textFill>
        </w:rPr>
        <w:t>0.00</w:t>
      </w:r>
      <w:r>
        <w:rPr>
          <w:rFonts w:hint="eastAsia" w:ascii="仿宋" w:hAnsi="仿宋" w:eastAsia="仿宋" w:cs="仿宋"/>
          <w:color w:val="000000" w:themeColor="text1"/>
          <w:sz w:val="32"/>
          <w:szCs w:val="32"/>
          <w:highlight w:val="none"/>
          <w:lang w:bidi="ar"/>
          <w14:textFill>
            <w14:solidFill>
              <w14:schemeClr w14:val="tx1"/>
            </w14:solidFill>
          </w14:textFill>
        </w:rPr>
        <w:t>%。</w:t>
      </w:r>
    </w:p>
    <w:p w14:paraId="63E77E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共组织对“促进经济高质量发展”、“农产品质量安全监管专项经费”等</w:t>
      </w: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r>
        <w:rPr>
          <w:rFonts w:hint="eastAsia" w:ascii="仿宋" w:hAnsi="仿宋" w:eastAsia="仿宋" w:cs="仿宋"/>
          <w:color w:val="000000" w:themeColor="text1"/>
          <w:sz w:val="32"/>
          <w:szCs w:val="32"/>
          <w:highlight w:val="none"/>
          <w14:textFill>
            <w14:solidFill>
              <w14:schemeClr w14:val="tx1"/>
            </w14:solidFill>
          </w14:textFill>
        </w:rPr>
        <w:t>个项目开展了部门评价，涉及一般公共预算支出23</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833万元，政府性基金预算支出0万元，国有资本经营预算支出0万元。从评价情况来看，项目依据充分，目标明确，符合我省农业农村工作发展要求，项目资金到位及时，支出合规合理，项目实现预期目标。</w:t>
      </w:r>
    </w:p>
    <w:p w14:paraId="16FFC1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color w:val="000000" w:themeColor="text1"/>
          <w:sz w:val="32"/>
          <w:szCs w:val="32"/>
          <w:highlight w:val="none"/>
          <w14:textFill>
            <w14:solidFill>
              <w14:schemeClr w14:val="tx1"/>
            </w14:solidFill>
          </w14:textFill>
        </w:rPr>
      </w:pPr>
      <w:r>
        <w:rPr>
          <w:rFonts w:hint="eastAsia" w:ascii="楷体" w:hAnsi="楷体" w:eastAsia="楷体" w:cs="楷体"/>
          <w:bCs/>
          <w:color w:val="000000" w:themeColor="text1"/>
          <w:sz w:val="32"/>
          <w:szCs w:val="32"/>
          <w:highlight w:val="none"/>
          <w14:textFill>
            <w14:solidFill>
              <w14:schemeClr w14:val="tx1"/>
            </w14:solidFill>
          </w14:textFill>
        </w:rPr>
        <w:t>（二）部门决算中项目绩效自评结果（预算部门、单位可根据实际情况反映重点项目绩效自评结果）</w:t>
      </w:r>
    </w:p>
    <w:p w14:paraId="01FEFC9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我部门在部门决算中反映“农产品质量安全监管</w:t>
      </w:r>
      <w:r>
        <w:rPr>
          <w:rFonts w:hint="eastAsia" w:ascii="仿宋_GB2312" w:eastAsia="仿宋_GB2312"/>
          <w:color w:val="000000" w:themeColor="text1"/>
          <w:sz w:val="32"/>
          <w:szCs w:val="32"/>
          <w:highlight w:val="none"/>
          <w:lang w:eastAsia="zh-CN"/>
          <w14:textFill>
            <w14:solidFill>
              <w14:schemeClr w14:val="tx1"/>
            </w14:solidFill>
          </w14:textFill>
        </w:rPr>
        <w:t>专项经费</w:t>
      </w: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“促进经济高质量发展资金”等</w:t>
      </w:r>
      <w:r>
        <w:rPr>
          <w:rFonts w:hint="eastAsia" w:ascii="仿宋_GB2312" w:eastAsia="仿宋_GB2312"/>
          <w:color w:val="000000" w:themeColor="text1"/>
          <w:sz w:val="32"/>
          <w:szCs w:val="32"/>
          <w:highlight w:val="none"/>
          <w:lang w:val="en-US" w:eastAsia="zh-CN"/>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个项目绩效自评结果（包括项目绩效自评表和项目绩效自评报告）。</w:t>
      </w:r>
    </w:p>
    <w:p w14:paraId="66DDC6A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1.</w:t>
      </w:r>
      <w:r>
        <w:rPr>
          <w:rFonts w:hint="eastAsia" w:ascii="仿宋_GB2312" w:eastAsia="仿宋_GB2312"/>
          <w:color w:val="000000" w:themeColor="text1"/>
          <w:sz w:val="32"/>
          <w:szCs w:val="32"/>
          <w:highlight w:val="none"/>
          <w14:textFill>
            <w14:solidFill>
              <w14:schemeClr w14:val="tx1"/>
            </w14:solidFill>
          </w14:textFill>
        </w:rPr>
        <w:t>“农产品质量安全监管</w:t>
      </w:r>
      <w:r>
        <w:rPr>
          <w:rFonts w:hint="eastAsia" w:ascii="仿宋_GB2312" w:eastAsia="仿宋_GB2312"/>
          <w:color w:val="000000" w:themeColor="text1"/>
          <w:sz w:val="32"/>
          <w:szCs w:val="32"/>
          <w:highlight w:val="none"/>
          <w:lang w:eastAsia="zh-CN"/>
          <w14:textFill>
            <w14:solidFill>
              <w14:schemeClr w14:val="tx1"/>
            </w14:solidFill>
          </w14:textFill>
        </w:rPr>
        <w:t>专项经费</w:t>
      </w:r>
      <w:r>
        <w:rPr>
          <w:rFonts w:hint="eastAsia" w:ascii="仿宋_GB2312" w:eastAsia="仿宋_GB2312"/>
          <w:color w:val="000000" w:themeColor="text1"/>
          <w:sz w:val="32"/>
          <w:szCs w:val="32"/>
          <w:highlight w:val="none"/>
          <w14:textFill>
            <w14:solidFill>
              <w14:schemeClr w14:val="tx1"/>
            </w14:solidFill>
          </w14:textFill>
        </w:rPr>
        <w:t>”项目绩效自评表：</w:t>
      </w:r>
    </w:p>
    <w:p w14:paraId="7917E7EB">
      <w:pPr>
        <w:pStyle w:val="9"/>
        <w:ind w:left="0" w:leftChars="0" w:firstLine="0" w:firstLineChars="0"/>
        <w:rPr>
          <w:rFonts w:hint="eastAsia" w:ascii="仿宋_GB2312" w:eastAsia="仿宋_GB2312"/>
          <w:color w:val="000000" w:themeColor="text1"/>
          <w:sz w:val="32"/>
          <w:szCs w:val="32"/>
          <w:highlight w:val="none"/>
          <w:lang w:eastAsia="zh-CN"/>
          <w14:textFill>
            <w14:solidFill>
              <w14:schemeClr w14:val="tx1"/>
            </w14:solidFill>
          </w14:textFill>
        </w:rPr>
      </w:pPr>
    </w:p>
    <w:p w14:paraId="6DA40CBE">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drawing>
          <wp:inline distT="0" distB="0" distL="114300" distR="114300">
            <wp:extent cx="6034405" cy="3198495"/>
            <wp:effectExtent l="0" t="0" r="4445" b="1905"/>
            <wp:docPr id="2" name="图片 1" descr="17877945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787794502510"/>
                    <pic:cNvPicPr>
                      <a:picLocks noChangeAspect="1"/>
                    </pic:cNvPicPr>
                  </pic:nvPicPr>
                  <pic:blipFill>
                    <a:blip r:embed="rId6"/>
                    <a:stretch>
                      <a:fillRect/>
                    </a:stretch>
                  </pic:blipFill>
                  <pic:spPr>
                    <a:xfrm>
                      <a:off x="0" y="0"/>
                      <a:ext cx="6034405" cy="3198495"/>
                    </a:xfrm>
                    <a:prstGeom prst="rect">
                      <a:avLst/>
                    </a:prstGeom>
                    <a:noFill/>
                    <a:ln>
                      <a:noFill/>
                    </a:ln>
                  </pic:spPr>
                </pic:pic>
              </a:graphicData>
            </a:graphic>
          </wp:inline>
        </w:drawing>
      </w:r>
    </w:p>
    <w:p w14:paraId="1D5714EE">
      <w:pPr>
        <w:ind w:firstLine="640" w:firstLineChars="200"/>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农产品质量安全监管专项经费”项目绩效自评报告：根据年初设定的绩效目标，项目绩效自评得分为</w:t>
      </w:r>
      <w:r>
        <w:rPr>
          <w:rFonts w:hint="eastAsia" w:ascii="仿宋_GB2312" w:eastAsia="仿宋_GB2312"/>
          <w:color w:val="000000" w:themeColor="text1"/>
          <w:sz w:val="32"/>
          <w:szCs w:val="32"/>
          <w:highlight w:val="none"/>
          <w:lang w:val="en-US" w:eastAsia="zh-CN"/>
          <w14:textFill>
            <w14:solidFill>
              <w14:schemeClr w14:val="tx1"/>
            </w14:solidFill>
          </w14:textFill>
        </w:rPr>
        <w:t>92.1</w:t>
      </w:r>
      <w:r>
        <w:rPr>
          <w:rFonts w:hint="eastAsia" w:ascii="仿宋_GB2312" w:eastAsia="仿宋_GB2312"/>
          <w:color w:val="000000" w:themeColor="text1"/>
          <w:sz w:val="32"/>
          <w:szCs w:val="32"/>
          <w:highlight w:val="none"/>
          <w14:textFill>
            <w14:solidFill>
              <w14:schemeClr w14:val="tx1"/>
            </w14:solidFill>
          </w14:textFill>
        </w:rPr>
        <w:t>分。全年预算数为</w:t>
      </w:r>
      <w:r>
        <w:rPr>
          <w:rFonts w:hint="eastAsia" w:ascii="仿宋_GB2312" w:eastAsia="仿宋_GB2312"/>
          <w:color w:val="000000" w:themeColor="text1"/>
          <w:sz w:val="32"/>
          <w:szCs w:val="32"/>
          <w:highlight w:val="none"/>
          <w:lang w:val="en-US" w:eastAsia="zh-CN"/>
          <w14:textFill>
            <w14:solidFill>
              <w14:schemeClr w14:val="tx1"/>
            </w14:solidFill>
          </w14:textFill>
        </w:rPr>
        <w:t>1833</w:t>
      </w:r>
      <w:r>
        <w:rPr>
          <w:rFonts w:hint="eastAsia" w:ascii="仿宋_GB2312" w:eastAsia="仿宋_GB2312"/>
          <w:color w:val="000000" w:themeColor="text1"/>
          <w:sz w:val="32"/>
          <w:szCs w:val="32"/>
          <w:highlight w:val="none"/>
          <w14:textFill>
            <w14:solidFill>
              <w14:schemeClr w14:val="tx1"/>
            </w14:solidFill>
          </w14:textFill>
        </w:rPr>
        <w:t>万元，执行数为</w:t>
      </w:r>
      <w:r>
        <w:rPr>
          <w:rFonts w:hint="eastAsia" w:ascii="仿宋_GB2312" w:eastAsia="仿宋_GB2312"/>
          <w:color w:val="000000" w:themeColor="text1"/>
          <w:sz w:val="32"/>
          <w:szCs w:val="32"/>
          <w:highlight w:val="none"/>
          <w:lang w:val="en-US" w:eastAsia="zh-CN"/>
          <w14:textFill>
            <w14:solidFill>
              <w14:schemeClr w14:val="tx1"/>
            </w14:solidFill>
          </w14:textFill>
        </w:rPr>
        <w:t>1728.88</w:t>
      </w:r>
      <w:r>
        <w:rPr>
          <w:rFonts w:hint="eastAsia" w:ascii="仿宋_GB2312" w:eastAsia="仿宋_GB2312"/>
          <w:color w:val="000000" w:themeColor="text1"/>
          <w:sz w:val="32"/>
          <w:szCs w:val="32"/>
          <w:highlight w:val="none"/>
          <w14:textFill>
            <w14:solidFill>
              <w14:schemeClr w14:val="tx1"/>
            </w14:solidFill>
          </w14:textFill>
        </w:rPr>
        <w:t>万元，完成预算的</w:t>
      </w:r>
      <w:r>
        <w:rPr>
          <w:rFonts w:hint="eastAsia" w:ascii="仿宋_GB2312" w:eastAsia="仿宋_GB2312"/>
          <w:color w:val="000000" w:themeColor="text1"/>
          <w:sz w:val="32"/>
          <w:szCs w:val="32"/>
          <w:highlight w:val="none"/>
          <w:lang w:val="en-US" w:eastAsia="zh-CN"/>
          <w14:textFill>
            <w14:solidFill>
              <w14:schemeClr w14:val="tx1"/>
            </w14:solidFill>
          </w14:textFill>
        </w:rPr>
        <w:t>94.32</w:t>
      </w:r>
      <w:r>
        <w:rPr>
          <w:rFonts w:hint="eastAsia" w:ascii="仿宋_GB2312" w:eastAsia="仿宋_GB2312"/>
          <w:color w:val="000000" w:themeColor="text1"/>
          <w:sz w:val="32"/>
          <w:szCs w:val="32"/>
          <w:highlight w:val="none"/>
          <w14:textFill>
            <w14:solidFill>
              <w14:schemeClr w14:val="tx1"/>
            </w14:solidFill>
          </w14:textFill>
        </w:rPr>
        <w:t>%。项目绩效目标完成情况：</w:t>
      </w:r>
      <w:r>
        <w:rPr>
          <w:rFonts w:hint="eastAsia" w:ascii="仿宋_GB2312" w:eastAsia="仿宋_GB2312"/>
          <w:color w:val="000000" w:themeColor="text1"/>
          <w:sz w:val="32"/>
          <w:szCs w:val="32"/>
          <w:highlight w:val="none"/>
          <w:lang w:eastAsia="zh-CN"/>
          <w14:textFill>
            <w14:solidFill>
              <w14:schemeClr w14:val="tx1"/>
            </w14:solidFill>
          </w14:textFill>
        </w:rPr>
        <w:t>一是</w:t>
      </w:r>
      <w:r>
        <w:rPr>
          <w:rFonts w:hint="eastAsia" w:ascii="仿宋_GB2312" w:eastAsia="仿宋_GB2312"/>
          <w:color w:val="000000" w:themeColor="text1"/>
          <w:sz w:val="32"/>
          <w:szCs w:val="32"/>
          <w:highlight w:val="none"/>
          <w14:textFill>
            <w14:solidFill>
              <w14:schemeClr w14:val="tx1"/>
            </w14:solidFill>
          </w14:textFill>
        </w:rPr>
        <w:t>开展农产品定量检测8595批次，涉及种植业产品、水产品、畜禽产品三大类141参数，实现我省主要农产品检测品种全覆盖，检测整体合格率为98.42%。</w:t>
      </w:r>
      <w:r>
        <w:rPr>
          <w:rFonts w:hint="eastAsia" w:ascii="仿宋_GB2312" w:eastAsia="仿宋_GB2312"/>
          <w:color w:val="000000" w:themeColor="text1"/>
          <w:sz w:val="32"/>
          <w:szCs w:val="32"/>
          <w:highlight w:val="none"/>
          <w:lang w:eastAsia="zh-CN"/>
          <w14:textFill>
            <w14:solidFill>
              <w14:schemeClr w14:val="tx1"/>
            </w14:solidFill>
          </w14:textFill>
        </w:rPr>
        <w:t>二是</w:t>
      </w:r>
      <w:r>
        <w:rPr>
          <w:rFonts w:hint="eastAsia" w:ascii="仿宋_GB2312" w:eastAsia="仿宋_GB2312"/>
          <w:color w:val="000000" w:themeColor="text1"/>
          <w:sz w:val="32"/>
          <w:szCs w:val="32"/>
          <w:highlight w:val="none"/>
          <w14:textFill>
            <w14:solidFill>
              <w14:schemeClr w14:val="tx1"/>
            </w14:solidFill>
          </w14:textFill>
        </w:rPr>
        <w:t>开展豇豆等重点品种半定量检测4.6万余批次，在乐东、陵水、澄迈等市县和新海港豇豆出岛码头共设立4个快速半定量检测点，保障了我省出岛豇豆等品种质量安全。</w:t>
      </w:r>
      <w:r>
        <w:rPr>
          <w:rFonts w:hint="eastAsia" w:ascii="仿宋_GB2312" w:eastAsia="仿宋_GB2312"/>
          <w:color w:val="000000" w:themeColor="text1"/>
          <w:sz w:val="32"/>
          <w:szCs w:val="32"/>
          <w:highlight w:val="none"/>
          <w:lang w:eastAsia="zh-CN"/>
          <w14:textFill>
            <w14:solidFill>
              <w14:schemeClr w14:val="tx1"/>
            </w14:solidFill>
          </w14:textFill>
        </w:rPr>
        <w:t>三是</w:t>
      </w:r>
      <w:r>
        <w:rPr>
          <w:rFonts w:hint="eastAsia" w:ascii="仿宋_GB2312" w:eastAsia="仿宋_GB2312"/>
          <w:color w:val="000000" w:themeColor="text1"/>
          <w:sz w:val="32"/>
          <w:szCs w:val="32"/>
          <w:highlight w:val="none"/>
          <w14:textFill>
            <w14:solidFill>
              <w14:schemeClr w14:val="tx1"/>
            </w14:solidFill>
          </w14:textFill>
        </w:rPr>
        <w:t>采购水产品、芒果、香蕉、荔枝胶体金试剂卡（条）6万多批次，同时争取中央资金采购豇豆胶体金试剂卡（条）下发市县，进一步提升基层快速检测能力。</w:t>
      </w:r>
      <w:r>
        <w:rPr>
          <w:rFonts w:hint="eastAsia" w:ascii="仿宋_GB2312" w:eastAsia="仿宋_GB2312"/>
          <w:color w:val="000000" w:themeColor="text1"/>
          <w:sz w:val="32"/>
          <w:szCs w:val="32"/>
          <w:highlight w:val="none"/>
          <w:lang w:eastAsia="zh-CN"/>
          <w14:textFill>
            <w14:solidFill>
              <w14:schemeClr w14:val="tx1"/>
            </w14:solidFill>
          </w14:textFill>
        </w:rPr>
        <w:t>四是</w:t>
      </w:r>
      <w:r>
        <w:rPr>
          <w:rFonts w:hint="eastAsia" w:ascii="仿宋_GB2312" w:eastAsia="仿宋_GB2312"/>
          <w:color w:val="000000" w:themeColor="text1"/>
          <w:sz w:val="32"/>
          <w:szCs w:val="32"/>
          <w:highlight w:val="none"/>
          <w14:textFill>
            <w14:solidFill>
              <w14:schemeClr w14:val="tx1"/>
            </w14:solidFill>
          </w14:textFill>
        </w:rPr>
        <w:t>委托中国热带农业科学院分析测试中心分别对芒果开展质量安全风险评估。深入我省芒果主产市县开展187个产品及投入品的采集和检测工作，出具相应检测报告并对芒果产业发展提出专业化建议。</w:t>
      </w:r>
      <w:r>
        <w:rPr>
          <w:rFonts w:hint="eastAsia" w:ascii="仿宋_GB2312" w:eastAsia="仿宋_GB2312"/>
          <w:color w:val="000000" w:themeColor="text1"/>
          <w:sz w:val="32"/>
          <w:szCs w:val="32"/>
          <w:highlight w:val="none"/>
          <w:lang w:eastAsia="zh-CN"/>
          <w14:textFill>
            <w14:solidFill>
              <w14:schemeClr w14:val="tx1"/>
            </w14:solidFill>
          </w14:textFill>
        </w:rPr>
        <w:t>五是</w:t>
      </w:r>
      <w:r>
        <w:rPr>
          <w:rFonts w:hint="eastAsia" w:ascii="仿宋_GB2312" w:eastAsia="仿宋_GB2312"/>
          <w:color w:val="000000" w:themeColor="text1"/>
          <w:sz w:val="32"/>
          <w:szCs w:val="32"/>
          <w:highlight w:val="none"/>
          <w14:textFill>
            <w14:solidFill>
              <w14:schemeClr w14:val="tx1"/>
            </w14:solidFill>
          </w14:textFill>
        </w:rPr>
        <w:t>通过开展针对12项热带作物及特色产业地方标准的实施情况评估，结合深入的调研、分析与研判，全面梳理了标准执行过程中存在的问题，并提出了相应的对策建议。此次评估为促进相关产业的持续、健康发展奠定了坚实基础。</w:t>
      </w:r>
    </w:p>
    <w:p w14:paraId="74FA4FE7">
      <w:pPr>
        <w:ind w:firstLine="640" w:firstLineChars="200"/>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发现的主要问题及原因：“十五五”农产品质量安全提升规划根据省发改委的工作部署要求，修改编制内容为农产品质量安全提升三年行动方案，延迟到2026年完成。下一步改进措施：一是持续做好农产品质量安全监测；二是继续加强重点品种风险监测；三是持续加强检验检测体系建设；四是健全全链条监管体系，确保全流程的监管闭环。</w:t>
      </w:r>
    </w:p>
    <w:p w14:paraId="2AC4A710">
      <w:pPr>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2.“促进经济高质量发展资金”项目绩效自评表：</w:t>
      </w:r>
    </w:p>
    <w:p w14:paraId="3AD03911">
      <w:pPr>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drawing>
          <wp:inline distT="0" distB="0" distL="114300" distR="114300">
            <wp:extent cx="5615305" cy="3458210"/>
            <wp:effectExtent l="0" t="0" r="4445" b="8890"/>
            <wp:docPr id="1" name="图片 2" descr="178779523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87795238808"/>
                    <pic:cNvPicPr>
                      <a:picLocks noChangeAspect="1"/>
                    </pic:cNvPicPr>
                  </pic:nvPicPr>
                  <pic:blipFill>
                    <a:blip r:embed="rId7"/>
                    <a:stretch>
                      <a:fillRect/>
                    </a:stretch>
                  </pic:blipFill>
                  <pic:spPr>
                    <a:xfrm>
                      <a:off x="0" y="0"/>
                      <a:ext cx="5615305" cy="3458210"/>
                    </a:xfrm>
                    <a:prstGeom prst="rect">
                      <a:avLst/>
                    </a:prstGeom>
                    <a:noFill/>
                    <a:ln>
                      <a:noFill/>
                    </a:ln>
                  </pic:spPr>
                </pic:pic>
              </a:graphicData>
            </a:graphic>
          </wp:inline>
        </w:drawing>
      </w:r>
    </w:p>
    <w:p w14:paraId="498AF9CE">
      <w:pPr>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促进经济高质量发展资金”项目绩效自评报告：根据年初设定的绩效目标，项目绩效自评得分为100分。全年预算数22000万元，2025年兑现支付农业发展奖补资金21998.16万元，支出率为99.99%。项目绩效目标完成情况：一是支持符合种业强国战略的现代提升工程实体项目成果转化，鼓励农业企业加大投入，促进我省热带特色高效农业高质量发展。二是奖补9种高产水稻品种连片种植500亩以上的种植主体，按每亩奖补200元，计划奖补2.5万亩。三是对10家省级热作示范园、优异果蔬展示园、咖啡标准化示范基地进行奖补。四是奖补支持50家以上企业。</w:t>
      </w:r>
    </w:p>
    <w:p w14:paraId="16576C2D">
      <w:pPr>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发现的主要问题及原因：1.《海南省农业发展相关奖补资金管理实施细则》有待修订，目前，《海南省农业发展相关奖补资金管理实施细则》可能未能完全适应《海南省促进经济高质量发展若干财政措施》和《海南省促进经济高质量发展资金管理办法》的最新要求。同时，随着近年来农业发展相关奖补资金的申报审核经验的积累，该实施细则在资金效益发挥方面可能存在一定的不足。因此，有必要对《海南省农业发展相关奖补资金管理实施细则》进行修订，以更好地适应当前农业发展的需要，进一步提高财政资金的使用效益。2.农业企业营业收入上规模和农产品加工业发展项目的奖补资金不足，海南省在农业企业营业收入上规模和农产品加工业发展项目上的奖补资金可能不足以充分激励农业企业加大固定资产投资力度，扩大农产品加工业规模。这可能导致农业企业在发展过程中缺乏足够的资金支持，影响其扩大生产、提升技术水平和市场竞争力的能力。同时，资金不足也可能进一步影响农业企业的发展信心，制约其长期稳定发展。因此，有必要增加这些项目的奖补资金，以更好地支持农业企业的发展。下一步改进措施：1.优化资金管理细则。依据《海南省促进经济高质量发展若干财政措施》及《海南省促进经济高质量发展资金管理办法》的指导原则，结合近年来我省农业发展相关奖补资金的申报与审核实践经验，对《海南省农业发展相关奖补资金管理实施细则》进行深入研究与修订，旨在进一步提升财政资金的使用效率与效益，确保资金能够精准、高效地支持农业发展。2.加大奖补力度，激励农业企业发展。为鼓励农业企业积极扩大生产规模，特别是增加营业收入上规模和农产品加工业发展项目的投入，计划适当提高这些领域的奖补资金额度。旨在通过财政激励，引导农业企业加大固定资产投资，进一步拓展农产品加工业的产业链与价值链，从而激发企业的内在发展动力与市场竞争力。</w:t>
      </w:r>
    </w:p>
    <w:p w14:paraId="08AEFB7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000000" w:themeColor="text1"/>
          <w:sz w:val="32"/>
          <w:szCs w:val="32"/>
          <w:highlight w:val="none"/>
          <w14:textFill>
            <w14:solidFill>
              <w14:schemeClr w14:val="tx1"/>
            </w14:solidFill>
          </w14:textFill>
        </w:rPr>
      </w:pPr>
      <w:r>
        <w:rPr>
          <w:rFonts w:hint="eastAsia" w:ascii="楷体" w:hAnsi="楷体" w:eastAsia="楷体" w:cs="楷体"/>
          <w:bCs/>
          <w:color w:val="000000" w:themeColor="text1"/>
          <w:sz w:val="32"/>
          <w:szCs w:val="32"/>
          <w:highlight w:val="none"/>
          <w14:textFill>
            <w14:solidFill>
              <w14:schemeClr w14:val="tx1"/>
            </w14:solidFill>
          </w14:textFill>
        </w:rPr>
        <w:t>（三）部门评价结果（预算部门填写，部门所属单位不需填写）</w:t>
      </w:r>
    </w:p>
    <w:p w14:paraId="3CDC52E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bidi="ar"/>
          <w14:textFill>
            <w14:solidFill>
              <w14:schemeClr w14:val="tx1"/>
            </w14:solidFill>
          </w14:textFill>
        </w:rPr>
        <w:t>2025年，我厅对“促进经济高质量发展</w:t>
      </w:r>
      <w:r>
        <w:rPr>
          <w:rFonts w:hint="eastAsia" w:ascii="仿宋" w:hAnsi="仿宋" w:eastAsia="仿宋" w:cs="仿宋"/>
          <w:color w:val="000000" w:themeColor="text1"/>
          <w:kern w:val="0"/>
          <w:sz w:val="32"/>
          <w:szCs w:val="32"/>
          <w:highlight w:val="none"/>
          <w:lang w:eastAsia="zh-CN" w:bidi="ar"/>
          <w14:textFill>
            <w14:solidFill>
              <w14:schemeClr w14:val="tx1"/>
            </w14:solidFill>
          </w14:textFill>
        </w:rPr>
        <w:t>”、“</w:t>
      </w:r>
      <w:r>
        <w:rPr>
          <w:rFonts w:hint="eastAsia" w:ascii="仿宋" w:hAnsi="仿宋" w:eastAsia="仿宋" w:cs="仿宋"/>
          <w:color w:val="000000" w:themeColor="text1"/>
          <w:kern w:val="0"/>
          <w:sz w:val="32"/>
          <w:szCs w:val="32"/>
          <w:highlight w:val="none"/>
          <w:lang w:bidi="ar"/>
          <w14:textFill>
            <w14:solidFill>
              <w14:schemeClr w14:val="tx1"/>
            </w14:solidFill>
          </w14:textFill>
        </w:rPr>
        <w:t>农产品质量安全监管专项经费”等</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3</w:t>
      </w:r>
      <w:r>
        <w:rPr>
          <w:rFonts w:hint="eastAsia" w:ascii="仿宋" w:hAnsi="仿宋" w:eastAsia="仿宋" w:cs="仿宋"/>
          <w:color w:val="000000" w:themeColor="text1"/>
          <w:kern w:val="0"/>
          <w:sz w:val="32"/>
          <w:szCs w:val="32"/>
          <w:highlight w:val="none"/>
          <w:lang w:bidi="ar"/>
          <w14:textFill>
            <w14:solidFill>
              <w14:schemeClr w14:val="tx1"/>
            </w14:solidFill>
          </w14:textFill>
        </w:rPr>
        <w:t>个项目开展了部门评价，涉及一般公共预算支出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25,456</w:t>
      </w:r>
      <w:r>
        <w:rPr>
          <w:rFonts w:hint="eastAsia" w:ascii="仿宋" w:hAnsi="仿宋" w:eastAsia="仿宋" w:cs="仿宋"/>
          <w:color w:val="000000" w:themeColor="text1"/>
          <w:kern w:val="0"/>
          <w:sz w:val="32"/>
          <w:szCs w:val="32"/>
          <w:highlight w:val="none"/>
          <w:lang w:bidi="ar"/>
          <w14:textFill>
            <w14:solidFill>
              <w14:schemeClr w14:val="tx1"/>
            </w14:solidFill>
          </w14:textFill>
        </w:rPr>
        <w:t>万元，政府性基金预算支出0万元，国有资本经营预算支出0万元。从评价情况来看，项目依据充分，目标明确，符合我省农业农村工作发展要求，项目资金到位及时，支出合规合理，项目实现预期目标</w:t>
      </w:r>
      <w:r>
        <w:rPr>
          <w:rFonts w:hint="eastAsia" w:ascii="仿宋" w:hAnsi="仿宋" w:eastAsia="仿宋" w:cs="仿宋"/>
          <w:color w:val="000000" w:themeColor="text1"/>
          <w:sz w:val="32"/>
          <w:szCs w:val="32"/>
          <w:highlight w:val="none"/>
          <w14:textFill>
            <w14:solidFill>
              <w14:schemeClr w14:val="tx1"/>
            </w14:solidFill>
          </w14:textFill>
        </w:rPr>
        <w:t>。</w:t>
      </w:r>
    </w:p>
    <w:p w14:paraId="5559E31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000000" w:themeColor="text1"/>
          <w:sz w:val="32"/>
          <w:szCs w:val="32"/>
          <w:highlight w:val="none"/>
          <w14:textFill>
            <w14:solidFill>
              <w14:schemeClr w14:val="tx1"/>
            </w14:solidFill>
          </w14:textFill>
        </w:rPr>
      </w:pPr>
      <w:r>
        <w:rPr>
          <w:rFonts w:hint="eastAsia" w:ascii="楷体" w:hAnsi="楷体" w:eastAsia="楷体" w:cs="楷体"/>
          <w:bCs/>
          <w:color w:val="000000" w:themeColor="text1"/>
          <w:sz w:val="32"/>
          <w:szCs w:val="32"/>
          <w:highlight w:val="none"/>
          <w14:textFill>
            <w14:solidFill>
              <w14:schemeClr w14:val="tx1"/>
            </w14:solidFill>
          </w14:textFill>
        </w:rPr>
        <w:t>（四）财政评价结果</w:t>
      </w:r>
    </w:p>
    <w:p w14:paraId="6CF5EDD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zh-CN"/>
          <w14:textFill>
            <w14:solidFill>
              <w14:schemeClr w14:val="tx1"/>
            </w14:solidFill>
          </w14:textFill>
        </w:rPr>
      </w:pPr>
      <w:r>
        <w:rPr>
          <w:rFonts w:hint="eastAsia" w:ascii="仿宋" w:hAnsi="仿宋" w:eastAsia="仿宋" w:cs="仿宋"/>
          <w:color w:val="000000" w:themeColor="text1"/>
          <w:sz w:val="32"/>
          <w:szCs w:val="32"/>
          <w:highlight w:val="none"/>
          <w:lang w:val="zh-CN"/>
          <w14:textFill>
            <w14:solidFill>
              <w14:schemeClr w14:val="tx1"/>
            </w14:solidFill>
          </w14:textFill>
        </w:rPr>
        <w:t>2025年，财政部门未对我厅项目开展重点绩效评价。</w:t>
      </w:r>
    </w:p>
    <w:p w14:paraId="2488CE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lang w:val="zh-CN"/>
          <w14:textFill>
            <w14:solidFill>
              <w14:schemeClr w14:val="tx1"/>
            </w14:solidFill>
          </w14:textFill>
        </w:rPr>
      </w:pPr>
      <w:r>
        <w:rPr>
          <w:rFonts w:hint="eastAsia" w:ascii="黑体" w:hAnsi="黑体" w:eastAsia="黑体" w:cs="黑体"/>
          <w:bCs/>
          <w:color w:val="000000" w:themeColor="text1"/>
          <w:sz w:val="32"/>
          <w:szCs w:val="32"/>
          <w:highlight w:val="none"/>
          <w:lang w:val="zh-CN"/>
          <w14:textFill>
            <w14:solidFill>
              <w14:schemeClr w14:val="tx1"/>
            </w14:solidFill>
          </w14:textFill>
        </w:rPr>
        <w:t>十一、落实习惯过紧日子要求、保障重点支出情况说明</w:t>
      </w:r>
    </w:p>
    <w:p w14:paraId="4C78F1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zh-CN"/>
          <w14:textFill>
            <w14:solidFill>
              <w14:schemeClr w14:val="tx1"/>
            </w14:solidFill>
          </w14:textFill>
        </w:rPr>
      </w:pPr>
      <w:r>
        <w:rPr>
          <w:rFonts w:hint="eastAsia" w:ascii="仿宋" w:hAnsi="仿宋" w:eastAsia="仿宋" w:cs="仿宋"/>
          <w:color w:val="000000" w:themeColor="text1"/>
          <w:sz w:val="32"/>
          <w:szCs w:val="32"/>
          <w:highlight w:val="none"/>
          <w:lang w:val="zh-CN"/>
          <w14:textFill>
            <w14:solidFill>
              <w14:schemeClr w14:val="tx1"/>
            </w14:solidFill>
          </w14:textFill>
        </w:rPr>
        <w:t>按照党中央、国务院关于党政机关习惯过紧日子的有关要求，厉行节约办一切事业，严控一般性支出。同时坚持有保有压，优化支出结构，提高资金使用效率，合理保障</w:t>
      </w:r>
      <w:r>
        <w:rPr>
          <w:rFonts w:hint="eastAsia" w:ascii="仿宋" w:hAnsi="仿宋" w:eastAsia="仿宋" w:cs="仿宋"/>
          <w:color w:val="000000" w:themeColor="text1"/>
          <w:sz w:val="32"/>
          <w:szCs w:val="32"/>
          <w:highlight w:val="none"/>
          <w:lang w:val="en-US" w:eastAsia="zh-CN"/>
          <w14:textFill>
            <w14:solidFill>
              <w14:schemeClr w14:val="tx1"/>
            </w14:solidFill>
          </w14:textFill>
        </w:rPr>
        <w:t>农林水方面</w:t>
      </w:r>
      <w:r>
        <w:rPr>
          <w:rFonts w:hint="eastAsia" w:ascii="仿宋" w:hAnsi="仿宋" w:eastAsia="仿宋" w:cs="仿宋"/>
          <w:color w:val="000000" w:themeColor="text1"/>
          <w:sz w:val="32"/>
          <w:szCs w:val="32"/>
          <w:highlight w:val="none"/>
          <w:lang w:val="zh-CN"/>
          <w14:textFill>
            <w14:solidFill>
              <w14:schemeClr w14:val="tx1"/>
            </w14:solidFill>
          </w14:textFill>
        </w:rPr>
        <w:t>等重点支出，体现在有关支出科目中。</w:t>
      </w:r>
    </w:p>
    <w:p w14:paraId="1BAE689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zh-CN"/>
          <w14:textFill>
            <w14:solidFill>
              <w14:schemeClr w14:val="tx1"/>
            </w14:solidFill>
          </w14:textFill>
        </w:rPr>
      </w:pPr>
      <w:r>
        <w:rPr>
          <w:rFonts w:hint="eastAsia" w:ascii="仿宋" w:hAnsi="仿宋" w:eastAsia="仿宋" w:cs="仿宋"/>
          <w:color w:val="000000" w:themeColor="text1"/>
          <w:sz w:val="32"/>
          <w:szCs w:val="32"/>
          <w:highlight w:val="none"/>
          <w:lang w:val="zh-CN"/>
          <w14:textFill>
            <w14:solidFill>
              <w14:schemeClr w14:val="tx1"/>
            </w14:solidFill>
          </w14:textFill>
        </w:rPr>
        <w:t>按照支出功能分类，农林水方面的支出规模较大，2025年度决算数为66,915.33万元，占本年支出合计的</w:t>
      </w:r>
      <w:r>
        <w:rPr>
          <w:rFonts w:hint="eastAsia" w:ascii="仿宋" w:hAnsi="仿宋" w:eastAsia="仿宋" w:cs="仿宋"/>
          <w:color w:val="000000" w:themeColor="text1"/>
          <w:sz w:val="32"/>
          <w:szCs w:val="32"/>
          <w:highlight w:val="none"/>
          <w:lang w:val="en-US" w:eastAsia="zh-CN"/>
          <w14:textFill>
            <w14:solidFill>
              <w14:schemeClr w14:val="tx1"/>
            </w14:solidFill>
          </w14:textFill>
        </w:rPr>
        <w:t>96.35</w:t>
      </w:r>
      <w:r>
        <w:rPr>
          <w:rFonts w:hint="eastAsia" w:ascii="仿宋" w:hAnsi="仿宋" w:eastAsia="仿宋" w:cs="仿宋"/>
          <w:color w:val="000000" w:themeColor="text1"/>
          <w:sz w:val="32"/>
          <w:szCs w:val="32"/>
          <w:highlight w:val="none"/>
          <w:lang w:val="zh-CN"/>
          <w14:textFill>
            <w14:solidFill>
              <w14:schemeClr w14:val="tx1"/>
            </w14:solidFill>
          </w14:textFill>
        </w:rPr>
        <w:t>%，主要用于高标准农田建设、种业振兴、热带特色高效农业产业发展、乡村振兴衔接、动物疫病防控、农业防灾减灾等方面</w:t>
      </w:r>
    </w:p>
    <w:p w14:paraId="7FDC30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十</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二</w:t>
      </w:r>
      <w:r>
        <w:rPr>
          <w:rFonts w:hint="eastAsia" w:ascii="黑体" w:hAnsi="黑体" w:eastAsia="黑体" w:cs="黑体"/>
          <w:bCs/>
          <w:color w:val="000000" w:themeColor="text1"/>
          <w:sz w:val="32"/>
          <w:szCs w:val="32"/>
          <w:highlight w:val="none"/>
          <w14:textFill>
            <w14:solidFill>
              <w14:schemeClr w14:val="tx1"/>
            </w14:solidFill>
          </w14:textFill>
        </w:rPr>
        <w:t>、其他重要事项情况说明</w:t>
      </w:r>
    </w:p>
    <w:p w14:paraId="42D67D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000000" w:themeColor="text1"/>
          <w:sz w:val="32"/>
          <w:szCs w:val="32"/>
          <w:highlight w:val="none"/>
          <w14:textFill>
            <w14:solidFill>
              <w14:schemeClr w14:val="tx1"/>
            </w14:solidFill>
          </w14:textFill>
        </w:rPr>
      </w:pPr>
      <w:bookmarkStart w:id="94" w:name="_Toc5978_WPSOffice_Level2"/>
      <w:bookmarkStart w:id="95" w:name="_Toc23598_WPSOffice_Level2"/>
      <w:bookmarkStart w:id="96" w:name="_Toc18325_WPSOffice_Level2"/>
      <w:bookmarkStart w:id="97" w:name="_Toc15262_WPSOffice_Level2"/>
      <w:bookmarkStart w:id="98" w:name="_Toc32639_WPSOffice_Level2"/>
      <w:bookmarkStart w:id="99" w:name="_Toc15565_WPSOffice_Level2"/>
      <w:r>
        <w:rPr>
          <w:rFonts w:hint="eastAsia" w:ascii="楷体" w:hAnsi="楷体" w:eastAsia="楷体" w:cs="楷体"/>
          <w:bCs/>
          <w:color w:val="000000" w:themeColor="text1"/>
          <w:sz w:val="32"/>
          <w:szCs w:val="32"/>
          <w:highlight w:val="none"/>
          <w14:textFill>
            <w14:solidFill>
              <w14:schemeClr w14:val="tx1"/>
            </w14:solidFill>
          </w14:textFill>
        </w:rPr>
        <w:t>（一）机关运行经费支出情况</w:t>
      </w:r>
      <w:bookmarkEnd w:id="94"/>
      <w:bookmarkEnd w:id="95"/>
      <w:bookmarkEnd w:id="96"/>
      <w:bookmarkEnd w:id="97"/>
      <w:bookmarkEnd w:id="98"/>
      <w:bookmarkEnd w:id="99"/>
    </w:p>
    <w:p w14:paraId="3938F2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w:t>
      </w:r>
      <w:r>
        <w:rPr>
          <w:rFonts w:hint="eastAsia" w:ascii="仿宋" w:hAnsi="仿宋" w:eastAsia="仿宋" w:cs="仿宋"/>
          <w:color w:val="000000" w:themeColor="text1"/>
          <w:sz w:val="32"/>
          <w:szCs w:val="32"/>
          <w:highlight w:val="none"/>
          <w:lang w:val="en-US"/>
          <w14:textFill>
            <w14:solidFill>
              <w14:schemeClr w14:val="tx1"/>
            </w14:solidFill>
          </w14:textFill>
        </w:rPr>
        <w:t>海南省农业农村厅</w:t>
      </w:r>
      <w:r>
        <w:rPr>
          <w:rFonts w:hint="eastAsia" w:ascii="仿宋" w:hAnsi="仿宋" w:eastAsia="仿宋" w:cs="仿宋"/>
          <w:color w:val="000000" w:themeColor="text1"/>
          <w:sz w:val="32"/>
          <w:szCs w:val="32"/>
          <w:highlight w:val="none"/>
          <w14:textFill>
            <w14:solidFill>
              <w14:schemeClr w14:val="tx1"/>
            </w14:solidFill>
          </w14:textFill>
        </w:rPr>
        <w:t>单位机关运行经费</w:t>
      </w:r>
      <w:r>
        <w:rPr>
          <w:rFonts w:hint="eastAsia" w:ascii="仿宋" w:hAnsi="仿宋" w:eastAsia="仿宋" w:cs="仿宋"/>
          <w:color w:val="000000" w:themeColor="text1"/>
          <w:sz w:val="32"/>
          <w:szCs w:val="32"/>
          <w:highlight w:val="none"/>
          <w:lang w:val="en-US"/>
          <w14:textFill>
            <w14:solidFill>
              <w14:schemeClr w14:val="tx1"/>
            </w14:solidFill>
          </w14:textFill>
        </w:rPr>
        <w:t>701.39</w:t>
      </w:r>
      <w:r>
        <w:rPr>
          <w:rFonts w:hint="eastAsia" w:ascii="仿宋" w:hAnsi="仿宋" w:eastAsia="仿宋" w:cs="仿宋"/>
          <w:color w:val="000000" w:themeColor="text1"/>
          <w:sz w:val="32"/>
          <w:szCs w:val="32"/>
          <w:highlight w:val="none"/>
          <w14:textFill>
            <w14:solidFill>
              <w14:schemeClr w14:val="tx1"/>
            </w14:solidFill>
          </w14:textFill>
        </w:rPr>
        <w:t>万元（为部门决算中行政单位和参公事业单位财政拨款基本支出中公用经费支出之和），比年初预算减少</w:t>
      </w:r>
      <w:r>
        <w:rPr>
          <w:rFonts w:hint="eastAsia" w:ascii="仿宋" w:hAnsi="仿宋" w:eastAsia="仿宋" w:cs="仿宋"/>
          <w:color w:val="000000" w:themeColor="text1"/>
          <w:sz w:val="32"/>
          <w:szCs w:val="32"/>
          <w:highlight w:val="none"/>
          <w:lang w:val="en-US"/>
          <w14:textFill>
            <w14:solidFill>
              <w14:schemeClr w14:val="tx1"/>
            </w14:solidFill>
          </w14:textFill>
        </w:rPr>
        <w:t>399.57</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val="en-US" w:eastAsia="zh-CN"/>
          <w14:textFill>
            <w14:solidFill>
              <w14:schemeClr w14:val="tx1"/>
            </w14:solidFill>
          </w14:textFill>
        </w:rPr>
        <w:t>完成预算的</w:t>
      </w:r>
      <w:r>
        <w:rPr>
          <w:rFonts w:hint="eastAsia" w:ascii="仿宋" w:hAnsi="仿宋" w:eastAsia="仿宋" w:cs="仿宋"/>
          <w:color w:val="000000" w:themeColor="text1"/>
          <w:sz w:val="32"/>
          <w:szCs w:val="32"/>
          <w:highlight w:val="none"/>
          <w:lang w:val="en-US"/>
          <w14:textFill>
            <w14:solidFill>
              <w14:schemeClr w14:val="tx1"/>
            </w14:solidFill>
          </w14:textFill>
        </w:rPr>
        <w:t>63.71%</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与2024年度相比，机关运行经费</w:t>
      </w:r>
      <w:r>
        <w:rPr>
          <w:rFonts w:hint="eastAsia" w:ascii="仿宋" w:hAnsi="仿宋" w:eastAsia="仿宋" w:cs="仿宋"/>
          <w:color w:val="000000" w:themeColor="text1"/>
          <w:sz w:val="32"/>
          <w:szCs w:val="32"/>
          <w:highlight w:val="none"/>
          <w14:textFill>
            <w14:solidFill>
              <w14:schemeClr w14:val="tx1"/>
            </w14:solidFill>
          </w14:textFill>
        </w:rPr>
        <w:t>减少</w:t>
      </w:r>
      <w:r>
        <w:rPr>
          <w:rFonts w:hint="eastAsia" w:ascii="仿宋" w:hAnsi="仿宋" w:eastAsia="仿宋" w:cs="仿宋"/>
          <w:color w:val="000000" w:themeColor="text1"/>
          <w:sz w:val="32"/>
          <w:szCs w:val="32"/>
          <w:highlight w:val="none"/>
          <w:lang w:val="en-US"/>
          <w14:textFill>
            <w14:solidFill>
              <w14:schemeClr w14:val="tx1"/>
            </w14:solidFill>
          </w14:textFill>
        </w:rPr>
        <w:t>169.71</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下降19.48%。</w:t>
      </w:r>
      <w:r>
        <w:rPr>
          <w:rFonts w:hint="eastAsia" w:ascii="仿宋" w:hAnsi="仿宋" w:eastAsia="仿宋" w:cs="仿宋"/>
          <w:color w:val="000000" w:themeColor="text1"/>
          <w:sz w:val="32"/>
          <w:szCs w:val="32"/>
          <w:highlight w:val="none"/>
          <w14:textFill>
            <w14:solidFill>
              <w14:schemeClr w14:val="tx1"/>
            </w14:solidFill>
          </w14:textFill>
        </w:rPr>
        <w:t>主要原因是：</w:t>
      </w:r>
      <w:r>
        <w:rPr>
          <w:rFonts w:hint="eastAsia" w:ascii="仿宋" w:hAnsi="仿宋" w:eastAsia="仿宋" w:cs="仿宋"/>
          <w:color w:val="000000" w:themeColor="text1"/>
          <w:sz w:val="32"/>
          <w:szCs w:val="32"/>
          <w:highlight w:val="none"/>
          <w:lang w:bidi="ar"/>
          <w14:textFill>
            <w14:solidFill>
              <w14:schemeClr w14:val="tx1"/>
            </w14:solidFill>
          </w14:textFill>
        </w:rPr>
        <w:t>落实过紧日子要求压减</w:t>
      </w:r>
      <w:r>
        <w:rPr>
          <w:rFonts w:hint="eastAsia" w:ascii="仿宋" w:hAnsi="仿宋" w:eastAsia="仿宋" w:cs="仿宋"/>
          <w:color w:val="000000" w:themeColor="text1"/>
          <w:sz w:val="32"/>
          <w:szCs w:val="32"/>
          <w:highlight w:val="none"/>
          <w:lang w:val="en-US" w:bidi="ar"/>
          <w14:textFill>
            <w14:solidFill>
              <w14:schemeClr w14:val="tx1"/>
            </w14:solidFill>
          </w14:textFill>
        </w:rPr>
        <w:t>169.71</w:t>
      </w:r>
      <w:r>
        <w:rPr>
          <w:rFonts w:hint="eastAsia" w:ascii="仿宋" w:hAnsi="仿宋" w:eastAsia="仿宋" w:cs="仿宋"/>
          <w:color w:val="000000" w:themeColor="text1"/>
          <w:sz w:val="32"/>
          <w:szCs w:val="32"/>
          <w:highlight w:val="none"/>
          <w:lang w:val="en-US" w:eastAsia="zh-CN" w:bidi="ar"/>
          <w14:textFill>
            <w14:solidFill>
              <w14:schemeClr w14:val="tx1"/>
            </w14:solidFill>
          </w14:textFill>
        </w:rPr>
        <w:t>万元支出</w:t>
      </w:r>
      <w:r>
        <w:rPr>
          <w:rFonts w:hint="eastAsia" w:ascii="仿宋" w:hAnsi="仿宋" w:eastAsia="仿宋" w:cs="仿宋"/>
          <w:color w:val="000000" w:themeColor="text1"/>
          <w:sz w:val="32"/>
          <w:szCs w:val="32"/>
          <w:highlight w:val="none"/>
          <w14:textFill>
            <w14:solidFill>
              <w14:schemeClr w14:val="tx1"/>
            </w14:solidFill>
          </w14:textFill>
        </w:rPr>
        <w:t>。</w:t>
      </w:r>
    </w:p>
    <w:p w14:paraId="32FB8A2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000000" w:themeColor="text1"/>
          <w:sz w:val="32"/>
          <w:szCs w:val="32"/>
          <w:highlight w:val="none"/>
          <w14:textFill>
            <w14:solidFill>
              <w14:schemeClr w14:val="tx1"/>
            </w14:solidFill>
          </w14:textFill>
        </w:rPr>
      </w:pPr>
      <w:bookmarkStart w:id="100" w:name="_Toc3131_WPSOffice_Level2"/>
      <w:bookmarkStart w:id="101" w:name="_Toc25333_WPSOffice_Level2"/>
      <w:bookmarkStart w:id="102" w:name="_Toc13084_WPSOffice_Level2"/>
      <w:bookmarkStart w:id="103" w:name="_Toc30383_WPSOffice_Level2"/>
      <w:bookmarkStart w:id="104" w:name="_Toc32689_WPSOffice_Level2"/>
      <w:bookmarkStart w:id="105" w:name="_Toc23966_WPSOffice_Level2"/>
      <w:r>
        <w:rPr>
          <w:rFonts w:hint="eastAsia" w:ascii="仿宋" w:hAnsi="仿宋" w:eastAsia="仿宋" w:cs="仿宋"/>
          <w:color w:val="000000" w:themeColor="text1"/>
          <w:sz w:val="32"/>
          <w:szCs w:val="32"/>
          <w:highlight w:val="none"/>
          <w:lang w:eastAsia="zh-CN"/>
          <w14:textFill>
            <w14:solidFill>
              <w14:schemeClr w14:val="tx1"/>
            </w14:solidFill>
          </w14:textFill>
        </w:rPr>
        <w:t>（二）</w:t>
      </w:r>
      <w:r>
        <w:rPr>
          <w:rFonts w:hint="eastAsia" w:ascii="楷体" w:hAnsi="楷体" w:eastAsia="楷体" w:cs="楷体"/>
          <w:bCs/>
          <w:color w:val="000000" w:themeColor="text1"/>
          <w:sz w:val="32"/>
          <w:szCs w:val="32"/>
          <w:highlight w:val="none"/>
          <w14:textFill>
            <w14:solidFill>
              <w14:schemeClr w14:val="tx1"/>
            </w14:solidFill>
          </w14:textFill>
        </w:rPr>
        <w:t>政府采购支出情况</w:t>
      </w:r>
      <w:bookmarkEnd w:id="100"/>
      <w:bookmarkEnd w:id="101"/>
      <w:bookmarkEnd w:id="102"/>
      <w:bookmarkEnd w:id="103"/>
      <w:bookmarkEnd w:id="104"/>
      <w:bookmarkEnd w:id="105"/>
    </w:p>
    <w:p w14:paraId="25335D4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14:textFill>
            <w14:solidFill>
              <w14:schemeClr w14:val="tx1"/>
            </w14:solidFill>
          </w14:textFill>
        </w:rPr>
        <w:t>2025</w:t>
      </w:r>
      <w:r>
        <w:rPr>
          <w:rFonts w:hint="eastAsia" w:ascii="仿宋" w:hAnsi="仿宋" w:eastAsia="仿宋" w:cs="仿宋"/>
          <w:color w:val="000000" w:themeColor="text1"/>
          <w:sz w:val="32"/>
          <w:szCs w:val="32"/>
          <w:highlight w:val="none"/>
          <w14:textFill>
            <w14:solidFill>
              <w14:schemeClr w14:val="tx1"/>
            </w14:solidFill>
          </w14:textFill>
        </w:rPr>
        <w:t>年度海南省农业农村厅单位政府采购支出总额</w:t>
      </w:r>
      <w:r>
        <w:rPr>
          <w:rFonts w:hint="eastAsia" w:ascii="仿宋" w:hAnsi="仿宋" w:eastAsia="仿宋" w:cs="仿宋"/>
          <w:color w:val="000000" w:themeColor="text1"/>
          <w:sz w:val="32"/>
          <w:szCs w:val="32"/>
          <w:highlight w:val="none"/>
          <w:lang w:val="en-US"/>
          <w14:textFill>
            <w14:solidFill>
              <w14:schemeClr w14:val="tx1"/>
            </w14:solidFill>
          </w14:textFill>
        </w:rPr>
        <w:t>3,553.22</w:t>
      </w:r>
      <w:r>
        <w:rPr>
          <w:rFonts w:hint="eastAsia" w:ascii="仿宋" w:hAnsi="仿宋" w:eastAsia="仿宋" w:cs="仿宋"/>
          <w:color w:val="000000" w:themeColor="text1"/>
          <w:sz w:val="32"/>
          <w:szCs w:val="32"/>
          <w:highlight w:val="none"/>
          <w14:textFill>
            <w14:solidFill>
              <w14:schemeClr w14:val="tx1"/>
            </w14:solidFill>
          </w14:textFill>
        </w:rPr>
        <w:t>万元，其中：政府采购货物支出</w:t>
      </w:r>
      <w:r>
        <w:rPr>
          <w:rFonts w:hint="eastAsia" w:ascii="仿宋" w:hAnsi="仿宋" w:eastAsia="仿宋" w:cs="仿宋"/>
          <w:color w:val="000000" w:themeColor="text1"/>
          <w:sz w:val="32"/>
          <w:szCs w:val="32"/>
          <w:highlight w:val="none"/>
          <w:lang w:val="en-US"/>
          <w14:textFill>
            <w14:solidFill>
              <w14:schemeClr w14:val="tx1"/>
            </w14:solidFill>
          </w14:textFill>
        </w:rPr>
        <w:t>303.42</w:t>
      </w:r>
      <w:r>
        <w:rPr>
          <w:rFonts w:hint="eastAsia" w:ascii="仿宋" w:hAnsi="仿宋" w:eastAsia="仿宋" w:cs="仿宋"/>
          <w:color w:val="000000" w:themeColor="text1"/>
          <w:sz w:val="32"/>
          <w:szCs w:val="32"/>
          <w:highlight w:val="none"/>
          <w14:textFill>
            <w14:solidFill>
              <w14:schemeClr w14:val="tx1"/>
            </w14:solidFill>
          </w14:textFill>
        </w:rPr>
        <w:t>万元、政府采购工程支出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万元、政府采购服务支出</w:t>
      </w:r>
      <w:r>
        <w:rPr>
          <w:rFonts w:hint="eastAsia" w:ascii="仿宋" w:hAnsi="仿宋" w:eastAsia="仿宋" w:cs="仿宋"/>
          <w:color w:val="000000" w:themeColor="text1"/>
          <w:sz w:val="32"/>
          <w:szCs w:val="32"/>
          <w:highlight w:val="none"/>
          <w:lang w:val="en-US"/>
          <w14:textFill>
            <w14:solidFill>
              <w14:schemeClr w14:val="tx1"/>
            </w14:solidFill>
          </w14:textFill>
        </w:rPr>
        <w:t>3,249.80</w:t>
      </w:r>
      <w:r>
        <w:rPr>
          <w:rFonts w:hint="eastAsia" w:ascii="仿宋" w:hAnsi="仿宋" w:eastAsia="仿宋" w:cs="仿宋"/>
          <w:color w:val="000000" w:themeColor="text1"/>
          <w:sz w:val="32"/>
          <w:szCs w:val="32"/>
          <w:highlight w:val="none"/>
          <w14:textFill>
            <w14:solidFill>
              <w14:schemeClr w14:val="tx1"/>
            </w14:solidFill>
          </w14:textFill>
        </w:rPr>
        <w:t>万元。授予中小企业合同金额</w:t>
      </w:r>
      <w:r>
        <w:rPr>
          <w:rFonts w:hint="eastAsia" w:ascii="仿宋" w:hAnsi="仿宋" w:eastAsia="仿宋" w:cs="仿宋"/>
          <w:color w:val="000000" w:themeColor="text1"/>
          <w:sz w:val="32"/>
          <w:szCs w:val="32"/>
          <w:highlight w:val="none"/>
          <w:lang w:val="en-US"/>
          <w14:textFill>
            <w14:solidFill>
              <w14:schemeClr w14:val="tx1"/>
            </w14:solidFill>
          </w14:textFill>
        </w:rPr>
        <w:t>2,127.77</w:t>
      </w:r>
      <w:r>
        <w:rPr>
          <w:rFonts w:hint="eastAsia" w:ascii="仿宋" w:hAnsi="仿宋" w:eastAsia="仿宋" w:cs="仿宋"/>
          <w:color w:val="000000" w:themeColor="text1"/>
          <w:sz w:val="32"/>
          <w:szCs w:val="32"/>
          <w:highlight w:val="none"/>
          <w14:textFill>
            <w14:solidFill>
              <w14:schemeClr w14:val="tx1"/>
            </w14:solidFill>
          </w14:textFill>
        </w:rPr>
        <w:t>万元，占政府采购支出总额的</w:t>
      </w:r>
      <w:r>
        <w:rPr>
          <w:rFonts w:hint="eastAsia" w:ascii="仿宋" w:hAnsi="仿宋" w:eastAsia="仿宋" w:cs="仿宋"/>
          <w:color w:val="000000" w:themeColor="text1"/>
          <w:sz w:val="32"/>
          <w:szCs w:val="32"/>
          <w:highlight w:val="none"/>
          <w:lang w:val="en-US" w:eastAsia="zh-CN"/>
          <w14:textFill>
            <w14:solidFill>
              <w14:schemeClr w14:val="tx1"/>
            </w14:solidFill>
          </w14:textFill>
        </w:rPr>
        <w:t>59.88</w:t>
      </w:r>
      <w:r>
        <w:rPr>
          <w:rFonts w:hint="eastAsia" w:ascii="仿宋" w:hAnsi="仿宋" w:eastAsia="仿宋" w:cs="仿宋"/>
          <w:color w:val="000000" w:themeColor="text1"/>
          <w:sz w:val="32"/>
          <w:szCs w:val="32"/>
          <w:highlight w:val="none"/>
          <w14:textFill>
            <w14:solidFill>
              <w14:schemeClr w14:val="tx1"/>
            </w14:solidFill>
          </w14:textFill>
        </w:rPr>
        <w:t>%，其中：授予小微企业合同金额</w:t>
      </w:r>
      <w:r>
        <w:rPr>
          <w:rFonts w:hint="eastAsia" w:ascii="仿宋" w:hAnsi="仿宋" w:eastAsia="仿宋" w:cs="仿宋"/>
          <w:color w:val="000000" w:themeColor="text1"/>
          <w:sz w:val="32"/>
          <w:szCs w:val="32"/>
          <w:highlight w:val="none"/>
          <w:lang w:val="en-US"/>
          <w14:textFill>
            <w14:solidFill>
              <w14:schemeClr w14:val="tx1"/>
            </w14:solidFill>
          </w14:textFill>
        </w:rPr>
        <w:t>1,036.98</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kern w:val="0"/>
          <w:sz w:val="32"/>
          <w:szCs w:val="32"/>
          <w:highlight w:val="none"/>
          <w:lang w:bidi="ar"/>
          <w14:textFill>
            <w14:solidFill>
              <w14:schemeClr w14:val="tx1"/>
            </w14:solidFill>
          </w14:textFill>
        </w:rPr>
        <w:t>授予中小企业合同金额</w:t>
      </w:r>
      <w:r>
        <w:rPr>
          <w:rFonts w:hint="eastAsia" w:ascii="仿宋" w:hAnsi="仿宋" w:eastAsia="仿宋" w:cs="仿宋"/>
          <w:color w:val="000000" w:themeColor="text1"/>
          <w:sz w:val="32"/>
          <w:szCs w:val="32"/>
          <w:highlight w:val="none"/>
          <w14:textFill>
            <w14:solidFill>
              <w14:schemeClr w14:val="tx1"/>
            </w14:solidFill>
          </w14:textFill>
        </w:rPr>
        <w:t>的</w:t>
      </w:r>
      <w:r>
        <w:rPr>
          <w:rFonts w:hint="eastAsia" w:ascii="仿宋" w:hAnsi="仿宋" w:eastAsia="仿宋" w:cs="仿宋"/>
          <w:color w:val="000000" w:themeColor="text1"/>
          <w:sz w:val="32"/>
          <w:szCs w:val="32"/>
          <w:highlight w:val="none"/>
          <w:lang w:val="en-US" w:eastAsia="zh-CN"/>
          <w14:textFill>
            <w14:solidFill>
              <w14:schemeClr w14:val="tx1"/>
            </w14:solidFill>
          </w14:textFill>
        </w:rPr>
        <w:t>48.74</w:t>
      </w:r>
      <w:r>
        <w:rPr>
          <w:rFonts w:hint="eastAsia" w:ascii="仿宋" w:hAnsi="仿宋" w:eastAsia="仿宋" w:cs="仿宋"/>
          <w:color w:val="000000" w:themeColor="text1"/>
          <w:sz w:val="32"/>
          <w:szCs w:val="32"/>
          <w:highlight w:val="none"/>
          <w14:textFill>
            <w14:solidFill>
              <w14:schemeClr w14:val="tx1"/>
            </w14:solidFill>
          </w14:textFill>
        </w:rPr>
        <w:t>%。</w:t>
      </w:r>
    </w:p>
    <w:p w14:paraId="3061DC4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000000" w:themeColor="text1"/>
          <w:sz w:val="32"/>
          <w:szCs w:val="32"/>
          <w:highlight w:val="none"/>
          <w14:textFill>
            <w14:solidFill>
              <w14:schemeClr w14:val="tx1"/>
            </w14:solidFill>
          </w14:textFill>
        </w:rPr>
      </w:pPr>
      <w:bookmarkStart w:id="106" w:name="_Toc6016_WPSOffice_Level2"/>
      <w:bookmarkStart w:id="107" w:name="_Toc15129_WPSOffice_Level2"/>
      <w:bookmarkStart w:id="108" w:name="_Toc10902_WPSOffice_Level2"/>
      <w:bookmarkStart w:id="109" w:name="_Toc527_WPSOffice_Level2"/>
      <w:bookmarkStart w:id="110" w:name="_Toc19989_WPSOffice_Level2"/>
      <w:bookmarkStart w:id="111" w:name="_Toc29584_WPSOffice_Level2"/>
      <w:r>
        <w:rPr>
          <w:rFonts w:hint="eastAsia" w:ascii="楷体" w:hAnsi="楷体" w:eastAsia="楷体" w:cs="楷体"/>
          <w:bCs/>
          <w:color w:val="000000" w:themeColor="text1"/>
          <w:sz w:val="32"/>
          <w:szCs w:val="32"/>
          <w:highlight w:val="none"/>
          <w14:textFill>
            <w14:solidFill>
              <w14:schemeClr w14:val="tx1"/>
            </w14:solidFill>
          </w14:textFill>
        </w:rPr>
        <w:t>（三）国有资产占用情况</w:t>
      </w:r>
      <w:bookmarkEnd w:id="106"/>
      <w:bookmarkEnd w:id="107"/>
      <w:bookmarkEnd w:id="108"/>
      <w:bookmarkEnd w:id="109"/>
      <w:bookmarkEnd w:id="110"/>
      <w:bookmarkEnd w:id="111"/>
    </w:p>
    <w:p w14:paraId="4FC4FE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Cs/>
          <w:color w:val="000000" w:themeColor="text1"/>
          <w:sz w:val="32"/>
          <w:szCs w:val="32"/>
          <w:highlight w:val="none"/>
          <w14:textFill>
            <w14:solidFill>
              <w14:schemeClr w14:val="tx1"/>
            </w14:solidFill>
          </w14:textFill>
        </w:rPr>
        <w:t>截至</w:t>
      </w:r>
      <w:r>
        <w:rPr>
          <w:rFonts w:hint="eastAsia" w:ascii="仿宋" w:hAnsi="仿宋" w:eastAsia="仿宋" w:cs="仿宋"/>
          <w:bCs/>
          <w:color w:val="000000" w:themeColor="text1"/>
          <w:sz w:val="32"/>
          <w:szCs w:val="32"/>
          <w:highlight w:val="none"/>
          <w:lang w:val="en-US"/>
          <w14:textFill>
            <w14:solidFill>
              <w14:schemeClr w14:val="tx1"/>
            </w14:solidFill>
          </w14:textFill>
        </w:rPr>
        <w:t>2025</w:t>
      </w:r>
      <w:r>
        <w:rPr>
          <w:rFonts w:hint="eastAsia" w:ascii="仿宋" w:hAnsi="仿宋" w:eastAsia="仿宋" w:cs="仿宋"/>
          <w:bCs/>
          <w:color w:val="000000" w:themeColor="text1"/>
          <w:sz w:val="32"/>
          <w:szCs w:val="32"/>
          <w:highlight w:val="none"/>
          <w14:textFill>
            <w14:solidFill>
              <w14:schemeClr w14:val="tx1"/>
            </w14:solidFill>
          </w14:textFill>
        </w:rPr>
        <w:t>年12月31日，本部门拥有</w:t>
      </w:r>
      <w:r>
        <w:rPr>
          <w:rFonts w:hint="eastAsia" w:ascii="仿宋" w:hAnsi="仿宋" w:eastAsia="仿宋" w:cs="仿宋"/>
          <w:color w:val="000000" w:themeColor="text1"/>
          <w:sz w:val="32"/>
          <w:szCs w:val="32"/>
          <w:highlight w:val="none"/>
          <w14:textFill>
            <w14:solidFill>
              <w14:schemeClr w14:val="tx1"/>
            </w14:solidFill>
          </w14:textFill>
        </w:rPr>
        <w:t>房屋面积</w:t>
      </w:r>
      <w:r>
        <w:rPr>
          <w:rFonts w:hint="eastAsia" w:ascii="仿宋" w:hAnsi="仿宋" w:eastAsia="仿宋" w:cs="仿宋"/>
          <w:color w:val="000000" w:themeColor="text1"/>
          <w:sz w:val="32"/>
          <w:szCs w:val="32"/>
          <w:highlight w:val="none"/>
          <w:lang w:val="en-US"/>
          <w14:textFill>
            <w14:solidFill>
              <w14:schemeClr w14:val="tx1"/>
            </w14:solidFill>
          </w14:textFill>
        </w:rPr>
        <w:t>2873.00</w:t>
      </w:r>
      <w:r>
        <w:rPr>
          <w:rFonts w:hint="eastAsia" w:ascii="仿宋" w:hAnsi="仿宋" w:eastAsia="仿宋" w:cs="仿宋"/>
          <w:color w:val="000000" w:themeColor="text1"/>
          <w:sz w:val="32"/>
          <w:szCs w:val="32"/>
          <w:highlight w:val="none"/>
          <w14:textFill>
            <w14:solidFill>
              <w14:schemeClr w14:val="tx1"/>
            </w14:solidFill>
          </w14:textFill>
        </w:rPr>
        <w:t>平方米</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1E9C75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本部门共有车辆</w:t>
      </w:r>
      <w:r>
        <w:rPr>
          <w:rFonts w:hint="eastAsia" w:ascii="仿宋" w:hAnsi="仿宋" w:eastAsia="仿宋" w:cs="仿宋"/>
          <w:color w:val="000000" w:themeColor="text1"/>
          <w:sz w:val="32"/>
          <w:szCs w:val="32"/>
          <w:highlight w:val="none"/>
          <w:lang w:val="en-US"/>
          <w14:textFill>
            <w14:solidFill>
              <w14:schemeClr w14:val="tx1"/>
            </w14:solidFill>
          </w14:textFill>
        </w:rPr>
        <w:t>7</w:t>
      </w:r>
      <w:r>
        <w:rPr>
          <w:rFonts w:hint="eastAsia" w:ascii="仿宋" w:hAnsi="仿宋" w:eastAsia="仿宋" w:cs="仿宋"/>
          <w:color w:val="000000" w:themeColor="text1"/>
          <w:sz w:val="32"/>
          <w:szCs w:val="32"/>
          <w:highlight w:val="none"/>
          <w14:textFill>
            <w14:solidFill>
              <w14:schemeClr w14:val="tx1"/>
            </w14:solidFill>
          </w14:textFill>
        </w:rPr>
        <w:t>辆，其中，副部（省）级及以上领导用车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辆、主要负责人用车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1</w:t>
      </w:r>
      <w:r>
        <w:rPr>
          <w:rFonts w:hint="eastAsia" w:ascii="仿宋" w:hAnsi="仿宋" w:eastAsia="仿宋" w:cs="仿宋"/>
          <w:color w:val="000000" w:themeColor="text1"/>
          <w:sz w:val="32"/>
          <w:szCs w:val="32"/>
          <w:highlight w:val="none"/>
          <w14:textFill>
            <w14:solidFill>
              <w14:schemeClr w14:val="tx1"/>
            </w14:solidFill>
          </w14:textFill>
        </w:rPr>
        <w:t>辆、机要通信用车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1</w:t>
      </w:r>
      <w:r>
        <w:rPr>
          <w:rFonts w:hint="eastAsia" w:ascii="仿宋" w:hAnsi="仿宋" w:eastAsia="仿宋" w:cs="仿宋"/>
          <w:color w:val="000000" w:themeColor="text1"/>
          <w:sz w:val="32"/>
          <w:szCs w:val="32"/>
          <w:highlight w:val="none"/>
          <w14:textFill>
            <w14:solidFill>
              <w14:schemeClr w14:val="tx1"/>
            </w14:solidFill>
          </w14:textFill>
        </w:rPr>
        <w:t>辆、应急保障用车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辆、执法执勤用车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r>
        <w:rPr>
          <w:rFonts w:hint="eastAsia" w:ascii="仿宋" w:hAnsi="仿宋" w:eastAsia="仿宋" w:cs="仿宋"/>
          <w:color w:val="000000" w:themeColor="text1"/>
          <w:sz w:val="32"/>
          <w:szCs w:val="32"/>
          <w:highlight w:val="none"/>
          <w14:textFill>
            <w14:solidFill>
              <w14:schemeClr w14:val="tx1"/>
            </w14:solidFill>
          </w14:textFill>
        </w:rPr>
        <w:t>辆、特种专业技术用车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辆、离退休干部服务用车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辆、其他用车</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辆。</w:t>
      </w:r>
    </w:p>
    <w:p w14:paraId="378F91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单价100万元（含）以上设备（不含车辆）</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14:textFill>
            <w14:solidFill>
              <w14:schemeClr w14:val="tx1"/>
            </w14:solidFill>
          </w14:textFill>
        </w:rPr>
        <w:t>台（套）。</w:t>
      </w:r>
    </w:p>
    <w:p w14:paraId="20F5AB1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color w:val="000000" w:themeColor="text1"/>
          <w:sz w:val="32"/>
          <w:szCs w:val="32"/>
          <w:highlight w:val="none"/>
          <w14:textFill>
            <w14:solidFill>
              <w14:schemeClr w14:val="tx1"/>
            </w14:solidFill>
          </w14:textFill>
        </w:rPr>
      </w:pPr>
      <w:bookmarkStart w:id="112" w:name="_Toc8874_WPSOffice_Level1"/>
      <w:bookmarkStart w:id="113" w:name="_Toc17580_WPSOffice_Level1"/>
      <w:bookmarkStart w:id="114" w:name="_Toc8808_WPSOffice_Level1"/>
      <w:bookmarkStart w:id="115" w:name="_Toc11039_WPSOffice_Level1"/>
      <w:bookmarkStart w:id="116" w:name="_Toc15425_WPSOffice_Level1"/>
      <w:bookmarkStart w:id="117" w:name="_Toc4398_WPSOffice_Level1"/>
    </w:p>
    <w:p w14:paraId="7D7EA2A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000000" w:themeColor="text1"/>
          <w:sz w:val="32"/>
          <w:szCs w:val="32"/>
          <w:highlight w:val="none"/>
          <w14:textFill>
            <w14:solidFill>
              <w14:schemeClr w14:val="tx1"/>
            </w14:solidFill>
          </w14:textFill>
        </w:rPr>
      </w:pPr>
      <w:r>
        <w:rPr>
          <w:rFonts w:hint="eastAsia" w:ascii="黑体" w:hAnsi="ˎ̥" w:eastAsia="黑体"/>
          <w:color w:val="000000" w:themeColor="text1"/>
          <w:sz w:val="32"/>
          <w:szCs w:val="32"/>
          <w:highlight w:val="none"/>
          <w14:textFill>
            <w14:solidFill>
              <w14:schemeClr w14:val="tx1"/>
            </w14:solidFill>
          </w14:textFill>
        </w:rPr>
        <w:t>第四部分名词解释</w:t>
      </w:r>
      <w:bookmarkEnd w:id="112"/>
      <w:bookmarkEnd w:id="113"/>
      <w:bookmarkEnd w:id="114"/>
      <w:bookmarkEnd w:id="115"/>
      <w:bookmarkEnd w:id="116"/>
      <w:bookmarkEnd w:id="117"/>
    </w:p>
    <w:p w14:paraId="20DF719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000000" w:themeColor="text1"/>
          <w:sz w:val="32"/>
          <w:szCs w:val="32"/>
          <w:highlight w:val="none"/>
          <w14:textFill>
            <w14:solidFill>
              <w14:schemeClr w14:val="tx1"/>
            </w14:solidFill>
          </w14:textFill>
        </w:rPr>
      </w:pPr>
    </w:p>
    <w:p w14:paraId="7197CEF9">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财政拨款收入：指同级政府财政部门当年拨付的各类财政拨款。</w:t>
      </w:r>
    </w:p>
    <w:p w14:paraId="7DA2B5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二、上级补助收入：指事业单位从主管部门和上级单位取得的非财政补助收入。</w:t>
      </w:r>
    </w:p>
    <w:p w14:paraId="2A9320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三、事业收入：指事业单位开展专业业务活动及辅助活动取得的收入。</w:t>
      </w:r>
    </w:p>
    <w:p w14:paraId="07958E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四、经营收入：指事业单位在专业业务活动及其辅助活动之外开展非独立核算经营活动取得的收入。</w:t>
      </w:r>
    </w:p>
    <w:p w14:paraId="2092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五、附属单位上缴收入：指事业单位取得附属独立核算单位根据有关规定上缴的收入。</w:t>
      </w:r>
    </w:p>
    <w:p w14:paraId="2323CEA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六、其他收入：指除上述“财政拨款收入”“事业收入”“上级补助收入”“经营收入”“附属单位上缴收入”等以外的收入。</w:t>
      </w:r>
    </w:p>
    <w:p w14:paraId="4062D03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七、使用非财政拨款结余（含专用结余）：指事业单位在当年的“财政拨款收入”“事业收入”“经营收入”“其他收入”等不足以安排当年支出的情况下，使用非同级财政拨款结余资金弥补本年度收支缺口。</w:t>
      </w:r>
    </w:p>
    <w:p w14:paraId="64AEE7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八、年初结转和结余：指以前年度尚未完成、结转到本年按有关规定继续使用的资金，或项目已完成等产生的结余资金。</w:t>
      </w:r>
    </w:p>
    <w:p w14:paraId="24D18E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九、结余分配：指事业单位缴纳企业所得税以及从非财政拨款结余或经营结余中提取各类结余的情况。</w:t>
      </w:r>
    </w:p>
    <w:p w14:paraId="5625F0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十、年末结转和结余：指本年度或以前年度预算安排、因客观条件发生变化无法按原计划实施，需要延迟到以后年度按有关规定继续使用的资金（不包括事业单位非财政拨款结余和专用结余）。</w:t>
      </w:r>
    </w:p>
    <w:p w14:paraId="66457C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十一、基本支出：指为保障机构正常运转、完成日常工作任务而发生的人员支出和公用支出。</w:t>
      </w:r>
    </w:p>
    <w:p w14:paraId="29DCB5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十二、项目支出：指在基本支出之外为完成特定行政任务和事业发展目标所发生的支出。</w:t>
      </w:r>
    </w:p>
    <w:p w14:paraId="2BF293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十三、经营支出：指事业单位在专业业务活动及其辅助活动之外开展非独立核算经营活动发生的支出。</w:t>
      </w:r>
    </w:p>
    <w:p w14:paraId="4BFE06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color w:val="000000" w:themeColor="text1"/>
          <w:sz w:val="32"/>
          <w:szCs w:val="32"/>
          <w:highlight w:val="none"/>
          <w:lang w:eastAsia="zh-CN"/>
          <w14:textFill>
            <w14:solidFill>
              <w14:schemeClr w14:val="tx1"/>
            </w14:solidFill>
          </w14:textFill>
        </w:rPr>
        <w:t>用</w:t>
      </w:r>
      <w:r>
        <w:rPr>
          <w:rFonts w:hint="eastAsia" w:ascii="仿宋" w:hAnsi="仿宋" w:eastAsia="仿宋" w:cs="仿宋"/>
          <w:color w:val="000000" w:themeColor="text1"/>
          <w:sz w:val="32"/>
          <w:szCs w:val="32"/>
          <w:highlight w:val="none"/>
          <w14:textFill>
            <w14:solidFill>
              <w14:schemeClr w14:val="tx1"/>
            </w14:solidFill>
          </w14:textFill>
        </w:rPr>
        <w:t>、公务用车购置及运行维护费和公务接待费。其中，因公出国（境）费</w:t>
      </w:r>
      <w:r>
        <w:rPr>
          <w:rFonts w:hint="eastAsia" w:ascii="仿宋" w:hAnsi="仿宋" w:eastAsia="仿宋" w:cs="仿宋"/>
          <w:color w:val="000000" w:themeColor="text1"/>
          <w:sz w:val="32"/>
          <w:szCs w:val="32"/>
          <w:highlight w:val="none"/>
          <w:lang w:eastAsia="zh-CN"/>
          <w14:textFill>
            <w14:solidFill>
              <w14:schemeClr w14:val="tx1"/>
            </w14:solidFill>
          </w14:textFill>
        </w:rPr>
        <w:t>用</w:t>
      </w:r>
      <w:r>
        <w:rPr>
          <w:rFonts w:hint="eastAsia" w:ascii="仿宋" w:hAnsi="仿宋" w:eastAsia="仿宋" w:cs="仿宋"/>
          <w:color w:val="000000" w:themeColor="text1"/>
          <w:sz w:val="32"/>
          <w:szCs w:val="32"/>
          <w:highlight w:val="none"/>
          <w14:textFill>
            <w14:solidFill>
              <w14:schemeClr w14:val="tx1"/>
            </w14:solidFill>
          </w14:textFill>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670215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76F30C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十六、支出功能分类：</w:t>
      </w:r>
    </w:p>
    <w:p w14:paraId="1676C20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农林水（类）农业农村（款）行政运行（项），反映行政单位（包括实行公务员管理的事业单位）的基本支出；</w:t>
      </w:r>
    </w:p>
    <w:p w14:paraId="6042C7E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农林水（类）农业农村（款）事业运行（项），反映农村部门所属事业单位的基本支出，不包括行政单位（包括实行公务员管理的事业单位）后勤服务中心、医务室等附属事业单位；</w:t>
      </w:r>
    </w:p>
    <w:p w14:paraId="33718FC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农林水（类）农业农村（款）科技转化与推广服务（项），反映用于农业科技转化和推广服务方面的支出，包括农业新技术、新成果引进、试验、示范、转化及推广，以及种植业技术推广等方面的支出；</w:t>
      </w:r>
    </w:p>
    <w:p w14:paraId="72CD11E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农林水（类）农业农村（款）病虫害控制（项），反映对农作物病虫害及草原鼠虫害等防治、植物检疫等方面的支出；</w:t>
      </w:r>
    </w:p>
    <w:p w14:paraId="095DFD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农林水（类）农业农村（款）农产品质量安全（项），反映农产品质量安全标准制定、检验检测、质量认证及监督管理等方面的支出；</w:t>
      </w:r>
    </w:p>
    <w:p w14:paraId="35EC19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农林水（类）农业农村（款）农业生产发展（项），反映用于发展农业生产方面的支出，包括种植、种业及农业生产发展等。</w:t>
      </w:r>
    </w:p>
    <w:p w14:paraId="670D29B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（注：支出功能分类的名词解释，各</w:t>
      </w:r>
      <w:r>
        <w:rPr>
          <w:rFonts w:hint="eastAsia" w:ascii="仿宋" w:hAnsi="仿宋" w:eastAsia="仿宋" w:cs="仿宋"/>
          <w:color w:val="000000" w:themeColor="text1"/>
          <w:sz w:val="32"/>
          <w:szCs w:val="32"/>
          <w:highlight w:val="none"/>
          <w:lang w:eastAsia="zh-CN"/>
          <w14:textFill>
            <w14:solidFill>
              <w14:schemeClr w14:val="tx1"/>
            </w14:solidFill>
          </w14:textFill>
        </w:rPr>
        <w:t>预算</w:t>
      </w:r>
      <w:r>
        <w:rPr>
          <w:rFonts w:hint="eastAsia" w:ascii="仿宋" w:hAnsi="仿宋" w:eastAsia="仿宋" w:cs="仿宋"/>
          <w:color w:val="000000" w:themeColor="text1"/>
          <w:sz w:val="32"/>
          <w:szCs w:val="32"/>
          <w:highlight w:val="none"/>
          <w14:textFill>
            <w14:solidFill>
              <w14:schemeClr w14:val="tx1"/>
            </w14:solidFill>
          </w14:textFill>
        </w:rPr>
        <w:t>部门</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单位根据实际支出情况填列，可参阅财政部印发的《202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年政府收支分类科目》</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w:t>
      </w:r>
    </w:p>
    <w:p w14:paraId="382C0B44">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C92DE9-E292-4A61-A5BE-FC03E5C0DD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embedRegular r:id="rId2" w:fontKey="{2CA2689D-E1DF-42F8-945F-AE0030449AD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3" w:fontKey="{BCBC0A1C-9260-40A7-85DE-22BF3CD92A7F}"/>
  </w:font>
  <w:font w:name="楷体">
    <w:panose1 w:val="02010609060101010101"/>
    <w:charset w:val="86"/>
    <w:family w:val="modern"/>
    <w:pitch w:val="default"/>
    <w:sig w:usb0="800002BF" w:usb1="38CF7CFA" w:usb2="00000016" w:usb3="00000000" w:csb0="00040001" w:csb1="00000000"/>
    <w:embedRegular r:id="rId4" w:fontKey="{F3694484-7845-4EBB-810E-065133478237}"/>
  </w:font>
  <w:font w:name="仿宋_GB2312">
    <w:altName w:val="仿宋"/>
    <w:panose1 w:val="02010609030101010101"/>
    <w:charset w:val="86"/>
    <w:family w:val="auto"/>
    <w:pitch w:val="default"/>
    <w:sig w:usb0="00000000" w:usb1="00000000" w:usb2="00000000" w:usb3="00000000" w:csb0="00040000" w:csb1="00000000"/>
    <w:embedRegular r:id="rId5" w:fontKey="{468441C0-CCB2-49D9-A430-A0C6DB4D5CC2}"/>
  </w:font>
  <w:font w:name="方正仿宋_GB2312">
    <w:panose1 w:val="02000000000000000000"/>
    <w:charset w:val="86"/>
    <w:family w:val="auto"/>
    <w:pitch w:val="default"/>
    <w:sig w:usb0="A00002BF" w:usb1="184F6CFA" w:usb2="00000012" w:usb3="00000000" w:csb0="00040001" w:csb1="00000000"/>
    <w:embedRegular r:id="rId6" w:fontKey="{95491122-A686-4F29-8A4A-10EADD9A7B8C}"/>
  </w:font>
  <w:font w:name="楷体_GB2312">
    <w:altName w:val="楷体"/>
    <w:panose1 w:val="02010609030101010101"/>
    <w:charset w:val="86"/>
    <w:family w:val="modern"/>
    <w:pitch w:val="default"/>
    <w:sig w:usb0="00000000" w:usb1="00000000" w:usb2="00000000" w:usb3="00000000" w:csb0="00040000" w:csb1="00000000"/>
    <w:embedRegular r:id="rId7" w:fontKey="{C6C8F82E-3744-45BE-B69C-F39B1390322C}"/>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E08A">
    <w:pPr>
      <w:pStyle w:val="5"/>
      <w:framePr w:wrap="around" w:vAnchor="text" w:hAnchor="margin" w:xAlign="center" w:y="1"/>
      <w:rPr>
        <w:rStyle w:val="13"/>
        <w:rFonts w:hint="eastAsia" w:ascii="宋体" w:hAnsi="宋体" w:eastAsia="宋体" w:cs="宋体"/>
        <w:sz w:val="28"/>
        <w:szCs w:val="28"/>
      </w:rPr>
    </w:pPr>
    <w:r>
      <w:rPr>
        <w:rFonts w:hint="eastAsia" w:ascii="宋体" w:hAnsi="宋体" w:eastAsia="宋体" w:cs="宋体"/>
        <w:sz w:val="28"/>
        <w:szCs w:val="28"/>
      </w:rPr>
      <w:fldChar w:fldCharType="begin"/>
    </w:r>
    <w:r>
      <w:rPr>
        <w:rStyle w:val="13"/>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3"/>
        <w:rFonts w:hint="eastAsia" w:ascii="宋体" w:hAnsi="宋体" w:eastAsia="宋体" w:cs="宋体"/>
        <w:sz w:val="28"/>
        <w:szCs w:val="28"/>
      </w:rPr>
      <w:t>18</w:t>
    </w:r>
    <w:r>
      <w:rPr>
        <w:rFonts w:hint="eastAsia" w:ascii="宋体" w:hAnsi="宋体" w:eastAsia="宋体" w:cs="宋体"/>
        <w:sz w:val="28"/>
        <w:szCs w:val="28"/>
      </w:rPr>
      <w:fldChar w:fldCharType="end"/>
    </w:r>
  </w:p>
  <w:p w14:paraId="1BD1ED8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F60F">
    <w:pPr>
      <w:pStyle w:val="5"/>
      <w:framePr w:wrap="around" w:vAnchor="text" w:hAnchor="margin" w:xAlign="center" w:y="1"/>
      <w:rPr>
        <w:rStyle w:val="13"/>
      </w:rPr>
    </w:pPr>
    <w:r>
      <w:fldChar w:fldCharType="begin"/>
    </w:r>
    <w:r>
      <w:rPr>
        <w:rStyle w:val="13"/>
      </w:rPr>
      <w:instrText xml:space="preserve">PAGE  </w:instrText>
    </w:r>
    <w:r>
      <w:fldChar w:fldCharType="separate"/>
    </w:r>
    <w:r>
      <w:fldChar w:fldCharType="end"/>
    </w:r>
  </w:p>
  <w:p w14:paraId="07FD915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DBCB51F0"/>
    <w:multiLevelType w:val="singleLevel"/>
    <w:tmpl w:val="DBCB51F0"/>
    <w:lvl w:ilvl="0" w:tentative="0">
      <w:start w:val="2"/>
      <w:numFmt w:val="decimal"/>
      <w:suff w:val="space"/>
      <w:lvlText w:val="%1."/>
      <w:lvlJc w:val="left"/>
    </w:lvl>
  </w:abstractNum>
  <w:abstractNum w:abstractNumId="2">
    <w:nsid w:val="DE7ABA8A"/>
    <w:multiLevelType w:val="singleLevel"/>
    <w:tmpl w:val="DE7ABA8A"/>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2B4154F"/>
    <w:rsid w:val="035166A0"/>
    <w:rsid w:val="03AF1619"/>
    <w:rsid w:val="04CB1139"/>
    <w:rsid w:val="04F53EA0"/>
    <w:rsid w:val="06400C4E"/>
    <w:rsid w:val="080B7C62"/>
    <w:rsid w:val="09201287"/>
    <w:rsid w:val="0AF81AF7"/>
    <w:rsid w:val="0B8646CF"/>
    <w:rsid w:val="0F0D0E98"/>
    <w:rsid w:val="0F5B4403"/>
    <w:rsid w:val="0F64775C"/>
    <w:rsid w:val="0F6770D5"/>
    <w:rsid w:val="0FC80124"/>
    <w:rsid w:val="106D0892"/>
    <w:rsid w:val="107E3199"/>
    <w:rsid w:val="136F98C7"/>
    <w:rsid w:val="13CC1D73"/>
    <w:rsid w:val="17427E68"/>
    <w:rsid w:val="1755065F"/>
    <w:rsid w:val="17F378CF"/>
    <w:rsid w:val="1AFC29C9"/>
    <w:rsid w:val="1B1E0CE3"/>
    <w:rsid w:val="1CA52F2E"/>
    <w:rsid w:val="1E3630B9"/>
    <w:rsid w:val="1E766B63"/>
    <w:rsid w:val="22FB1D2D"/>
    <w:rsid w:val="24013373"/>
    <w:rsid w:val="26BE4D95"/>
    <w:rsid w:val="26EEC2B5"/>
    <w:rsid w:val="27F233A2"/>
    <w:rsid w:val="29472309"/>
    <w:rsid w:val="2AC31382"/>
    <w:rsid w:val="2B406E77"/>
    <w:rsid w:val="2BF67536"/>
    <w:rsid w:val="2C2A0C43"/>
    <w:rsid w:val="2C895B0F"/>
    <w:rsid w:val="2D1E73A5"/>
    <w:rsid w:val="2D984D48"/>
    <w:rsid w:val="2DAA682A"/>
    <w:rsid w:val="32717154"/>
    <w:rsid w:val="329652B3"/>
    <w:rsid w:val="33E12879"/>
    <w:rsid w:val="34B63260"/>
    <w:rsid w:val="37FDA7E2"/>
    <w:rsid w:val="38337C46"/>
    <w:rsid w:val="389D2A9B"/>
    <w:rsid w:val="39764963"/>
    <w:rsid w:val="3A314D88"/>
    <w:rsid w:val="3A746883"/>
    <w:rsid w:val="3C8A1D00"/>
    <w:rsid w:val="3CA15DE9"/>
    <w:rsid w:val="3D0F0457"/>
    <w:rsid w:val="3DEF1A87"/>
    <w:rsid w:val="3DFA2EB5"/>
    <w:rsid w:val="3FD02B45"/>
    <w:rsid w:val="3FE61EE5"/>
    <w:rsid w:val="406508EE"/>
    <w:rsid w:val="408D6263"/>
    <w:rsid w:val="41B40CEE"/>
    <w:rsid w:val="42834F1E"/>
    <w:rsid w:val="45060392"/>
    <w:rsid w:val="46773AE2"/>
    <w:rsid w:val="48317291"/>
    <w:rsid w:val="484D5079"/>
    <w:rsid w:val="485F7024"/>
    <w:rsid w:val="488F68F0"/>
    <w:rsid w:val="48C447EC"/>
    <w:rsid w:val="48E70666"/>
    <w:rsid w:val="4C6877E5"/>
    <w:rsid w:val="4D4E6D7A"/>
    <w:rsid w:val="4D6A468D"/>
    <w:rsid w:val="4EA86137"/>
    <w:rsid w:val="4ED7255D"/>
    <w:rsid w:val="51DA7627"/>
    <w:rsid w:val="533336BC"/>
    <w:rsid w:val="537868FE"/>
    <w:rsid w:val="54AB6860"/>
    <w:rsid w:val="55384597"/>
    <w:rsid w:val="56031AB3"/>
    <w:rsid w:val="56B81EA5"/>
    <w:rsid w:val="56CA7FD0"/>
    <w:rsid w:val="57832294"/>
    <w:rsid w:val="57FA38D1"/>
    <w:rsid w:val="58174786"/>
    <w:rsid w:val="5A6A4AC7"/>
    <w:rsid w:val="5AB97EAE"/>
    <w:rsid w:val="5BDA26D9"/>
    <w:rsid w:val="5D9E1657"/>
    <w:rsid w:val="5F6F02D7"/>
    <w:rsid w:val="5F7D3333"/>
    <w:rsid w:val="601D7037"/>
    <w:rsid w:val="61385890"/>
    <w:rsid w:val="64817145"/>
    <w:rsid w:val="64CC0566"/>
    <w:rsid w:val="66806D9D"/>
    <w:rsid w:val="66CB4B3F"/>
    <w:rsid w:val="687436E1"/>
    <w:rsid w:val="6A6B4546"/>
    <w:rsid w:val="6A8E20AF"/>
    <w:rsid w:val="6DA45C50"/>
    <w:rsid w:val="6DB77331"/>
    <w:rsid w:val="6E9A5E22"/>
    <w:rsid w:val="6E9A7825"/>
    <w:rsid w:val="6F670F9B"/>
    <w:rsid w:val="737450E0"/>
    <w:rsid w:val="739E7864"/>
    <w:rsid w:val="74054476"/>
    <w:rsid w:val="742F38C4"/>
    <w:rsid w:val="74AB66DC"/>
    <w:rsid w:val="74C4154C"/>
    <w:rsid w:val="75956FFF"/>
    <w:rsid w:val="771F2229"/>
    <w:rsid w:val="778D20C9"/>
    <w:rsid w:val="77AA2D01"/>
    <w:rsid w:val="783C4637"/>
    <w:rsid w:val="793C6888"/>
    <w:rsid w:val="7CDE1DBD"/>
    <w:rsid w:val="7D943A85"/>
    <w:rsid w:val="7DB0448C"/>
    <w:rsid w:val="7E1C0CF2"/>
    <w:rsid w:val="7E5F9AA4"/>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Indent"/>
    <w:basedOn w:val="1"/>
    <w:qFormat/>
    <w:uiPriority w:val="0"/>
    <w:pPr>
      <w:spacing w:before="0" w:beforeAutospacing="0" w:after="120" w:afterLines="0" w:afterAutospacing="0"/>
      <w:ind w:left="200" w:leftChars="200" w:right="0"/>
      <w:jc w:val="left"/>
    </w:pPr>
    <w:rPr>
      <w:rFonts w:hint="eastAsia" w:ascii="Times New Roman" w:hAnsi="Times New Roman" w:eastAsia="宋体" w:cs="Times New Roman"/>
      <w:kern w:val="0"/>
      <w:sz w:val="20"/>
      <w:szCs w:val="20"/>
      <w:lang w:val="en-US" w:eastAsia="zh-CN" w:bidi="ar"/>
    </w:rPr>
  </w:style>
  <w:style w:type="paragraph" w:styleId="4">
    <w:name w:val="Balloon Text"/>
    <w:basedOn w:val="1"/>
    <w:link w:val="16"/>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annotation subject"/>
    <w:basedOn w:val="2"/>
    <w:next w:val="2"/>
    <w:link w:val="18"/>
    <w:qFormat/>
    <w:uiPriority w:val="0"/>
    <w:rPr>
      <w:b/>
      <w:bCs/>
    </w:rPr>
  </w:style>
  <w:style w:type="paragraph" w:styleId="9">
    <w:name w:val="Body Text First Indent 2"/>
    <w:basedOn w:val="3"/>
    <w:next w:val="1"/>
    <w:qFormat/>
    <w:uiPriority w:val="0"/>
    <w:pPr>
      <w:spacing w:before="0" w:beforeAutospacing="0" w:after="120" w:afterLines="0" w:afterAutospacing="0"/>
      <w:ind w:left="200" w:leftChars="200" w:right="0" w:firstLine="200" w:firstLineChars="200"/>
      <w:jc w:val="left"/>
    </w:pPr>
    <w:rPr>
      <w:rFonts w:hint="eastAsia" w:ascii="Arial" w:hAnsi="Arial" w:eastAsia="宋体" w:cs="Times New Roman"/>
      <w:kern w:val="0"/>
      <w:sz w:val="24"/>
      <w:szCs w:val="24"/>
      <w:lang w:val="en-US" w:eastAsia="zh-CN" w:bidi="ar"/>
    </w:rPr>
  </w:style>
  <w:style w:type="character" w:styleId="12">
    <w:name w:val="Strong"/>
    <w:basedOn w:val="11"/>
    <w:qFormat/>
    <w:uiPriority w:val="0"/>
    <w:rPr>
      <w:b/>
    </w:rPr>
  </w:style>
  <w:style w:type="character" w:styleId="13">
    <w:name w:val="page number"/>
    <w:qFormat/>
    <w:uiPriority w:val="0"/>
  </w:style>
  <w:style w:type="character" w:styleId="14">
    <w:name w:val="annotation reference"/>
    <w:qFormat/>
    <w:uiPriority w:val="0"/>
    <w:rPr>
      <w:sz w:val="21"/>
      <w:szCs w:val="21"/>
    </w:rPr>
  </w:style>
  <w:style w:type="character" w:customStyle="1" w:styleId="15">
    <w:name w:val="批注文字 Char"/>
    <w:link w:val="2"/>
    <w:qFormat/>
    <w:uiPriority w:val="0"/>
    <w:rPr>
      <w:kern w:val="2"/>
      <w:sz w:val="21"/>
      <w:szCs w:val="24"/>
    </w:rPr>
  </w:style>
  <w:style w:type="character" w:customStyle="1" w:styleId="16">
    <w:name w:val="批注框文本 Char"/>
    <w:link w:val="4"/>
    <w:qFormat/>
    <w:uiPriority w:val="0"/>
    <w:rPr>
      <w:kern w:val="2"/>
      <w:sz w:val="18"/>
      <w:szCs w:val="18"/>
    </w:rPr>
  </w:style>
  <w:style w:type="character" w:customStyle="1" w:styleId="17">
    <w:name w:val="页眉 Char"/>
    <w:link w:val="6"/>
    <w:qFormat/>
    <w:uiPriority w:val="0"/>
    <w:rPr>
      <w:kern w:val="2"/>
      <w:sz w:val="18"/>
      <w:szCs w:val="18"/>
    </w:rPr>
  </w:style>
  <w:style w:type="character" w:customStyle="1" w:styleId="18">
    <w:name w:val="批注主题 Char"/>
    <w:link w:val="8"/>
    <w:qFormat/>
    <w:uiPriority w:val="0"/>
    <w:rPr>
      <w:b/>
      <w:bCs/>
      <w:kern w:val="2"/>
      <w:sz w:val="21"/>
      <w:szCs w:val="24"/>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WPSOffice手动目录 2"/>
    <w:qFormat/>
    <w:uiPriority w:val="0"/>
    <w:pPr>
      <w:ind w:leftChars="200"/>
    </w:pPr>
    <w:rPr>
      <w:rFonts w:ascii="Times New Roman" w:hAnsi="Times New Roman" w:eastAsia="宋体" w:cs="Times New Roman"/>
      <w:lang w:val="en-US" w:eastAsia="zh-CN" w:bidi="ar-SA"/>
    </w:rPr>
  </w:style>
  <w:style w:type="paragraph" w:customStyle="1" w:styleId="21">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02e40ba4-4561-4ca2-ba14-7382e8d07296</errorID>
      <errorWord>第二部分2025年度部门决算公开表</errorWord>
      <group>L1_Other</group>
      <groupName>其他问题</groupName>
      <ability>L2_Consistency</ability>
      <abilityName>一致性检查</abilityName>
      <candidateList>
        <item>第二部分2025年度部门决算公开报表</item>
      </candidateList>
      <explain>实体一致性，目录中第二部分标题为“2025年度部门决算公开表”，正文第二部分标题为“2025年度部门决算公开报表”，标题表述不一致</explain>
      <paraID>3B013F23</paraID>
      <start>43</start>
      <end>60</end>
      <status>ignored</status>
      <modifiedWord/>
      <trackRevisions>false</trackRevisions>
    </reviewItem>
    <reviewItem>
      <errorID>3c6e64fc-f685-4115-b85d-16ea3aacc8c5</errorID>
      <errorWord>原因是</errorWord>
      <group>L1_Word</group>
      <groupName>字词问题</groupName>
      <ability>L2_Typo</ability>
      <abilityName>字词错误</abilityName>
      <candidateList>
        <item>原因</item>
      </candidateList>
      <explain/>
      <paraID>33C8A050</paraID>
      <start>59</start>
      <end>62</end>
      <status>ignored</status>
      <modifiedWord/>
      <trackRevisions>false</trackRevisions>
    </reviewItem>
    <reviewItem>
      <errorID>c95fd295-620e-48de-a05f-d8fd15e81ddb</errorID>
      <errorWord>，</errorWord>
      <group>L1_Punc</group>
      <groupName>标点问题</groupName>
      <ability>L2_Punc_CN</ability>
      <abilityName>标点符号问题</abilityName>
      <candidateList>
        <item>；</item>
      </candidateList>
      <explain/>
      <paraID>3CD7D434</paraID>
      <start>113</start>
      <end>114</end>
      <status>modified</status>
      <modifiedWord>；</modifiedWord>
      <trackRevisions>false</trackRevisions>
    </reviewItem>
    <reviewItem>
      <errorID>6eb50a35-dedd-4cda-93c3-ed768601b0ec</errorID>
      <errorWord>；。</errorWord>
      <group>L1_Punc</group>
      <groupName>标点问题</groupName>
      <ability>L2_Punc_CN</ability>
      <abilityName>标点符号问题</abilityName>
      <candidateList>
        <item>；</item>
      </candidateList>
      <explain/>
      <paraID>4C90B1F0</paraID>
      <start>54</start>
      <end>55</end>
      <status>modified</status>
      <modifiedWord>；</modifiedWord>
      <trackRevisions>false</trackRevisions>
    </reviewItem>
    <reviewItem>
      <errorID>9cf3b22c-18ae-4672-8ed5-0eb2533e64b0</errorID>
      <errorWord>"</errorWord>
      <group>L1_Format</group>
      <groupName>格式问题</groupName>
      <ability>L2_HalfPunc_CN</ability>
      <abilityName>全半角问题</abilityName>
      <candidateList>
        <item>“</item>
      </candidateList>
      <explain>文本全半角错误。</explain>
      <paraID>7A1D319F</paraID>
      <start>64</start>
      <end>65</end>
      <status>modified</status>
      <modifiedWord>“</modifiedWord>
      <trackRevisions>false</trackRevisions>
    </reviewItem>
    <reviewItem>
      <errorID>da9d8163-7b62-4952-bbaa-10bf3c698307</errorID>
      <errorWord>"</errorWord>
      <group>L1_Format</group>
      <groupName>格式问题</groupName>
      <ability>L2_HalfPunc_CN</ability>
      <abilityName>全半角问题</abilityName>
      <candidateList>
        <item>”</item>
      </candidateList>
      <explain>文本全半角错误。</explain>
      <paraID>7A1D319F</paraID>
      <start>69</start>
      <end>70</end>
      <status>modified</status>
      <modifiedWord>”</modifiedWord>
      <trackRevisions>false</trackRevisions>
    </reviewItem>
    <reviewItem>
      <errorID>35c189d2-9199-4f2b-8665-269cf4ae0e96</errorID>
      <errorWord>巩固脱贫攻坚成果</errorWord>
      <group>L1_Word</group>
      <groupName>字词问题</groupName>
      <ability>L2_Typo</ability>
      <abilityName>字词错误</abilityName>
      <candidateList>
        <item>巩固拓展脱贫攻坚成果</item>
      </candidateList>
      <explain/>
      <paraID>5FDCB417</paraID>
      <start>6</start>
      <end>14</end>
      <status>ignored</status>
      <modifiedWord/>
      <trackRevisions>false</trackRevisions>
    </reviewItem>
    <reviewItem>
      <errorID>3420b979-c2ab-4cbf-9840-0610702efeaf</errorID>
      <errorWord>巩固脱贫攻坚成果</errorWord>
      <group>L1_Word</group>
      <groupName>字词问题</groupName>
      <ability>L2_Typo</ability>
      <abilityName>字词错误</abilityName>
      <candidateList>
        <item>巩固拓展脱贫攻坚成果</item>
      </candidateList>
      <explain/>
      <paraID>5FDCB417</paraID>
      <start>25</start>
      <end>33</end>
      <status>ignored</status>
      <modifiedWord/>
      <trackRevisions>false</trackRevisions>
    </reviewItem>
    <reviewItem>
      <errorID>060ed255-c93c-4ccc-a332-f0e15b2db050</errorID>
      <errorWord>签定</errorWord>
      <group>L1_Word</group>
      <groupName>字词问题</groupName>
      <ability>L2_Typo</ability>
      <abilityName>字词错误</abilityName>
      <candidateList>
        <item>签订</item>
      </candidateList>
      <explain/>
      <paraID>4A429B3D</paraID>
      <start>79</start>
      <end>81</end>
      <status>modified</status>
      <modifiedWord>签订</modifiedWord>
      <trackRevisions>false</trackRevisions>
    </reviewItem>
    <reviewItem>
      <errorID>492c357f-5d25-4f6b-b39d-51cc64dc65bb</errorID>
      <errorWord>，</errorWord>
      <group>L1_Punc</group>
      <groupName>标点问题</groupName>
      <ability>L2_Punc_CN</ability>
      <abilityName>标点符号问题</abilityName>
      <candidateList>
        <item/>
      </candidateList>
      <explain/>
      <paraID>1565C7BE</paraID>
      <start>32</start>
      <end>32</end>
      <status>modified</status>
      <modifiedWord/>
      <trackRevisions>false</trackRevisions>
    </reviewItem>
    <reviewItem>
      <errorID>685f7d94-cedd-4eb2-a7e9-2b70b7eb6faf</errorID>
      <errorWord>，</errorWord>
      <group>L1_Punc</group>
      <groupName>标点问题</groupName>
      <ability>L2_Punc_CN</ability>
      <abilityName>标点符号问题</abilityName>
      <candidateList>
        <item/>
      </candidateList>
      <explain/>
      <paraID>3E49B1BD</paraID>
      <start>35</start>
      <end>36</end>
      <status>ignored</status>
      <modifiedWord/>
      <trackRevisions>false</trackRevisions>
    </reviewItem>
    <reviewItem>
      <errorID>89de2401-1465-4edf-80f1-e8d598b47a4f</errorID>
      <errorWord>览</errorWord>
      <group>L1_Word</group>
      <groupName>字词问题</groupName>
      <ability>L2_Typo</ability>
      <abilityName>字词错误</abilityName>
      <candidateList>
        <item>览会</item>
      </candidateList>
      <explain/>
      <paraID>3E49B1BD</paraID>
      <start>71</start>
      <end>73</end>
      <status>modified</status>
      <modifiedWord>览会</modifiedWord>
      <trackRevisions>false</trackRevisions>
    </reviewItem>
    <reviewItem>
      <errorID>9fc55dc6-4b9c-4066-ad84-c8aef6de36f1</errorID>
      <errorWord>,</errorWord>
      <group>L1_Format</group>
      <groupName>格式问题</groupName>
      <ability>L2_HalfPunc_CN</ability>
      <abilityName>全半角问题</abilityName>
      <candidateList>
        <item>，</item>
      </candidateList>
      <explain>文本全半角错误。</explain>
      <paraID>3ED8D3C6</paraID>
      <start>66</start>
      <end>67</end>
      <status>modified</status>
      <modifiedWord>，</modifiedWord>
      <trackRevisions>false</trackRevisions>
    </reviewItem>
    <reviewItem>
      <errorID>cf93dd59-6ddc-49e9-ac83-c9ac45e6d28c</errorID>
      <errorWord>支出</errorWord>
      <group>L1_Grammar</group>
      <groupName>语法问题</groupName>
      <ability>L2_Grammar</ability>
      <abilityName>语法错误</abilityName>
      <candidateList>
        <item>万元支出</item>
      </candidateList>
      <explain/>
      <paraID>3938F2CB</paraID>
      <start>153</start>
      <end>157</end>
      <status>modified</status>
      <modifiedWord>万元支出</modifiedWord>
      <trackRevisions>false</trackRevisions>
    </reviewItem>
    <reviewItem>
      <errorID>72f9d07b-5c9e-4fd9-b306-2a44b0170f0c</errorID>
      <errorWord>（（二）</errorWord>
      <group>L1_Format</group>
      <groupName>格式问题</groupName>
      <ability>L2_Ordinal</ability>
      <abilityName>序号格式</abilityName>
      <candidateList>
        <item>（二）</item>
      </candidateList>
      <explain>标题顺序错误，请检查标题顺序是否合理。</explain>
      <paraID>32FB8A24</paraID>
      <start>0</start>
      <end>3</end>
      <status>modified</status>
      <modifiedWord>（二）</modifiedWord>
      <trackRevisions>false</trackRevisions>
    </reviewItem>
    <reviewItem>
      <errorID>d0c91d6e-dcab-4b3c-bbfb-ca2703c8460d</errorID>
      <errorWord>名词解释</errorWord>
      <group>L1_Word</group>
      <groupName>字词问题</groupName>
      <ability>L2_Typo</ability>
      <abilityName>字词错误</abilityName>
      <candidateList>
        <item> 名词解释</item>
      </candidateList>
      <explain/>
      <paraID>7D7EA2AD</paraID>
      <start>4</start>
      <end>8</end>
      <status>ignored</status>
      <modifiedWord/>
      <trackRevisions>false</trackRevisions>
    </reviewItem>
  </reviewItems>
  <config/>
</contractReview>
</file>

<file path=customXml/itemProps1.xml><?xml version="1.0" encoding="utf-8"?>
<ds:datastoreItem xmlns:ds="http://schemas.openxmlformats.org/officeDocument/2006/customXml" ds:itemID="{e5eae2a6-ead9-4250-b720-82218afe8378}">
  <ds:schemaRefs/>
</ds:datastoreItem>
</file>

<file path=docProps/app.xml><?xml version="1.0" encoding="utf-8"?>
<Properties xmlns="http://schemas.openxmlformats.org/officeDocument/2006/extended-properties" xmlns:vt="http://schemas.openxmlformats.org/officeDocument/2006/docPropsVTypes">
  <Template>Normal.dotm</Template>
  <Pages>28</Pages>
  <Words>9624</Words>
  <Characters>10898</Characters>
  <Lines>67</Lines>
  <Paragraphs>18</Paragraphs>
  <TotalTime>126</TotalTime>
  <ScaleCrop>false</ScaleCrop>
  <LinksUpToDate>false</LinksUpToDate>
  <CharactersWithSpaces>10916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陆</cp:lastModifiedBy>
  <cp:lastPrinted>2026-08-31T07:28:07Z</cp:lastPrinted>
  <dcterms:modified xsi:type="dcterms:W3CDTF">2026-08-31T07:49:44Z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285B2321699245B482237A7B0E6959A9_13</vt:lpwstr>
  </property>
  <property fmtid="{D5CDD505-2E9C-101B-9397-08002B2CF9AE}" pid="4" name="KSOTemplateDocerSaveRecord">
    <vt:lpwstr>eyJoZGlkIjoiODc2YmY1Y2VjZTE2OTk0Yzc4MTdkYzE5NTk0ZDBkOTQiLCJ1c2VySWQiOiIyODkxOTcyMzEifQ==</vt:lpwstr>
  </property>
</Properties>
</file>