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356A">
      <w:pPr>
        <w:spacing w:line="578" w:lineRule="exact"/>
        <w:jc w:val="center"/>
        <w:rPr>
          <w:rFonts w:hint="eastAsia" w:asciiTheme="majorEastAsia" w:hAnsiTheme="majorEastAsia" w:eastAsiaTheme="majorEastAsia" w:cstheme="majorEastAsia"/>
          <w:b/>
          <w:bCs/>
          <w:color w:val="auto"/>
          <w:sz w:val="44"/>
          <w:szCs w:val="44"/>
          <w:highlight w:val="none"/>
        </w:rPr>
      </w:pPr>
      <w:r>
        <w:rPr>
          <w:rFonts w:hint="eastAsia" w:asciiTheme="majorEastAsia" w:hAnsiTheme="majorEastAsia" w:eastAsiaTheme="majorEastAsia" w:cstheme="majorEastAsia"/>
          <w:b/>
          <w:bCs/>
          <w:color w:val="auto"/>
          <w:sz w:val="44"/>
          <w:szCs w:val="44"/>
          <w:highlight w:val="none"/>
        </w:rPr>
        <w:t>海南省农业农村厅</w:t>
      </w:r>
      <w:r>
        <w:rPr>
          <w:rFonts w:hint="default" w:asciiTheme="majorEastAsia" w:hAnsiTheme="majorEastAsia" w:eastAsiaTheme="majorEastAsia" w:cstheme="majorEastAsia"/>
          <w:b/>
          <w:bCs/>
          <w:color w:val="auto"/>
          <w:sz w:val="44"/>
          <w:szCs w:val="44"/>
          <w:highlight w:val="none"/>
          <w:lang w:val="en-US"/>
        </w:rPr>
        <w:t>2025</w:t>
      </w:r>
      <w:r>
        <w:rPr>
          <w:rFonts w:hint="eastAsia" w:asciiTheme="majorEastAsia" w:hAnsiTheme="majorEastAsia" w:eastAsiaTheme="majorEastAsia" w:cstheme="majorEastAsia"/>
          <w:b/>
          <w:bCs/>
          <w:color w:val="auto"/>
          <w:sz w:val="44"/>
          <w:szCs w:val="44"/>
          <w:highlight w:val="none"/>
        </w:rPr>
        <w:t>年度部门决算公开报告</w:t>
      </w:r>
    </w:p>
    <w:p w14:paraId="1E8F4CF7">
      <w:pPr>
        <w:spacing w:line="578" w:lineRule="exact"/>
        <w:jc w:val="center"/>
        <w:rPr>
          <w:rFonts w:hint="eastAsia" w:asciiTheme="majorEastAsia" w:hAnsiTheme="majorEastAsia" w:eastAsiaTheme="majorEastAsia" w:cstheme="majorEastAsia"/>
          <w:b/>
          <w:bCs/>
          <w:color w:val="auto"/>
          <w:sz w:val="44"/>
          <w:szCs w:val="44"/>
          <w:highlight w:val="none"/>
        </w:rPr>
      </w:pPr>
    </w:p>
    <w:p w14:paraId="6C2B2D3A">
      <w:pPr>
        <w:spacing w:line="578" w:lineRule="exact"/>
        <w:jc w:val="center"/>
        <w:rPr>
          <w:rFonts w:hint="eastAsia" w:ascii="黑体" w:hAnsi="ˎ̥" w:eastAsia="黑体"/>
          <w:b/>
          <w:color w:val="auto"/>
          <w:sz w:val="32"/>
          <w:szCs w:val="32"/>
          <w:highlight w:val="none"/>
        </w:rPr>
      </w:pPr>
    </w:p>
    <w:p w14:paraId="6A8F1018">
      <w:pPr>
        <w:spacing w:line="578" w:lineRule="exact"/>
        <w:jc w:val="center"/>
        <w:rPr>
          <w:rFonts w:hint="eastAsia" w:ascii="黑体" w:hAnsi="黑体" w:eastAsia="黑体" w:cs="黑体"/>
          <w:color w:val="auto"/>
          <w:sz w:val="44"/>
          <w:szCs w:val="44"/>
          <w:highlight w:val="none"/>
        </w:rPr>
      </w:pPr>
      <w:bookmarkStart w:id="0" w:name="_Toc11440_WPSOffice_Type2"/>
      <w:r>
        <w:rPr>
          <w:rFonts w:hint="eastAsia" w:ascii="黑体" w:hAnsi="黑体" w:eastAsia="黑体" w:cs="黑体"/>
          <w:color w:val="auto"/>
          <w:sz w:val="44"/>
          <w:szCs w:val="44"/>
          <w:highlight w:val="none"/>
        </w:rPr>
        <w:t>目  录</w:t>
      </w:r>
    </w:p>
    <w:p w14:paraId="6A2F743B">
      <w:pPr>
        <w:pStyle w:val="17"/>
        <w:tabs>
          <w:tab w:val="right" w:leader="dot" w:pos="8306"/>
        </w:tabs>
        <w:spacing w:line="578" w:lineRule="exact"/>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_Toc1704_WPSOffice_Level1 </w:instrText>
      </w:r>
      <w:r>
        <w:rPr>
          <w:color w:val="auto"/>
          <w:sz w:val="32"/>
          <w:szCs w:val="32"/>
          <w:highlight w:val="none"/>
        </w:rPr>
        <w:fldChar w:fldCharType="separate"/>
      </w:r>
      <w:r>
        <w:rPr>
          <w:rFonts w:hint="eastAsia" w:ascii="黑体" w:hAnsi="ˎ̥" w:eastAsia="黑体"/>
          <w:color w:val="auto"/>
          <w:sz w:val="32"/>
          <w:szCs w:val="32"/>
          <w:highlight w:val="none"/>
        </w:rPr>
        <w:t>第一部分 基本情况</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2</w:t>
      </w:r>
    </w:p>
    <w:p w14:paraId="29CBFE79">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_Toc20274_WPSOffice_Level2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一、部门（单位）职责</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2</w:t>
      </w:r>
    </w:p>
    <w:p w14:paraId="09089809">
      <w:pPr>
        <w:pStyle w:val="18"/>
        <w:tabs>
          <w:tab w:val="right" w:leader="dot" w:pos="8306"/>
        </w:tabs>
        <w:spacing w:line="578" w:lineRule="exact"/>
        <w:ind w:leftChars="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_Toc4833_WPSOffice_Level2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二、机构设置</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lang w:val="en-US" w:eastAsia="zh-CN"/>
        </w:rPr>
        <w:t>5</w:t>
      </w:r>
    </w:p>
    <w:p w14:paraId="3B013F23">
      <w:pPr>
        <w:pStyle w:val="17"/>
        <w:tabs>
          <w:tab w:val="right" w:leader="dot" w:pos="8306"/>
        </w:tabs>
        <w:spacing w:line="578" w:lineRule="exact"/>
        <w:rPr>
          <w:rFonts w:hint="eastAsia" w:eastAsia="宋体"/>
          <w:color w:val="auto"/>
          <w:sz w:val="32"/>
          <w:szCs w:val="32"/>
          <w:highlight w:val="none"/>
          <w:lang w:eastAsia="zh-CN"/>
        </w:rPr>
      </w:pPr>
      <w:r>
        <w:rPr>
          <w:color w:val="auto"/>
          <w:sz w:val="32"/>
          <w:szCs w:val="32"/>
          <w:highlight w:val="none"/>
        </w:rPr>
        <w:fldChar w:fldCharType="begin"/>
      </w:r>
      <w:r>
        <w:rPr>
          <w:color w:val="auto"/>
          <w:sz w:val="32"/>
          <w:szCs w:val="32"/>
          <w:highlight w:val="none"/>
        </w:rPr>
        <w:instrText xml:space="preserve"> HYPERLINK \l _Toc28253_WPSOffice_Level1 </w:instrText>
      </w:r>
      <w:r>
        <w:rPr>
          <w:color w:val="auto"/>
          <w:sz w:val="32"/>
          <w:szCs w:val="32"/>
          <w:highlight w:val="none"/>
        </w:rPr>
        <w:fldChar w:fldCharType="separate"/>
      </w: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2025</w:t>
      </w:r>
      <w:r>
        <w:rPr>
          <w:rFonts w:hint="eastAsia" w:ascii="黑体" w:hAnsi="ˎ̥" w:eastAsia="黑体"/>
          <w:color w:val="auto"/>
          <w:sz w:val="32"/>
          <w:szCs w:val="32"/>
          <w:highlight w:val="none"/>
        </w:rPr>
        <w:t>年度部门决算公开表</w:t>
      </w:r>
      <w:r>
        <w:rPr>
          <w:color w:val="auto"/>
          <w:sz w:val="32"/>
          <w:szCs w:val="32"/>
          <w:highlight w:val="none"/>
        </w:rPr>
        <w:tab/>
      </w:r>
      <w:r>
        <w:rPr>
          <w:color w:val="auto"/>
          <w:sz w:val="32"/>
          <w:szCs w:val="32"/>
          <w:highlight w:val="none"/>
        </w:rPr>
        <w:fldChar w:fldCharType="end"/>
      </w:r>
      <w:r>
        <w:rPr>
          <w:rFonts w:hint="eastAsia"/>
          <w:color w:val="auto"/>
          <w:sz w:val="32"/>
          <w:szCs w:val="32"/>
          <w:highlight w:val="none"/>
          <w:lang w:val="en-US" w:eastAsia="zh-CN"/>
        </w:rPr>
        <w:t>7</w:t>
      </w:r>
    </w:p>
    <w:p w14:paraId="6E57563D">
      <w:pPr>
        <w:pStyle w:val="17"/>
        <w:tabs>
          <w:tab w:val="right" w:leader="dot" w:pos="8306"/>
        </w:tabs>
        <w:spacing w:line="578" w:lineRule="exact"/>
        <w:rPr>
          <w:rFonts w:hint="eastAsia" w:eastAsia="宋体"/>
          <w:color w:val="auto"/>
          <w:sz w:val="32"/>
          <w:szCs w:val="32"/>
          <w:highlight w:val="none"/>
          <w:lang w:eastAsia="zh-CN"/>
        </w:rPr>
      </w:pPr>
      <w:r>
        <w:rPr>
          <w:color w:val="auto"/>
          <w:sz w:val="32"/>
          <w:szCs w:val="32"/>
          <w:highlight w:val="none"/>
        </w:rPr>
        <w:fldChar w:fldCharType="begin"/>
      </w:r>
      <w:r>
        <w:rPr>
          <w:color w:val="auto"/>
          <w:sz w:val="32"/>
          <w:szCs w:val="32"/>
          <w:highlight w:val="none"/>
        </w:rPr>
        <w:instrText xml:space="preserve"> HYPERLINK \l _Toc27590_WPSOffice_Level1 </w:instrText>
      </w:r>
      <w:r>
        <w:rPr>
          <w:color w:val="auto"/>
          <w:sz w:val="32"/>
          <w:szCs w:val="32"/>
          <w:highlight w:val="none"/>
        </w:rPr>
        <w:fldChar w:fldCharType="separate"/>
      </w:r>
      <w:r>
        <w:rPr>
          <w:rFonts w:hint="eastAsia" w:ascii="黑体" w:hAnsi="黑体" w:eastAsia="黑体" w:cs="黑体"/>
          <w:color w:val="auto"/>
          <w:sz w:val="32"/>
          <w:szCs w:val="32"/>
          <w:highlight w:val="none"/>
        </w:rPr>
        <w:t>第三部分</w:t>
      </w:r>
      <w:r>
        <w:rPr>
          <w:rFonts w:hint="eastAsia"/>
          <w:color w:val="auto"/>
          <w:sz w:val="32"/>
          <w:szCs w:val="32"/>
          <w:highlight w:val="none"/>
        </w:rPr>
        <w:t xml:space="preserve">  </w:t>
      </w:r>
      <w:r>
        <w:rPr>
          <w:rFonts w:hint="default" w:ascii="黑体" w:hAnsi="ˎ̥" w:eastAsia="黑体"/>
          <w:color w:val="auto"/>
          <w:sz w:val="32"/>
          <w:szCs w:val="32"/>
          <w:highlight w:val="none"/>
          <w:lang w:val="en-US"/>
        </w:rPr>
        <w:t>2025</w:t>
      </w:r>
      <w:r>
        <w:rPr>
          <w:rFonts w:hint="eastAsia" w:ascii="黑体" w:hAnsi="ˎ̥" w:eastAsia="黑体"/>
          <w:color w:val="auto"/>
          <w:sz w:val="32"/>
          <w:szCs w:val="32"/>
          <w:highlight w:val="none"/>
        </w:rPr>
        <w:t>年度部门决算情况说明</w:t>
      </w:r>
      <w:r>
        <w:rPr>
          <w:color w:val="auto"/>
          <w:sz w:val="32"/>
          <w:szCs w:val="32"/>
          <w:highlight w:val="none"/>
        </w:rPr>
        <w:tab/>
      </w:r>
      <w:r>
        <w:rPr>
          <w:color w:val="auto"/>
          <w:sz w:val="32"/>
          <w:szCs w:val="32"/>
          <w:highlight w:val="none"/>
        </w:rPr>
        <w:fldChar w:fldCharType="end"/>
      </w:r>
      <w:r>
        <w:rPr>
          <w:rFonts w:hint="eastAsia"/>
          <w:color w:val="auto"/>
          <w:sz w:val="32"/>
          <w:szCs w:val="32"/>
          <w:highlight w:val="none"/>
          <w:lang w:val="en-US" w:eastAsia="zh-CN"/>
        </w:rPr>
        <w:t>8</w:t>
      </w:r>
    </w:p>
    <w:p w14:paraId="65C40179">
      <w:pPr>
        <w:pStyle w:val="18"/>
        <w:tabs>
          <w:tab w:val="right" w:leader="dot" w:pos="8306"/>
        </w:tabs>
        <w:spacing w:line="578" w:lineRule="exact"/>
        <w:ind w:leftChars="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_Toc21737_WPSOffice_Level2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一、收入支出总体情况说明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lang w:val="en-US" w:eastAsia="zh-CN"/>
        </w:rPr>
        <w:t>8</w:t>
      </w:r>
    </w:p>
    <w:p w14:paraId="4BD7D57F">
      <w:pPr>
        <w:pStyle w:val="18"/>
        <w:tabs>
          <w:tab w:val="right" w:leader="dot" w:pos="8306"/>
        </w:tabs>
        <w:spacing w:line="578" w:lineRule="exact"/>
        <w:ind w:leftChars="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二、收入决算情况说明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lang w:val="en-US" w:eastAsia="zh-CN"/>
        </w:rPr>
        <w:t>9</w:t>
      </w:r>
    </w:p>
    <w:p w14:paraId="0C54764D">
      <w:pPr>
        <w:pStyle w:val="18"/>
        <w:tabs>
          <w:tab w:val="right" w:leader="dot" w:pos="8306"/>
        </w:tabs>
        <w:spacing w:line="578" w:lineRule="exact"/>
        <w:ind w:leftChars="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三、支出决算情况说明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lang w:val="en-US" w:eastAsia="zh-CN"/>
        </w:rPr>
        <w:t>9</w:t>
      </w:r>
    </w:p>
    <w:p w14:paraId="51FC70A3">
      <w:pPr>
        <w:pStyle w:val="18"/>
        <w:tabs>
          <w:tab w:val="right" w:leader="dot" w:pos="8306"/>
        </w:tabs>
        <w:spacing w:line="578" w:lineRule="exact"/>
        <w:ind w:leftChars="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四、财政拨款收入支出决算</w:t>
      </w:r>
      <w:r>
        <w:rPr>
          <w:rFonts w:hint="eastAsia" w:ascii="仿宋" w:hAnsi="仿宋" w:eastAsia="仿宋" w:cs="仿宋"/>
          <w:bCs/>
          <w:color w:val="auto"/>
          <w:sz w:val="32"/>
          <w:szCs w:val="32"/>
          <w:highlight w:val="none"/>
          <w:lang w:val="en-US" w:eastAsia="zh-CN"/>
        </w:rPr>
        <w:t>总体</w:t>
      </w:r>
      <w:r>
        <w:rPr>
          <w:rFonts w:hint="eastAsia" w:ascii="仿宋" w:hAnsi="仿宋" w:eastAsia="仿宋" w:cs="仿宋"/>
          <w:bCs/>
          <w:color w:val="auto"/>
          <w:sz w:val="32"/>
          <w:szCs w:val="32"/>
          <w:highlight w:val="none"/>
        </w:rPr>
        <w:t>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lang w:val="en-US" w:eastAsia="zh-CN"/>
        </w:rPr>
        <w:t>9</w:t>
      </w:r>
    </w:p>
    <w:p w14:paraId="7A0C8420">
      <w:pPr>
        <w:pStyle w:val="18"/>
        <w:tabs>
          <w:tab w:val="right" w:leader="dot" w:pos="8306"/>
        </w:tabs>
        <w:spacing w:line="578" w:lineRule="exact"/>
        <w:ind w:leftChars="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五、一般公共预算财政拨款支出决算情况说明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lang w:val="en-US" w:eastAsia="zh-CN"/>
        </w:rPr>
        <w:t>10</w:t>
      </w:r>
    </w:p>
    <w:p w14:paraId="0F3513AE">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六、一般公共预算财政拨款基本支出决算情况说明</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6</w:t>
      </w:r>
    </w:p>
    <w:p w14:paraId="14C271AC">
      <w:pPr>
        <w:pStyle w:val="18"/>
        <w:numPr>
          <w:ilvl w:val="0"/>
          <w:numId w:val="0"/>
        </w:numPr>
        <w:tabs>
          <w:tab w:val="right" w:leader="dot" w:pos="8306"/>
        </w:tabs>
        <w:spacing w:line="578" w:lineRule="exact"/>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val="en-US" w:eastAsia="zh-CN"/>
        </w:rPr>
        <w:t>七、</w:t>
      </w:r>
      <w:r>
        <w:rPr>
          <w:rFonts w:hint="eastAsia" w:ascii="仿宋" w:hAnsi="仿宋" w:eastAsia="仿宋" w:cs="仿宋"/>
          <w:bCs/>
          <w:color w:val="auto"/>
          <w:sz w:val="32"/>
          <w:szCs w:val="32"/>
          <w:highlight w:val="none"/>
        </w:rPr>
        <w:t>政府性基金预算财政拨款支出决算情况说明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7</w:t>
      </w:r>
    </w:p>
    <w:p w14:paraId="341B0484">
      <w:pPr>
        <w:pStyle w:val="18"/>
        <w:numPr>
          <w:ilvl w:val="0"/>
          <w:numId w:val="0"/>
        </w:numPr>
        <w:tabs>
          <w:tab w:val="right" w:leader="dot" w:pos="8306"/>
        </w:tabs>
        <w:spacing w:line="578" w:lineRule="exact"/>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val="en-US" w:eastAsia="zh-CN"/>
        </w:rPr>
        <w:t>八、</w:t>
      </w:r>
      <w:r>
        <w:rPr>
          <w:rFonts w:hint="eastAsia" w:ascii="仿宋" w:hAnsi="仿宋" w:eastAsia="仿宋" w:cs="仿宋"/>
          <w:bCs/>
          <w:color w:val="auto"/>
          <w:sz w:val="32"/>
          <w:szCs w:val="32"/>
          <w:highlight w:val="none"/>
        </w:rPr>
        <w:t>国有资本经营预算财政拨款支出决算情况说明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8</w:t>
      </w:r>
    </w:p>
    <w:p w14:paraId="4A5010BD">
      <w:pPr>
        <w:pStyle w:val="18"/>
        <w:tabs>
          <w:tab w:val="right" w:leader="dot" w:pos="8306"/>
        </w:tabs>
        <w:spacing w:line="578" w:lineRule="exact"/>
        <w:ind w:leftChars="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九、财政拨款“三公”经费支出决算情况说明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9</w:t>
      </w:r>
    </w:p>
    <w:p w14:paraId="23F091F4">
      <w:pPr>
        <w:pStyle w:val="18"/>
        <w:tabs>
          <w:tab w:val="right" w:leader="dot" w:pos="8306"/>
        </w:tabs>
        <w:spacing w:line="578" w:lineRule="exact"/>
        <w:ind w:leftChars="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十、预算绩效情况说明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lang w:val="en-US" w:eastAsia="zh-CN"/>
        </w:rPr>
        <w:t>21</w:t>
      </w:r>
    </w:p>
    <w:p w14:paraId="11226842">
      <w:pPr>
        <w:pStyle w:val="18"/>
        <w:numPr>
          <w:ilvl w:val="0"/>
          <w:numId w:val="0"/>
        </w:numPr>
        <w:tabs>
          <w:tab w:val="right" w:leader="dot" w:pos="8306"/>
        </w:tabs>
        <w:spacing w:line="578" w:lineRule="exact"/>
        <w:rPr>
          <w:rFonts w:hint="default" w:ascii="仿宋" w:hAnsi="仿宋" w:eastAsia="仿宋" w:cs="仿宋"/>
          <w:color w:val="auto"/>
          <w:sz w:val="32"/>
          <w:szCs w:val="32"/>
          <w:highlight w:val="none"/>
          <w:lang w:val="en-US" w:eastAsia="zh-CN"/>
        </w:rPr>
      </w:pPr>
      <w:r>
        <w:rPr>
          <w:rFonts w:hint="eastAsia" w:ascii="仿宋" w:hAnsi="仿宋" w:eastAsia="仿宋" w:cs="仿宋"/>
          <w:bCs/>
          <w:color w:val="auto"/>
          <w:sz w:val="32"/>
          <w:szCs w:val="32"/>
          <w:highlight w:val="none"/>
          <w:lang w:val="en-US" w:eastAsia="zh-CN"/>
        </w:rPr>
        <w:t>十一、</w:t>
      </w:r>
      <w:r>
        <w:rPr>
          <w:rFonts w:hint="eastAsia" w:ascii="仿宋" w:hAnsi="仿宋" w:eastAsia="仿宋" w:cs="仿宋"/>
          <w:bCs/>
          <w:color w:val="auto"/>
          <w:sz w:val="32"/>
          <w:szCs w:val="32"/>
          <w:highlight w:val="none"/>
        </w:rPr>
        <w:t>落实习惯过紧日子要求、保障重点支出情况说明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lang w:val="en-US" w:eastAsia="zh-CN"/>
        </w:rPr>
        <w:t>27</w:t>
      </w:r>
    </w:p>
    <w:p w14:paraId="4705ABB2">
      <w:pPr>
        <w:pStyle w:val="18"/>
        <w:tabs>
          <w:tab w:val="right" w:leader="dot" w:pos="8306"/>
        </w:tabs>
        <w:spacing w:line="578" w:lineRule="exact"/>
        <w:ind w:leftChars="0"/>
        <w:rPr>
          <w:rFonts w:hint="default" w:ascii="仿宋" w:hAnsi="仿宋" w:eastAsia="仿宋" w:cs="仿宋"/>
          <w:color w:val="auto"/>
          <w:sz w:val="32"/>
          <w:szCs w:val="32"/>
          <w:highlight w:val="none"/>
          <w:lang w:val="en-US" w:eastAsia="zh-CN"/>
        </w:rPr>
      </w:pPr>
      <w:r>
        <w:rPr>
          <w:rFonts w:hint="eastAsia" w:ascii="仿宋" w:hAnsi="仿宋" w:eastAsia="仿宋" w:cs="仿宋"/>
          <w:bCs/>
          <w:color w:val="auto"/>
          <w:sz w:val="32"/>
          <w:szCs w:val="32"/>
          <w:highlight w:val="none"/>
        </w:rPr>
        <w:t>十</w:t>
      </w:r>
      <w:r>
        <w:rPr>
          <w:rFonts w:hint="eastAsia" w:ascii="仿宋" w:hAnsi="仿宋" w:eastAsia="仿宋" w:cs="仿宋"/>
          <w:bCs/>
          <w:color w:val="auto"/>
          <w:sz w:val="32"/>
          <w:szCs w:val="32"/>
          <w:highlight w:val="none"/>
          <w:lang w:val="en-US" w:eastAsia="zh-CN"/>
        </w:rPr>
        <w:t>二</w:t>
      </w:r>
      <w:r>
        <w:rPr>
          <w:rFonts w:hint="eastAsia" w:ascii="仿宋" w:hAnsi="仿宋" w:eastAsia="仿宋" w:cs="仿宋"/>
          <w:bCs/>
          <w:color w:val="auto"/>
          <w:sz w:val="32"/>
          <w:szCs w:val="32"/>
          <w:highlight w:val="none"/>
        </w:rPr>
        <w:t>、其他重要事项情况说明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lang w:val="en-US" w:eastAsia="zh-CN"/>
        </w:rPr>
        <w:t>27</w:t>
      </w:r>
    </w:p>
    <w:p w14:paraId="1704E608">
      <w:pPr>
        <w:pStyle w:val="17"/>
        <w:tabs>
          <w:tab w:val="right" w:leader="dot" w:pos="8306"/>
        </w:tabs>
        <w:spacing w:line="578" w:lineRule="exact"/>
        <w:rPr>
          <w:rFonts w:hint="default" w:ascii="黑体" w:hAnsi="ˎ̥" w:eastAsia="宋体"/>
          <w:b/>
          <w:color w:val="auto"/>
          <w:sz w:val="32"/>
          <w:szCs w:val="32"/>
          <w:highlight w:val="none"/>
          <w:lang w:val="en-US" w:eastAsia="zh-CN"/>
        </w:rPr>
      </w:pPr>
      <w:r>
        <w:rPr>
          <w:color w:val="auto"/>
          <w:sz w:val="32"/>
          <w:szCs w:val="32"/>
          <w:highlight w:val="none"/>
        </w:rPr>
        <w:fldChar w:fldCharType="begin"/>
      </w:r>
      <w:r>
        <w:rPr>
          <w:color w:val="auto"/>
          <w:sz w:val="32"/>
          <w:szCs w:val="32"/>
          <w:highlight w:val="none"/>
        </w:rPr>
        <w:instrText xml:space="preserve"> HYPERLINK \l _Toc15425_WPSOffice_Level1 </w:instrText>
      </w:r>
      <w:r>
        <w:rPr>
          <w:color w:val="auto"/>
          <w:sz w:val="32"/>
          <w:szCs w:val="32"/>
          <w:highlight w:val="none"/>
        </w:rPr>
        <w:fldChar w:fldCharType="separate"/>
      </w:r>
      <w:r>
        <w:rPr>
          <w:rFonts w:hint="eastAsia" w:ascii="黑体" w:hAnsi="ˎ̥" w:eastAsia="黑体"/>
          <w:color w:val="auto"/>
          <w:sz w:val="32"/>
          <w:szCs w:val="32"/>
          <w:highlight w:val="none"/>
        </w:rPr>
        <w:t>第四部分  名词解释</w:t>
      </w:r>
      <w:r>
        <w:rPr>
          <w:color w:val="auto"/>
          <w:sz w:val="32"/>
          <w:szCs w:val="32"/>
          <w:highlight w:val="none"/>
        </w:rPr>
        <w:tab/>
      </w:r>
      <w:r>
        <w:rPr>
          <w:color w:val="auto"/>
          <w:sz w:val="32"/>
          <w:szCs w:val="32"/>
          <w:highlight w:val="none"/>
        </w:rPr>
        <w:fldChar w:fldCharType="end"/>
      </w:r>
      <w:bookmarkEnd w:id="0"/>
      <w:r>
        <w:rPr>
          <w:rFonts w:hint="eastAsia"/>
          <w:color w:val="auto"/>
          <w:sz w:val="32"/>
          <w:szCs w:val="32"/>
          <w:highlight w:val="none"/>
          <w:lang w:val="en-US" w:eastAsia="zh-CN"/>
        </w:rPr>
        <w:t>28</w:t>
      </w:r>
    </w:p>
    <w:p w14:paraId="13495E08">
      <w:pPr>
        <w:spacing w:line="578" w:lineRule="exact"/>
        <w:jc w:val="center"/>
        <w:rPr>
          <w:rFonts w:hint="eastAsia" w:ascii="黑体" w:hAnsi="ˎ̥" w:eastAsia="黑体"/>
          <w:color w:val="auto"/>
          <w:sz w:val="32"/>
          <w:szCs w:val="32"/>
          <w:highlight w:val="none"/>
        </w:rPr>
      </w:pPr>
      <w:bookmarkStart w:id="1" w:name="_Toc10720_WPSOffice_Level1"/>
      <w:bookmarkStart w:id="2" w:name="_Toc1704_WPSOffice_Level1"/>
      <w:bookmarkStart w:id="3" w:name="_Toc22941_WPSOffice_Level1"/>
      <w:bookmarkStart w:id="4" w:name="_Toc23465_WPSOffice_Level1"/>
      <w:bookmarkStart w:id="5" w:name="_Toc32433_WPSOffice_Level1"/>
      <w:bookmarkStart w:id="6" w:name="_Toc10049_WPSOffice_Level1"/>
      <w:bookmarkStart w:id="7" w:name="_Toc24238_WPSOffice_Level2"/>
      <w:bookmarkStart w:id="8" w:name="_Toc32622_WPSOffice_Level2"/>
      <w:bookmarkStart w:id="9" w:name="_Toc14159_WPSOffice_Level2"/>
      <w:bookmarkStart w:id="10" w:name="_Toc20205_WPSOffice_Level2"/>
      <w:bookmarkStart w:id="11" w:name="_Toc26580_WPSOffice_Level2"/>
      <w:bookmarkStart w:id="12" w:name="_Toc20274_WPSOffice_Level2"/>
      <w:r>
        <w:rPr>
          <w:rFonts w:hint="eastAsia" w:ascii="黑体" w:hAnsi="ˎ̥" w:eastAsia="黑体"/>
          <w:color w:val="auto"/>
          <w:sz w:val="32"/>
          <w:szCs w:val="32"/>
          <w:highlight w:val="none"/>
        </w:rPr>
        <w:t xml:space="preserve">第一部分  </w:t>
      </w:r>
      <w:bookmarkEnd w:id="1"/>
      <w:bookmarkEnd w:id="2"/>
      <w:bookmarkEnd w:id="3"/>
      <w:bookmarkEnd w:id="4"/>
      <w:bookmarkEnd w:id="5"/>
      <w:bookmarkEnd w:id="6"/>
      <w:r>
        <w:rPr>
          <w:rFonts w:hint="eastAsia" w:ascii="黑体" w:hAnsi="ˎ̥" w:eastAsia="黑体"/>
          <w:color w:val="auto"/>
          <w:sz w:val="32"/>
          <w:szCs w:val="32"/>
          <w:highlight w:val="none"/>
        </w:rPr>
        <w:t>基本情况</w:t>
      </w:r>
    </w:p>
    <w:p w14:paraId="59DE4DDD">
      <w:pPr>
        <w:spacing w:line="578" w:lineRule="exact"/>
        <w:ind w:firstLine="640" w:firstLineChars="200"/>
        <w:rPr>
          <w:rFonts w:hint="eastAsia" w:ascii="楷体" w:hAnsi="楷体" w:eastAsia="楷体" w:cs="楷体"/>
          <w:color w:val="auto"/>
          <w:sz w:val="32"/>
          <w:szCs w:val="32"/>
          <w:highlight w:val="none"/>
        </w:rPr>
      </w:pPr>
    </w:p>
    <w:p w14:paraId="4A3D8885">
      <w:pPr>
        <w:numPr>
          <w:ilvl w:val="0"/>
          <w:numId w:val="1"/>
        </w:numPr>
        <w:spacing w:line="578"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部门</w:t>
      </w:r>
      <w:bookmarkEnd w:id="7"/>
      <w:r>
        <w:rPr>
          <w:rFonts w:hint="eastAsia" w:ascii="黑体" w:hAnsi="黑体" w:eastAsia="黑体" w:cs="黑体"/>
          <w:color w:val="auto"/>
          <w:sz w:val="32"/>
          <w:szCs w:val="32"/>
          <w:highlight w:val="none"/>
        </w:rPr>
        <w:t>（单位）职责</w:t>
      </w:r>
      <w:bookmarkEnd w:id="8"/>
      <w:bookmarkEnd w:id="9"/>
      <w:bookmarkEnd w:id="10"/>
      <w:bookmarkEnd w:id="11"/>
      <w:bookmarkEnd w:id="12"/>
    </w:p>
    <w:p w14:paraId="20265DEF">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省农业农村厅负责贯彻落实党中央关于“三农”工作的方针政策和省委有关决策部署，把坚持和加强党中央对“三农”工作的集中统一领导落实到履行职责过程中。主要职责是：</w:t>
      </w:r>
    </w:p>
    <w:p w14:paraId="2867CF43">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一）研究拟订并组织实施全省以乡村振兴为重心的“三农”工作发展战略、规划、政策，研究提出海南自由贸易港建设“三农”有关政策建议。组织起草农业农村和乡村振兴有关法规规章草案，承担省级农业行政执法工作，监督指导市县农业综合行政执法。参与涉农的金融保险等政策制定。</w:t>
      </w:r>
    </w:p>
    <w:p w14:paraId="4D0AEA33">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二）统筹推动发展全省农村社会事业、农村公共服务、农村文化，推动农村基础设施建设和乡村治理。牵头组织改善全省农村人居环境。指导优秀农耕文化发展，配合推动全省农村精神文明建设。指导全省农业行业安全生产工作。</w:t>
      </w:r>
    </w:p>
    <w:p w14:paraId="07ADF400">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三）拟订深化全省农村经济体制改革和巩固完善农村基本经营制度的措施。负责农民承包地、农村宅基地改革和管理有关工作。负责全省农村集体产权制度改革，指导农村集体经济组织发展和集体资产管理工作。指导农民合作经济组织、农业社会化服务体系、新型农业经营主体建设与发展。</w:t>
      </w:r>
    </w:p>
    <w:p w14:paraId="78A5B877">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四）负责巩固拓展脱贫攻坚成果有关工作。牵头开展全省防止返贫监测和帮扶，组织拟订本省乡村振兴重点帮扶县帮扶政策和扶持标准，组织开展定点帮扶、行业帮扶、社会帮扶，会同有关部门组织实施过渡期内巩固拓展脱贫攻坚成果相关考核评估工作，拟订中央和省财政衔接推进乡村振兴相关资金分配建议方案，监督检查资金的使用，推动乡村帮扶产业发展。推动农村低收入人口常态化帮扶有关工作，构建长效帮扶机制。</w:t>
      </w:r>
    </w:p>
    <w:p w14:paraId="0FF5B3C9">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五）统筹推动全省热带特色高效农业产业发展，建设国家热带现代农业基地。指导乡村特色产业、农产品加工业、休闲农业和乡镇企业发展工作，推动延长农产品产业链。提出促进主要农产品流通的建议，培育、保护农业品牌。发布农业农村经济信息，监测分析农业农村经济运行。承担农业统计、农业农村信息化有关工作。</w:t>
      </w:r>
    </w:p>
    <w:p w14:paraId="4AA0606D">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六）负责全省种植业、畜牧业、渔业、农业机械化等农业各产业的监督管理，指导垦区农业产业发展。监督管理南繁工作。指导粮食等农产品生产，推进构建多元化食物供给体系。组织构建现代农业产业体系、生产体系、经营体系，指导农业标准化生产。监督管理远洋渔业。负责渔政渔港监督管理有关工作。</w:t>
      </w:r>
    </w:p>
    <w:p w14:paraId="5DCAC579">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七）负责全省农产品质量安全监督管理。组织开展农产品质量安全监测、追溯、风险评估。参与制定农产品质量安全地方标准并会同有关部门组织实施。指导农业检验检测体系建设。负责牵头组织农业标准化工作。</w:t>
      </w:r>
    </w:p>
    <w:p w14:paraId="46AA3FFF">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八）负责耕地、永久基本农田质量保护和高标准农田建设工作。组织全省农业资源区划工作。指导农用地、渔业水域以及农业生物物种资源的保护与管理，负责水生野生动植物保护工作。指导农产品产地环境管理和农业清洁生产。指导设施农业、生态循环农业、节水农业发展以及农村可再生能源综合开发利用、农业生物质产业发展，推进农业绿色发展。牵头管理外来物种。</w:t>
      </w:r>
    </w:p>
    <w:p w14:paraId="3DC86CA7">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九）负责全省有关农业生产资料和农业投入品的监督管理。组织农业生产资料市场体系建设，拟订有关农业生产资料地方标准并监督实施。拟订全省种业振兴政策并组织实施。制定兽药质量、兽药残留限量和残留检测方法地方标准并按规定发布。组织兽医医政、兽药药政药检工作，负责执业兽医和畜禽屠宰行业管理。</w:t>
      </w:r>
    </w:p>
    <w:p w14:paraId="2D667786">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十）负责全省农业防灾减灾、农作物重大病虫害防治工作。负责渔船日常安全监管，协助开展渔船防台风抢险救灾工作。组织实施动植物防疫检疫体系建设，组织、监督本省动植物防疫检疫工作，按规定权限发布疫情并组织扑灭。</w:t>
      </w:r>
    </w:p>
    <w:p w14:paraId="6E207780">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十一）负责农业投资管理。提出全省农业投融资体制机制改革建议。编制全省农业投资项目建设计划，提出农业投资规模和方向、扶持农业农村发展财政项目的建议，按规定权限审批农业投资项目，负责农业投资项目资金安排和监督管理。推动创设海南特色农产品期货品种。</w:t>
      </w:r>
    </w:p>
    <w:p w14:paraId="58278B4C">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十二）推动全省农业科技体制改革和农业科技创新体系建设。指导农业产业技术体系和农技推广体系建设，组织开展农业科技成果转化和技术推广。负责农业转基因生物安全监督管理和农业植物新品种保护。牵头推动国家热带农业科学中心建设，统筹南繁硅谷建设，监督指导南繁科研育种基地建设。</w:t>
      </w:r>
    </w:p>
    <w:p w14:paraId="734B0FF1">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（十三）指导全省农业农村人才工作。拟订农业农村人才队伍建设规划并组织实施，指导农业教育和农业职业技能开发，指导和组织实施高素质农民培育、农业科技人才培养和农村实用人才培训工作。</w:t>
      </w:r>
    </w:p>
    <w:p w14:paraId="744E29D7">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（十四）组织开展全省农业对外合作工作。承办政府间农业涉外事务，组织开展农业贸易促进及有关国际国内交流合作，执行有关农业援外项目。围绕种业等重点领域，深化现代农业对外开放，打造 21世纪海上丝绸之路农业交流平台，推动农业对外开放合作试验区建设。</w:t>
      </w:r>
    </w:p>
    <w:p w14:paraId="740E7291">
      <w:pPr>
        <w:spacing w:line="578" w:lineRule="exact"/>
        <w:ind w:firstLine="640" w:firstLineChars="200"/>
        <w:rPr>
          <w:rFonts w:hint="eastAsia" w:ascii="黑体" w:hAnsi="黑体" w:eastAsia="仿宋" w:cs="黑体"/>
          <w:color w:val="auto"/>
          <w:sz w:val="32"/>
          <w:szCs w:val="32"/>
          <w:highlight w:val="none"/>
        </w:rPr>
      </w:pPr>
      <w:r>
        <w:rPr>
          <w:rFonts w:hint="eastAsia" w:ascii="黑体" w:hAnsi="黑体" w:eastAsia="仿宋" w:cs="黑体"/>
          <w:color w:val="auto"/>
          <w:sz w:val="32"/>
          <w:szCs w:val="32"/>
          <w:highlight w:val="none"/>
        </w:rPr>
        <w:t>（十五）完成省委、省政府和上级部门交办的其他任务。</w:t>
      </w:r>
    </w:p>
    <w:p w14:paraId="0680DACE">
      <w:pPr>
        <w:spacing w:line="578" w:lineRule="exact"/>
        <w:ind w:firstLine="640" w:firstLineChars="200"/>
        <w:rPr>
          <w:rFonts w:hint="eastAsia" w:ascii="黑体" w:hAnsi="黑体" w:eastAsia="黑体" w:cs="黑体"/>
          <w:color w:val="auto"/>
          <w:sz w:val="32"/>
          <w:szCs w:val="32"/>
          <w:highlight w:val="none"/>
        </w:rPr>
      </w:pPr>
      <w:bookmarkStart w:id="13" w:name="_Toc17796_WPSOffice_Level2"/>
      <w:bookmarkStart w:id="14" w:name="_Toc4833_WPSOffice_Level2"/>
      <w:bookmarkStart w:id="15" w:name="_Toc24059_WPSOffice_Level2"/>
      <w:bookmarkStart w:id="16" w:name="_Toc24474_WPSOffice_Level2"/>
      <w:bookmarkStart w:id="17" w:name="_Toc6572_WPSOffice_Level2"/>
      <w:r>
        <w:rPr>
          <w:rFonts w:hint="eastAsia" w:ascii="黑体" w:hAnsi="黑体" w:eastAsia="黑体" w:cs="黑体"/>
          <w:color w:val="auto"/>
          <w:sz w:val="32"/>
          <w:szCs w:val="32"/>
          <w:highlight w:val="none"/>
        </w:rPr>
        <w:t>二、机构设置</w:t>
      </w:r>
      <w:bookmarkEnd w:id="13"/>
      <w:bookmarkEnd w:id="14"/>
      <w:bookmarkEnd w:id="15"/>
      <w:bookmarkEnd w:id="16"/>
      <w:bookmarkEnd w:id="17"/>
    </w:p>
    <w:p w14:paraId="08F1067A">
      <w:pPr>
        <w:spacing w:line="578"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纳入</w:t>
      </w:r>
      <w:r>
        <w:rPr>
          <w:rFonts w:hint="eastAsia" w:ascii="仿宋" w:hAnsi="仿宋" w:eastAsia="仿宋" w:cs="仿宋"/>
          <w:color w:val="auto"/>
          <w:sz w:val="32"/>
          <w:szCs w:val="32"/>
          <w:highlight w:val="none"/>
          <w:lang w:val="en-US"/>
        </w:rPr>
        <w:t>海南省农业农村厅2025</w:t>
      </w:r>
      <w:r>
        <w:rPr>
          <w:rFonts w:hint="eastAsia" w:ascii="仿宋" w:hAnsi="仿宋" w:eastAsia="仿宋" w:cs="仿宋"/>
          <w:color w:val="auto"/>
          <w:sz w:val="32"/>
          <w:szCs w:val="32"/>
          <w:highlight w:val="none"/>
        </w:rPr>
        <w:t>年度部门决算编制范围的单位共</w:t>
      </w:r>
      <w:r>
        <w:rPr>
          <w:rFonts w:hint="eastAsia" w:ascii="仿宋" w:hAnsi="仿宋" w:eastAsia="仿宋" w:cs="仿宋"/>
          <w:color w:val="auto"/>
          <w:sz w:val="32"/>
          <w:szCs w:val="32"/>
          <w:highlight w:val="none"/>
          <w:lang w:val="en-US" w:eastAsia="zh-CN"/>
        </w:rPr>
        <w:t>17</w:t>
      </w:r>
      <w:r>
        <w:rPr>
          <w:rFonts w:hint="eastAsia" w:ascii="仿宋" w:hAnsi="仿宋" w:eastAsia="仿宋" w:cs="仿宋"/>
          <w:color w:val="auto"/>
          <w:sz w:val="32"/>
          <w:szCs w:val="32"/>
          <w:highlight w:val="none"/>
        </w:rPr>
        <w:t>个，包括：</w:t>
      </w:r>
    </w:p>
    <w:p w14:paraId="0B1D3B9D">
      <w:pPr>
        <w:spacing w:line="578" w:lineRule="exact"/>
        <w:ind w:firstLine="640" w:firstLineChars="200"/>
        <w:rPr>
          <w:rFonts w:hint="eastAsia"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（一）</w:t>
      </w:r>
      <w:r>
        <w:rPr>
          <w:rFonts w:hint="default" w:ascii="方正楷体_GBK" w:hAnsi="方正楷体_GBK" w:eastAsia="方正楷体_GBK" w:cs="方正楷体_GBK"/>
          <w:color w:val="auto"/>
          <w:sz w:val="32"/>
          <w:szCs w:val="32"/>
          <w:highlight w:val="none"/>
          <w:lang w:val="en-US"/>
        </w:rPr>
        <w:t>海南省农业农村</w:t>
      </w:r>
      <w:r>
        <w:rPr>
          <w:rFonts w:hint="eastAsia" w:ascii="方正楷体_GBK" w:hAnsi="方正楷体_GBK" w:eastAsia="方正楷体_GBK" w:cs="方正楷体_GBK"/>
          <w:color w:val="auto"/>
          <w:sz w:val="32"/>
          <w:szCs w:val="32"/>
          <w:highlight w:val="none"/>
          <w:lang w:val="en-US" w:eastAsia="zh-CN"/>
        </w:rPr>
        <w:t>厅</w:t>
      </w:r>
      <w:r>
        <w:rPr>
          <w:rFonts w:hint="default" w:ascii="方正楷体_GBK" w:hAnsi="方正楷体_GBK" w:eastAsia="方正楷体_GBK" w:cs="方正楷体_GBK"/>
          <w:color w:val="auto"/>
          <w:sz w:val="32"/>
          <w:szCs w:val="32"/>
          <w:highlight w:val="none"/>
          <w:lang w:val="en-US"/>
        </w:rPr>
        <w:t>部门本级</w:t>
      </w:r>
    </w:p>
    <w:p w14:paraId="794F787D">
      <w:pPr>
        <w:spacing w:line="578" w:lineRule="exact"/>
        <w:ind w:firstLine="640" w:firstLineChars="200"/>
        <w:rPr>
          <w:rFonts w:hint="eastAsia"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（二）海南省农业农村厅下属单位</w:t>
      </w:r>
    </w:p>
    <w:p w14:paraId="365E9DD9">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黑体" w:eastAsia="仿宋_GB2312" w:cs="仿宋_GB2312"/>
          <w:sz w:val="32"/>
          <w:szCs w:val="32"/>
          <w:highlight w:val="none"/>
          <w:u w:val="none"/>
        </w:rPr>
      </w:pPr>
      <w:bookmarkStart w:id="18" w:name="_Toc30690_WPSOffice_Level1"/>
      <w:bookmarkStart w:id="19" w:name="_Toc15521_WPSOffice_Level1"/>
      <w:bookmarkStart w:id="20" w:name="_Toc30451_WPSOffice_Level1"/>
      <w:bookmarkStart w:id="21" w:name="_Toc8164_WPSOffice_Level1"/>
      <w:bookmarkStart w:id="22" w:name="_Toc28253_WPSOffice_Level1"/>
      <w:bookmarkStart w:id="23" w:name="_Toc6234_WPSOffice_Level1"/>
      <w:bookmarkStart w:id="24" w:name="_Toc6211_WPSOffice_Level2"/>
      <w:bookmarkStart w:id="25" w:name="_Toc32695_WPSOffice_Level2"/>
      <w:bookmarkStart w:id="26" w:name="_Toc11518_WPSOffice_Level2"/>
      <w:bookmarkStart w:id="27" w:name="_Toc8867_WPSOffice_Level2"/>
      <w:bookmarkStart w:id="28" w:name="_Toc4029_WPSOffice_Level2"/>
      <w:bookmarkStart w:id="29" w:name="_Toc32472_WPSOffice_Level2"/>
      <w:r>
        <w:rPr>
          <w:rFonts w:hint="eastAsia" w:ascii="仿宋_GB2312" w:hAnsi="黑体" w:eastAsia="仿宋_GB2312" w:cs="仿宋_GB2312"/>
          <w:sz w:val="32"/>
          <w:szCs w:val="32"/>
          <w:highlight w:val="none"/>
          <w:u w:val="none"/>
          <w:lang w:val="en-US" w:eastAsia="zh-CN"/>
        </w:rPr>
        <w:t>1.</w:t>
      </w:r>
      <w:r>
        <w:rPr>
          <w:rFonts w:hint="eastAsia" w:ascii="仿宋_GB2312" w:hAnsi="黑体" w:eastAsia="仿宋_GB2312" w:cs="仿宋_GB2312"/>
          <w:sz w:val="32"/>
          <w:szCs w:val="32"/>
          <w:highlight w:val="none"/>
          <w:u w:val="none"/>
        </w:rPr>
        <w:t>海南省动物疫病预防控制中心</w:t>
      </w:r>
    </w:p>
    <w:p w14:paraId="6E0EA19C">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2.</w:t>
      </w:r>
      <w:r>
        <w:rPr>
          <w:rFonts w:hint="eastAsia" w:ascii="仿宋_GB2312" w:hAnsi="黑体" w:eastAsia="仿宋_GB2312" w:cs="仿宋_GB2312"/>
          <w:sz w:val="32"/>
          <w:szCs w:val="32"/>
          <w:highlight w:val="none"/>
          <w:u w:val="none"/>
        </w:rPr>
        <w:t>海南省动物卫生监督所</w:t>
      </w:r>
    </w:p>
    <w:p w14:paraId="52E99ED2">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3.海南省农民科技教育培训中心</w:t>
      </w:r>
    </w:p>
    <w:p w14:paraId="29F26D0F">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4.海南省农机安全监督管理所</w:t>
      </w:r>
    </w:p>
    <w:p w14:paraId="7B56B50E">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8"/>
          <w:sz w:val="32"/>
          <w:szCs w:val="32"/>
        </w:rPr>
      </w:pPr>
      <w:r>
        <w:rPr>
          <w:rFonts w:hint="eastAsia" w:ascii="仿宋_GB2312" w:hAnsi="黑体" w:eastAsia="仿宋_GB2312" w:cs="仿宋_GB2312"/>
          <w:sz w:val="32"/>
          <w:szCs w:val="32"/>
          <w:highlight w:val="none"/>
          <w:u w:val="none"/>
          <w:lang w:val="en-US" w:eastAsia="zh-CN"/>
        </w:rPr>
        <w:t>5.</w:t>
      </w:r>
      <w:r>
        <w:rPr>
          <w:rFonts w:hint="eastAsia" w:ascii="仿宋_GB2312" w:hAnsi="仿宋_GB2312" w:eastAsia="仿宋_GB2312" w:cs="仿宋_GB2312"/>
          <w:spacing w:val="8"/>
          <w:sz w:val="32"/>
          <w:szCs w:val="32"/>
        </w:rPr>
        <w:t>海南省现代农业检验检测预警防控中心</w:t>
      </w:r>
    </w:p>
    <w:p w14:paraId="7F48AE53">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8"/>
          <w:sz w:val="32"/>
          <w:szCs w:val="32"/>
          <w:lang w:val="en-US" w:eastAsia="zh-CN"/>
        </w:rPr>
        <w:t>6.</w:t>
      </w:r>
      <w:r>
        <w:rPr>
          <w:rFonts w:hint="eastAsia" w:ascii="仿宋_GB2312" w:hAnsi="仿宋_GB2312" w:eastAsia="仿宋_GB2312" w:cs="仿宋_GB2312"/>
          <w:spacing w:val="6"/>
          <w:sz w:val="32"/>
          <w:szCs w:val="32"/>
        </w:rPr>
        <w:t>海南省南繁管理局</w:t>
      </w:r>
    </w:p>
    <w:p w14:paraId="4EE715D1">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7.</w:t>
      </w:r>
      <w:r>
        <w:rPr>
          <w:rFonts w:hint="eastAsia" w:ascii="仿宋_GB2312" w:hAnsi="仿宋_GB2312" w:eastAsia="仿宋_GB2312" w:cs="仿宋_GB2312"/>
          <w:spacing w:val="7"/>
          <w:sz w:val="32"/>
          <w:szCs w:val="32"/>
        </w:rPr>
        <w:t>海南省畜牧技术推广总站</w:t>
      </w:r>
    </w:p>
    <w:p w14:paraId="26AE6E5A">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8.</w:t>
      </w:r>
      <w:r>
        <w:rPr>
          <w:rFonts w:hint="eastAsia" w:ascii="仿宋_GB2312" w:hAnsi="仿宋_GB2312" w:eastAsia="仿宋_GB2312" w:cs="仿宋_GB2312"/>
          <w:spacing w:val="7"/>
          <w:sz w:val="32"/>
          <w:szCs w:val="32"/>
        </w:rPr>
        <w:t>海南省农业对外交流合作中心</w:t>
      </w:r>
    </w:p>
    <w:p w14:paraId="3D670790">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9.</w:t>
      </w:r>
      <w:r>
        <w:rPr>
          <w:rFonts w:hint="eastAsia" w:ascii="仿宋_GB2312" w:hAnsi="仿宋_GB2312" w:eastAsia="仿宋_GB2312" w:cs="仿宋_GB2312"/>
          <w:spacing w:val="7"/>
          <w:sz w:val="32"/>
          <w:szCs w:val="32"/>
        </w:rPr>
        <w:t>海南省革命老区建设促进会办公室</w:t>
      </w:r>
    </w:p>
    <w:p w14:paraId="53F6FEF4">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10.</w:t>
      </w:r>
      <w:r>
        <w:rPr>
          <w:rFonts w:hint="eastAsia" w:ascii="仿宋_GB2312" w:hAnsi="仿宋_GB2312" w:eastAsia="仿宋_GB2312" w:cs="仿宋_GB2312"/>
          <w:spacing w:val="5"/>
          <w:sz w:val="32"/>
          <w:szCs w:val="32"/>
        </w:rPr>
        <w:t>海南省植物保护总站</w:t>
      </w:r>
    </w:p>
    <w:p w14:paraId="0C72652E">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11.</w:t>
      </w:r>
      <w:r>
        <w:rPr>
          <w:rFonts w:hint="eastAsia" w:ascii="仿宋_GB2312" w:hAnsi="仿宋_GB2312" w:eastAsia="仿宋_GB2312" w:cs="仿宋_GB2312"/>
          <w:spacing w:val="4"/>
          <w:sz w:val="32"/>
          <w:szCs w:val="32"/>
        </w:rPr>
        <w:t>海南省种子总站</w:t>
      </w:r>
    </w:p>
    <w:p w14:paraId="7BC22F5C">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12.</w:t>
      </w:r>
      <w:r>
        <w:rPr>
          <w:rFonts w:hint="eastAsia" w:ascii="仿宋_GB2312" w:hAnsi="仿宋_GB2312" w:eastAsia="仿宋_GB2312" w:cs="仿宋_GB2312"/>
          <w:spacing w:val="5"/>
          <w:sz w:val="32"/>
          <w:szCs w:val="32"/>
        </w:rPr>
        <w:t>海南省土壤肥料总站</w:t>
      </w:r>
    </w:p>
    <w:p w14:paraId="41CD4BD2">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13.</w:t>
      </w:r>
      <w:r>
        <w:rPr>
          <w:rFonts w:hint="eastAsia" w:ascii="仿宋_GB2312" w:hAnsi="仿宋_GB2312" w:eastAsia="仿宋_GB2312" w:cs="仿宋_GB2312"/>
          <w:spacing w:val="6"/>
          <w:sz w:val="32"/>
          <w:szCs w:val="32"/>
        </w:rPr>
        <w:t>海南省农业生态与资源保护总站</w:t>
      </w:r>
    </w:p>
    <w:p w14:paraId="3D770786">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14.</w:t>
      </w:r>
      <w:r>
        <w:rPr>
          <w:rFonts w:hint="eastAsia" w:ascii="仿宋_GB2312" w:hAnsi="仿宋_GB2312" w:eastAsia="仿宋_GB2312" w:cs="仿宋_GB2312"/>
          <w:spacing w:val="6"/>
          <w:sz w:val="32"/>
          <w:szCs w:val="32"/>
        </w:rPr>
        <w:t>海南省天然橡胶质量检验站</w:t>
      </w:r>
    </w:p>
    <w:p w14:paraId="4DED4887">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eastAsia"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15.</w:t>
      </w:r>
      <w:r>
        <w:rPr>
          <w:rFonts w:hint="eastAsia" w:ascii="仿宋_GB2312" w:hAnsi="仿宋_GB2312" w:eastAsia="仿宋_GB2312" w:cs="仿宋_GB2312"/>
          <w:spacing w:val="6"/>
          <w:sz w:val="32"/>
          <w:szCs w:val="32"/>
        </w:rPr>
        <w:t>海南省农业机械鉴定推广站</w:t>
      </w:r>
    </w:p>
    <w:p w14:paraId="5C19F9B4">
      <w:pPr>
        <w:pStyle w:val="20"/>
        <w:keepNext w:val="0"/>
        <w:keepLines w:val="0"/>
        <w:pageBreakBefore w:val="0"/>
        <w:numPr>
          <w:ilvl w:val="-1"/>
          <w:numId w:val="0"/>
        </w:numPr>
        <w:kinsoku/>
        <w:wordWrap/>
        <w:overflowPunct/>
        <w:topLinePunct w:val="0"/>
        <w:autoSpaceDE/>
        <w:autoSpaceDN/>
        <w:bidi w:val="0"/>
        <w:adjustRightInd/>
        <w:snapToGrid/>
        <w:spacing w:line="540" w:lineRule="exact"/>
        <w:ind w:left="800" w:firstLine="0" w:firstLineChars="0"/>
        <w:jc w:val="left"/>
        <w:textAlignment w:val="auto"/>
        <w:rPr>
          <w:rFonts w:hint="default" w:ascii="仿宋_GB2312" w:hAnsi="仿宋_GB2312" w:eastAsia="仿宋_GB2312" w:cs="仿宋_GB2312"/>
          <w:spacing w:val="6"/>
          <w:sz w:val="32"/>
          <w:szCs w:val="32"/>
          <w:lang w:val="en-US" w:eastAsia="zh-CN"/>
        </w:rPr>
      </w:pPr>
      <w:r>
        <w:rPr>
          <w:rFonts w:hint="eastAsia" w:ascii="仿宋_GB2312" w:hAnsi="仿宋_GB2312" w:eastAsia="仿宋_GB2312" w:cs="仿宋_GB2312"/>
          <w:spacing w:val="6"/>
          <w:sz w:val="32"/>
          <w:szCs w:val="32"/>
          <w:lang w:val="en-US" w:eastAsia="zh-CN"/>
        </w:rPr>
        <w:t>16.</w:t>
      </w:r>
      <w:r>
        <w:rPr>
          <w:rFonts w:hint="eastAsia" w:ascii="仿宋_GB2312" w:hAnsi="仿宋_GB2312" w:eastAsia="仿宋_GB2312" w:cs="仿宋_GB2312"/>
          <w:spacing w:val="6"/>
          <w:sz w:val="32"/>
          <w:szCs w:val="32"/>
        </w:rPr>
        <w:t>海南省水产品质量安全检测中心</w:t>
      </w:r>
    </w:p>
    <w:p w14:paraId="77093492">
      <w:pPr>
        <w:spacing w:line="578" w:lineRule="exact"/>
        <w:jc w:val="center"/>
        <w:rPr>
          <w:rFonts w:hint="eastAsia" w:ascii="黑体" w:hAnsi="ˎ̥" w:eastAsia="黑体"/>
          <w:color w:val="auto"/>
          <w:sz w:val="32"/>
          <w:szCs w:val="32"/>
          <w:highlight w:val="none"/>
        </w:rPr>
      </w:pPr>
    </w:p>
    <w:p w14:paraId="2A534B37">
      <w:pPr>
        <w:spacing w:line="578" w:lineRule="exact"/>
        <w:jc w:val="center"/>
        <w:rPr>
          <w:rFonts w:hint="eastAsia" w:ascii="黑体" w:hAnsi="ˎ̥" w:eastAsia="黑体"/>
          <w:color w:val="auto"/>
          <w:sz w:val="32"/>
          <w:szCs w:val="32"/>
          <w:highlight w:val="none"/>
        </w:rPr>
      </w:pPr>
    </w:p>
    <w:p w14:paraId="5DF4AE20">
      <w:pPr>
        <w:spacing w:line="578" w:lineRule="exact"/>
        <w:jc w:val="center"/>
        <w:rPr>
          <w:rFonts w:hint="eastAsia" w:ascii="黑体" w:hAnsi="ˎ̥" w:eastAsia="黑体"/>
          <w:color w:val="auto"/>
          <w:sz w:val="32"/>
          <w:szCs w:val="32"/>
          <w:highlight w:val="none"/>
        </w:rPr>
      </w:pPr>
    </w:p>
    <w:p w14:paraId="38264F74">
      <w:pPr>
        <w:spacing w:line="578" w:lineRule="exact"/>
        <w:jc w:val="center"/>
        <w:rPr>
          <w:rFonts w:hint="eastAsia" w:ascii="黑体" w:hAnsi="ˎ̥" w:eastAsia="黑体"/>
          <w:color w:val="auto"/>
          <w:sz w:val="32"/>
          <w:szCs w:val="32"/>
          <w:highlight w:val="none"/>
        </w:rPr>
      </w:pPr>
    </w:p>
    <w:p w14:paraId="052ABDA3">
      <w:pPr>
        <w:spacing w:line="578" w:lineRule="exact"/>
        <w:jc w:val="center"/>
        <w:rPr>
          <w:rFonts w:hint="eastAsia" w:ascii="黑体" w:hAnsi="ˎ̥" w:eastAsia="黑体"/>
          <w:color w:val="auto"/>
          <w:sz w:val="32"/>
          <w:szCs w:val="32"/>
          <w:highlight w:val="none"/>
        </w:rPr>
      </w:pPr>
    </w:p>
    <w:p w14:paraId="76B7F836">
      <w:pPr>
        <w:spacing w:line="578" w:lineRule="exact"/>
        <w:jc w:val="center"/>
        <w:rPr>
          <w:rFonts w:hint="eastAsia" w:ascii="黑体" w:hAnsi="ˎ̥" w:eastAsia="黑体"/>
          <w:color w:val="auto"/>
          <w:sz w:val="32"/>
          <w:szCs w:val="32"/>
          <w:highlight w:val="none"/>
        </w:rPr>
      </w:pPr>
    </w:p>
    <w:p w14:paraId="49344392">
      <w:pPr>
        <w:spacing w:line="578" w:lineRule="exact"/>
        <w:jc w:val="center"/>
        <w:rPr>
          <w:rFonts w:hint="eastAsia" w:ascii="黑体" w:hAnsi="ˎ̥" w:eastAsia="黑体"/>
          <w:color w:val="auto"/>
          <w:sz w:val="32"/>
          <w:szCs w:val="32"/>
          <w:highlight w:val="none"/>
        </w:rPr>
      </w:pPr>
    </w:p>
    <w:p w14:paraId="3EC6A0C4">
      <w:pPr>
        <w:spacing w:line="578" w:lineRule="exact"/>
        <w:jc w:val="center"/>
        <w:rPr>
          <w:rFonts w:hint="eastAsia" w:ascii="黑体" w:hAnsi="ˎ̥" w:eastAsia="黑体"/>
          <w:color w:val="auto"/>
          <w:sz w:val="32"/>
          <w:szCs w:val="32"/>
          <w:highlight w:val="none"/>
        </w:rPr>
      </w:pPr>
    </w:p>
    <w:p w14:paraId="05234227">
      <w:pPr>
        <w:spacing w:line="578" w:lineRule="exact"/>
        <w:jc w:val="center"/>
        <w:rPr>
          <w:rFonts w:hint="eastAsia" w:ascii="黑体" w:hAnsi="ˎ̥" w:eastAsia="黑体"/>
          <w:color w:val="auto"/>
          <w:sz w:val="32"/>
          <w:szCs w:val="32"/>
          <w:highlight w:val="none"/>
        </w:rPr>
      </w:pPr>
    </w:p>
    <w:p w14:paraId="5E52A3F5">
      <w:pPr>
        <w:spacing w:line="578" w:lineRule="exact"/>
        <w:jc w:val="center"/>
        <w:rPr>
          <w:rFonts w:hint="eastAsia" w:ascii="黑体" w:hAnsi="ˎ̥" w:eastAsia="黑体"/>
          <w:color w:val="auto"/>
          <w:sz w:val="32"/>
          <w:szCs w:val="32"/>
          <w:highlight w:val="none"/>
        </w:rPr>
      </w:pPr>
    </w:p>
    <w:p w14:paraId="6D8B14D4">
      <w:pPr>
        <w:spacing w:line="578" w:lineRule="exact"/>
        <w:jc w:val="center"/>
        <w:rPr>
          <w:rFonts w:hint="eastAsia" w:ascii="黑体" w:hAnsi="ˎ̥" w:eastAsia="黑体"/>
          <w:color w:val="auto"/>
          <w:sz w:val="32"/>
          <w:szCs w:val="32"/>
          <w:highlight w:val="none"/>
        </w:rPr>
      </w:pPr>
    </w:p>
    <w:p w14:paraId="4B171B16">
      <w:pPr>
        <w:spacing w:line="578" w:lineRule="exact"/>
        <w:jc w:val="center"/>
        <w:rPr>
          <w:rFonts w:hint="eastAsia" w:ascii="黑体" w:hAnsi="ˎ̥" w:eastAsia="黑体"/>
          <w:color w:val="auto"/>
          <w:sz w:val="32"/>
          <w:szCs w:val="32"/>
          <w:highlight w:val="none"/>
        </w:rPr>
      </w:pPr>
    </w:p>
    <w:p w14:paraId="005D3F36">
      <w:pPr>
        <w:spacing w:line="578" w:lineRule="exact"/>
        <w:jc w:val="center"/>
        <w:rPr>
          <w:rFonts w:hint="eastAsia" w:ascii="黑体" w:hAnsi="ˎ̥" w:eastAsia="黑体"/>
          <w:color w:val="auto"/>
          <w:sz w:val="32"/>
          <w:szCs w:val="32"/>
          <w:highlight w:val="none"/>
        </w:rPr>
      </w:pPr>
    </w:p>
    <w:p w14:paraId="219B1736">
      <w:pPr>
        <w:spacing w:line="578" w:lineRule="exact"/>
        <w:jc w:val="center"/>
        <w:rPr>
          <w:rFonts w:hint="eastAsia" w:ascii="黑体" w:hAnsi="ˎ̥" w:eastAsia="黑体"/>
          <w:color w:val="auto"/>
          <w:sz w:val="32"/>
          <w:szCs w:val="32"/>
          <w:highlight w:val="none"/>
        </w:rPr>
      </w:pPr>
    </w:p>
    <w:p w14:paraId="3B52E9A6">
      <w:pPr>
        <w:pStyle w:val="2"/>
        <w:rPr>
          <w:rFonts w:hint="eastAsia"/>
        </w:rPr>
      </w:pPr>
    </w:p>
    <w:p w14:paraId="59A8B6B8">
      <w:pPr>
        <w:spacing w:line="578" w:lineRule="exact"/>
        <w:jc w:val="center"/>
        <w:rPr>
          <w:rFonts w:hint="eastAsia" w:ascii="黑体" w:hAnsi="ˎ̥" w:eastAsia="黑体"/>
          <w:color w:val="auto"/>
          <w:sz w:val="32"/>
          <w:szCs w:val="32"/>
          <w:highlight w:val="none"/>
        </w:rPr>
      </w:pPr>
    </w:p>
    <w:p w14:paraId="5ABA64D5">
      <w:pPr>
        <w:spacing w:line="578" w:lineRule="exact"/>
        <w:jc w:val="center"/>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2025</w:t>
      </w:r>
      <w:r>
        <w:rPr>
          <w:rFonts w:hint="eastAsia" w:ascii="黑体" w:hAnsi="ˎ̥" w:eastAsia="黑体"/>
          <w:color w:val="auto"/>
          <w:sz w:val="32"/>
          <w:szCs w:val="32"/>
          <w:highlight w:val="none"/>
        </w:rPr>
        <w:t>年度部门决算公开报表</w:t>
      </w:r>
      <w:bookmarkEnd w:id="18"/>
      <w:bookmarkEnd w:id="19"/>
      <w:bookmarkEnd w:id="20"/>
      <w:bookmarkEnd w:id="21"/>
      <w:bookmarkEnd w:id="22"/>
      <w:bookmarkEnd w:id="23"/>
    </w:p>
    <w:p w14:paraId="1A7D1292">
      <w:pPr>
        <w:spacing w:line="578" w:lineRule="exact"/>
        <w:ind w:firstLine="645"/>
        <w:rPr>
          <w:rFonts w:hint="eastAsia" w:ascii="黑体" w:hAnsi="黑体" w:eastAsia="黑体" w:cs="黑体"/>
          <w:color w:val="auto"/>
          <w:sz w:val="32"/>
          <w:szCs w:val="32"/>
          <w:highlight w:val="none"/>
        </w:rPr>
      </w:pPr>
    </w:p>
    <w:p w14:paraId="4609FEC3">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一、收入支出决算公开表</w:t>
      </w:r>
      <w:bookmarkEnd w:id="24"/>
      <w:bookmarkEnd w:id="25"/>
      <w:bookmarkEnd w:id="26"/>
      <w:bookmarkEnd w:id="27"/>
      <w:bookmarkEnd w:id="28"/>
      <w:bookmarkEnd w:id="29"/>
    </w:p>
    <w:p w14:paraId="646AEC68">
      <w:pPr>
        <w:spacing w:line="578" w:lineRule="exact"/>
        <w:ind w:firstLine="645"/>
        <w:rPr>
          <w:rFonts w:hint="eastAsia" w:ascii="黑体" w:hAnsi="黑体" w:eastAsia="黑体" w:cs="黑体"/>
          <w:color w:val="auto"/>
          <w:sz w:val="32"/>
          <w:szCs w:val="32"/>
          <w:highlight w:val="none"/>
        </w:rPr>
      </w:pPr>
      <w:bookmarkStart w:id="30" w:name="_Toc14349_WPSOffice_Level2"/>
      <w:bookmarkStart w:id="31" w:name="_Toc25608_WPSOffice_Level2"/>
      <w:bookmarkStart w:id="32" w:name="_Toc26621_WPSOffice_Level2"/>
      <w:bookmarkStart w:id="33" w:name="_Toc30334_WPSOffice_Level2"/>
      <w:bookmarkStart w:id="34" w:name="_Toc23139_WPSOffice_Level2"/>
      <w:bookmarkStart w:id="35" w:name="_Toc28622_WPSOffice_Level2"/>
      <w:r>
        <w:rPr>
          <w:rFonts w:hint="eastAsia" w:ascii="黑体" w:hAnsi="黑体" w:eastAsia="黑体" w:cs="黑体"/>
          <w:color w:val="auto"/>
          <w:sz w:val="32"/>
          <w:szCs w:val="32"/>
          <w:highlight w:val="none"/>
        </w:rPr>
        <w:t>二、收入决算公开表</w:t>
      </w:r>
      <w:bookmarkEnd w:id="30"/>
      <w:bookmarkEnd w:id="31"/>
      <w:bookmarkEnd w:id="32"/>
      <w:bookmarkEnd w:id="33"/>
      <w:bookmarkEnd w:id="34"/>
      <w:bookmarkEnd w:id="35"/>
      <w:bookmarkStart w:id="36" w:name="_Toc14658_WPSOffice_Level2"/>
      <w:bookmarkStart w:id="37" w:name="_Toc13854_WPSOffice_Level2"/>
      <w:bookmarkStart w:id="38" w:name="_Toc17626_WPSOffice_Level2"/>
      <w:bookmarkStart w:id="39" w:name="_Toc3262_WPSOffice_Level2"/>
      <w:bookmarkStart w:id="40" w:name="_Toc17858_WPSOffice_Level2"/>
      <w:bookmarkStart w:id="41" w:name="_Toc5489_WPSOffice_Level2"/>
    </w:p>
    <w:p w14:paraId="2D43FEAF">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三、支出决算公开表</w:t>
      </w:r>
      <w:bookmarkEnd w:id="36"/>
      <w:bookmarkEnd w:id="37"/>
      <w:bookmarkEnd w:id="38"/>
      <w:bookmarkEnd w:id="39"/>
      <w:bookmarkEnd w:id="40"/>
      <w:bookmarkEnd w:id="41"/>
      <w:bookmarkStart w:id="42" w:name="_Toc13701_WPSOffice_Level2"/>
      <w:bookmarkStart w:id="43" w:name="_Toc4265_WPSOffice_Level2"/>
      <w:bookmarkStart w:id="44" w:name="_Toc21415_WPSOffice_Level2"/>
      <w:bookmarkStart w:id="45" w:name="_Toc23591_WPSOffice_Level2"/>
      <w:bookmarkStart w:id="46" w:name="_Toc23493_WPSOffice_Level2"/>
      <w:bookmarkStart w:id="47" w:name="_Toc7988_WPSOffice_Level2"/>
    </w:p>
    <w:p w14:paraId="466CE0B2">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四、财政拨款收入支出决算公开表</w:t>
      </w:r>
      <w:bookmarkEnd w:id="42"/>
      <w:bookmarkEnd w:id="43"/>
      <w:bookmarkEnd w:id="44"/>
      <w:bookmarkEnd w:id="45"/>
      <w:bookmarkEnd w:id="46"/>
      <w:bookmarkEnd w:id="47"/>
    </w:p>
    <w:p w14:paraId="1CA1AAB7">
      <w:pPr>
        <w:spacing w:line="578" w:lineRule="exact"/>
        <w:ind w:firstLine="645"/>
        <w:rPr>
          <w:rFonts w:hint="eastAsia" w:ascii="黑体" w:hAnsi="黑体" w:eastAsia="黑体" w:cs="黑体"/>
          <w:color w:val="auto"/>
          <w:sz w:val="32"/>
          <w:szCs w:val="32"/>
          <w:highlight w:val="none"/>
        </w:rPr>
      </w:pPr>
      <w:bookmarkStart w:id="48" w:name="_Toc23829_WPSOffice_Level2"/>
      <w:bookmarkStart w:id="49" w:name="_Toc7879_WPSOffice_Level2"/>
      <w:bookmarkStart w:id="50" w:name="_Toc25166_WPSOffice_Level2"/>
      <w:bookmarkStart w:id="51" w:name="_Toc22783_WPSOffice_Level2"/>
      <w:bookmarkStart w:id="52" w:name="_Toc2158_WPSOffice_Level2"/>
      <w:bookmarkStart w:id="53" w:name="_Toc13516_WPSOffice_Level2"/>
      <w:r>
        <w:rPr>
          <w:rFonts w:hint="eastAsia" w:ascii="黑体" w:hAnsi="黑体" w:eastAsia="黑体" w:cs="黑体"/>
          <w:color w:val="auto"/>
          <w:sz w:val="32"/>
          <w:szCs w:val="32"/>
          <w:highlight w:val="none"/>
        </w:rPr>
        <w:t>五、一般公共预算财政拨款收入支出决算</w:t>
      </w:r>
      <w:bookmarkEnd w:id="48"/>
      <w:bookmarkEnd w:id="49"/>
      <w:bookmarkEnd w:id="50"/>
      <w:bookmarkEnd w:id="51"/>
      <w:r>
        <w:rPr>
          <w:rFonts w:hint="eastAsia" w:ascii="黑体" w:hAnsi="黑体" w:eastAsia="黑体" w:cs="黑体"/>
          <w:color w:val="auto"/>
          <w:sz w:val="32"/>
          <w:szCs w:val="32"/>
          <w:highlight w:val="none"/>
        </w:rPr>
        <w:t>公开表</w:t>
      </w:r>
      <w:bookmarkEnd w:id="52"/>
      <w:bookmarkEnd w:id="53"/>
      <w:bookmarkStart w:id="54" w:name="_Toc2632_WPSOffice_Level2"/>
      <w:bookmarkStart w:id="55" w:name="_Toc5343_WPSOffice_Level2"/>
      <w:bookmarkStart w:id="56" w:name="_Toc25362_WPSOffice_Level2"/>
      <w:bookmarkStart w:id="57" w:name="_Toc17283_WPSOffice_Level2"/>
      <w:bookmarkStart w:id="58" w:name="_Toc8373_WPSOffice_Level2"/>
      <w:bookmarkStart w:id="59" w:name="_Toc17833_WPSOffice_Level2"/>
    </w:p>
    <w:p w14:paraId="163493D2">
      <w:pPr>
        <w:spacing w:line="578" w:lineRule="exact"/>
        <w:ind w:firstLine="645"/>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六、一般公共预算财政拨款基本支出决算</w:t>
      </w:r>
      <w:bookmarkEnd w:id="54"/>
      <w:bookmarkEnd w:id="55"/>
      <w:bookmarkEnd w:id="56"/>
      <w:bookmarkEnd w:id="57"/>
      <w:bookmarkEnd w:id="58"/>
      <w:bookmarkEnd w:id="59"/>
      <w:r>
        <w:rPr>
          <w:rFonts w:hint="eastAsia" w:ascii="黑体" w:hAnsi="黑体" w:eastAsia="黑体" w:cs="黑体"/>
          <w:color w:val="auto"/>
          <w:sz w:val="32"/>
          <w:szCs w:val="32"/>
          <w:highlight w:val="none"/>
        </w:rPr>
        <w:t>公开表</w:t>
      </w:r>
    </w:p>
    <w:p w14:paraId="11250B0D">
      <w:pPr>
        <w:spacing w:line="578" w:lineRule="exact"/>
        <w:ind w:left="1118" w:leftChars="304" w:hanging="480" w:hangingChars="150"/>
        <w:rPr>
          <w:rFonts w:hint="eastAsia" w:ascii="黑体" w:hAnsi="黑体" w:eastAsia="黑体" w:cs="黑体"/>
          <w:color w:val="auto"/>
          <w:sz w:val="32"/>
          <w:szCs w:val="32"/>
          <w:highlight w:val="none"/>
        </w:rPr>
      </w:pPr>
      <w:bookmarkStart w:id="60" w:name="_Toc21310_WPSOffice_Level2"/>
      <w:bookmarkStart w:id="61" w:name="_Toc13345_WPSOffice_Level2"/>
      <w:bookmarkStart w:id="62" w:name="_Toc5594_WPSOffice_Level2"/>
      <w:bookmarkStart w:id="63" w:name="_Toc6020_WPSOffice_Level2"/>
      <w:bookmarkStart w:id="64" w:name="_Toc1533_WPSOffice_Level2"/>
      <w:bookmarkStart w:id="65" w:name="_Toc11799_WPSOffice_Level2"/>
      <w:r>
        <w:rPr>
          <w:rFonts w:hint="eastAsia" w:ascii="黑体" w:hAnsi="黑体" w:eastAsia="黑体" w:cs="黑体"/>
          <w:color w:val="auto"/>
          <w:sz w:val="32"/>
          <w:szCs w:val="32"/>
          <w:highlight w:val="none"/>
        </w:rPr>
        <w:t>七、政府性基金预算财政拨款收入支出决算</w:t>
      </w:r>
      <w:bookmarkEnd w:id="60"/>
      <w:bookmarkEnd w:id="61"/>
      <w:bookmarkEnd w:id="62"/>
      <w:bookmarkEnd w:id="63"/>
      <w:bookmarkEnd w:id="64"/>
      <w:bookmarkEnd w:id="65"/>
      <w:r>
        <w:rPr>
          <w:rFonts w:hint="eastAsia" w:ascii="黑体" w:hAnsi="黑体" w:eastAsia="黑体" w:cs="黑体"/>
          <w:color w:val="auto"/>
          <w:sz w:val="32"/>
          <w:szCs w:val="32"/>
          <w:highlight w:val="none"/>
        </w:rPr>
        <w:t>公开表</w:t>
      </w:r>
    </w:p>
    <w:p w14:paraId="33B6C1DC">
      <w:pPr>
        <w:spacing w:line="578" w:lineRule="exact"/>
        <w:ind w:left="1118" w:leftChars="304" w:hanging="480" w:hangingChars="15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八、国有资本经营预算财政拨款收入支出决算公开表</w:t>
      </w:r>
    </w:p>
    <w:p w14:paraId="6225979D">
      <w:pPr>
        <w:spacing w:line="578" w:lineRule="exact"/>
        <w:ind w:firstLine="640"/>
        <w:rPr>
          <w:rFonts w:hint="eastAsia" w:ascii="黑体" w:hAnsi="黑体" w:eastAsia="黑体" w:cs="黑体"/>
          <w:color w:val="auto"/>
          <w:sz w:val="32"/>
          <w:szCs w:val="32"/>
          <w:highlight w:val="none"/>
        </w:rPr>
      </w:pPr>
      <w:bookmarkStart w:id="66" w:name="_Toc19961_WPSOffice_Level2"/>
      <w:bookmarkStart w:id="67" w:name="_Toc9377_WPSOffice_Level2"/>
      <w:bookmarkStart w:id="68" w:name="_Toc1820_WPSOffice_Level2"/>
      <w:bookmarkStart w:id="69" w:name="_Toc29886_WPSOffice_Level2"/>
      <w:r>
        <w:rPr>
          <w:rFonts w:hint="eastAsia" w:ascii="黑体" w:hAnsi="黑体" w:eastAsia="黑体" w:cs="黑体"/>
          <w:color w:val="auto"/>
          <w:sz w:val="32"/>
          <w:szCs w:val="32"/>
          <w:highlight w:val="none"/>
        </w:rPr>
        <w:t>九、财政拨款“三公”经费支出决算</w:t>
      </w:r>
      <w:bookmarkEnd w:id="66"/>
      <w:bookmarkEnd w:id="67"/>
      <w:bookmarkEnd w:id="68"/>
      <w:bookmarkEnd w:id="69"/>
      <w:r>
        <w:rPr>
          <w:rFonts w:hint="eastAsia" w:ascii="黑体" w:hAnsi="黑体" w:eastAsia="黑体" w:cs="黑体"/>
          <w:color w:val="auto"/>
          <w:sz w:val="32"/>
          <w:szCs w:val="32"/>
          <w:highlight w:val="none"/>
        </w:rPr>
        <w:t>公开表</w:t>
      </w:r>
    </w:p>
    <w:p w14:paraId="752E8721">
      <w:pPr>
        <w:spacing w:line="578" w:lineRule="exact"/>
        <w:ind w:firstLine="640"/>
        <w:rPr>
          <w:rFonts w:hint="eastAsia" w:ascii="仿宋" w:hAnsi="仿宋" w:eastAsia="仿宋" w:cs="仿宋"/>
          <w:color w:val="auto"/>
          <w:w w:val="100"/>
          <w:sz w:val="32"/>
          <w:szCs w:val="32"/>
          <w:highlight w:val="none"/>
        </w:rPr>
      </w:pPr>
      <w:r>
        <w:rPr>
          <w:rFonts w:hint="eastAsia" w:ascii="仿宋" w:hAnsi="仿宋" w:eastAsia="仿宋" w:cs="仿宋"/>
          <w:color w:val="auto"/>
          <w:w w:val="100"/>
          <w:sz w:val="32"/>
          <w:szCs w:val="32"/>
          <w:highlight w:val="none"/>
        </w:rPr>
        <w:t xml:space="preserve">以上报表见附件1。   </w:t>
      </w:r>
    </w:p>
    <w:p w14:paraId="5B482E07">
      <w:pPr>
        <w:spacing w:line="578" w:lineRule="exact"/>
        <w:rPr>
          <w:rFonts w:hint="eastAsia" w:ascii="黑体" w:hAnsi="黑体" w:eastAsia="黑体" w:cs="黑体"/>
          <w:color w:val="auto"/>
          <w:sz w:val="32"/>
          <w:szCs w:val="32"/>
          <w:highlight w:val="none"/>
        </w:rPr>
      </w:pPr>
    </w:p>
    <w:p w14:paraId="0D6FF694">
      <w:pPr>
        <w:spacing w:line="578" w:lineRule="exact"/>
        <w:jc w:val="center"/>
        <w:rPr>
          <w:rFonts w:hint="eastAsia" w:ascii="黑体" w:hAnsi="ˎ̥" w:eastAsia="黑体"/>
          <w:color w:val="auto"/>
          <w:sz w:val="32"/>
          <w:szCs w:val="32"/>
          <w:highlight w:val="none"/>
        </w:rPr>
      </w:pPr>
      <w:bookmarkStart w:id="70" w:name="_Toc27590_WPSOffice_Level1"/>
      <w:bookmarkStart w:id="71" w:name="_Toc28629_WPSOffice_Level1"/>
      <w:bookmarkStart w:id="72" w:name="_Toc29683_WPSOffice_Level1"/>
      <w:bookmarkStart w:id="73" w:name="_Toc16686_WPSOffice_Level1"/>
      <w:bookmarkStart w:id="74" w:name="_Toc4402_WPSOffice_Level1"/>
      <w:bookmarkStart w:id="75" w:name="_Toc31264_WPSOffice_Level1"/>
    </w:p>
    <w:p w14:paraId="0981F9F7">
      <w:pPr>
        <w:spacing w:line="578" w:lineRule="exact"/>
        <w:jc w:val="center"/>
        <w:rPr>
          <w:rFonts w:hint="eastAsia" w:ascii="黑体" w:hAnsi="ˎ̥" w:eastAsia="黑体"/>
          <w:color w:val="auto"/>
          <w:sz w:val="32"/>
          <w:szCs w:val="32"/>
          <w:highlight w:val="none"/>
        </w:rPr>
      </w:pPr>
    </w:p>
    <w:p w14:paraId="17C80C49">
      <w:pPr>
        <w:spacing w:line="578" w:lineRule="exact"/>
        <w:jc w:val="center"/>
        <w:rPr>
          <w:rFonts w:hint="eastAsia" w:ascii="黑体" w:hAnsi="ˎ̥" w:eastAsia="黑体"/>
          <w:color w:val="auto"/>
          <w:sz w:val="32"/>
          <w:szCs w:val="32"/>
          <w:highlight w:val="none"/>
        </w:rPr>
      </w:pPr>
    </w:p>
    <w:p w14:paraId="2F3F55F2">
      <w:pPr>
        <w:spacing w:line="578" w:lineRule="exact"/>
        <w:jc w:val="center"/>
        <w:rPr>
          <w:rFonts w:hint="eastAsia" w:ascii="黑体" w:hAnsi="ˎ̥" w:eastAsia="黑体"/>
          <w:color w:val="auto"/>
          <w:sz w:val="32"/>
          <w:szCs w:val="32"/>
          <w:highlight w:val="none"/>
        </w:rPr>
      </w:pPr>
    </w:p>
    <w:p w14:paraId="2F321FAA">
      <w:pPr>
        <w:spacing w:line="578" w:lineRule="exact"/>
        <w:jc w:val="center"/>
        <w:rPr>
          <w:rFonts w:hint="eastAsia" w:ascii="黑体" w:hAnsi="ˎ̥" w:eastAsia="黑体"/>
          <w:color w:val="auto"/>
          <w:sz w:val="32"/>
          <w:szCs w:val="32"/>
          <w:highlight w:val="none"/>
        </w:rPr>
      </w:pPr>
    </w:p>
    <w:p w14:paraId="7AD2CECA">
      <w:pPr>
        <w:spacing w:line="578" w:lineRule="exact"/>
        <w:jc w:val="center"/>
        <w:rPr>
          <w:rFonts w:hint="eastAsia" w:ascii="黑体" w:hAnsi="ˎ̥" w:eastAsia="黑体"/>
          <w:color w:val="auto"/>
          <w:sz w:val="32"/>
          <w:szCs w:val="32"/>
          <w:highlight w:val="none"/>
        </w:rPr>
      </w:pPr>
    </w:p>
    <w:p w14:paraId="4D8F8933">
      <w:pPr>
        <w:spacing w:line="578" w:lineRule="exact"/>
        <w:jc w:val="center"/>
        <w:rPr>
          <w:rFonts w:hint="eastAsia" w:ascii="黑体" w:hAnsi="ˎ̥" w:eastAsia="黑体"/>
          <w:color w:val="auto"/>
          <w:sz w:val="32"/>
          <w:szCs w:val="32"/>
          <w:highlight w:val="none"/>
        </w:rPr>
      </w:pPr>
    </w:p>
    <w:p w14:paraId="19C8DC05">
      <w:pPr>
        <w:spacing w:line="578" w:lineRule="exact"/>
        <w:jc w:val="center"/>
        <w:rPr>
          <w:rFonts w:hint="eastAsia" w:ascii="黑体" w:hAnsi="ˎ̥" w:eastAsia="黑体"/>
          <w:color w:val="auto"/>
          <w:sz w:val="32"/>
          <w:szCs w:val="32"/>
          <w:highlight w:val="none"/>
        </w:rPr>
      </w:pPr>
    </w:p>
    <w:p w14:paraId="0742880A">
      <w:pPr>
        <w:spacing w:line="578" w:lineRule="exact"/>
        <w:jc w:val="center"/>
        <w:rPr>
          <w:rFonts w:hint="eastAsia" w:ascii="黑体" w:hAnsi="ˎ̥" w:eastAsia="黑体"/>
          <w:color w:val="auto"/>
          <w:sz w:val="32"/>
          <w:szCs w:val="32"/>
          <w:highlight w:val="none"/>
        </w:rPr>
      </w:pPr>
    </w:p>
    <w:p w14:paraId="1440AD4C">
      <w:pPr>
        <w:spacing w:line="578" w:lineRule="exact"/>
        <w:jc w:val="center"/>
        <w:rPr>
          <w:rFonts w:hint="eastAsia" w:ascii="黑体" w:hAnsi="ˎ̥" w:eastAsia="黑体"/>
          <w:color w:val="auto"/>
          <w:sz w:val="32"/>
          <w:szCs w:val="32"/>
          <w:highlight w:val="none"/>
        </w:rPr>
      </w:pPr>
    </w:p>
    <w:p w14:paraId="31BF6332">
      <w:pPr>
        <w:spacing w:line="578" w:lineRule="exact"/>
        <w:jc w:val="center"/>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第三部分  </w:t>
      </w:r>
      <w:r>
        <w:rPr>
          <w:rFonts w:hint="default" w:ascii="黑体" w:hAnsi="ˎ̥" w:eastAsia="黑体"/>
          <w:color w:val="auto"/>
          <w:sz w:val="32"/>
          <w:szCs w:val="32"/>
          <w:highlight w:val="none"/>
          <w:lang w:val="en-US"/>
        </w:rPr>
        <w:t>2025</w:t>
      </w:r>
      <w:r>
        <w:rPr>
          <w:rFonts w:hint="eastAsia" w:ascii="黑体" w:hAnsi="ˎ̥" w:eastAsia="黑体"/>
          <w:color w:val="auto"/>
          <w:sz w:val="32"/>
          <w:szCs w:val="32"/>
          <w:highlight w:val="none"/>
        </w:rPr>
        <w:t>年度部门决算情况说明</w:t>
      </w:r>
      <w:bookmarkEnd w:id="70"/>
      <w:bookmarkEnd w:id="71"/>
      <w:bookmarkEnd w:id="72"/>
      <w:bookmarkEnd w:id="73"/>
      <w:bookmarkEnd w:id="74"/>
      <w:bookmarkEnd w:id="75"/>
    </w:p>
    <w:p w14:paraId="0108672B">
      <w:pPr>
        <w:spacing w:line="578" w:lineRule="exact"/>
        <w:jc w:val="center"/>
        <w:rPr>
          <w:rFonts w:hint="eastAsia" w:ascii="黑体" w:hAnsi="ˎ̥" w:eastAsia="黑体"/>
          <w:color w:val="auto"/>
          <w:sz w:val="32"/>
          <w:szCs w:val="32"/>
          <w:highlight w:val="none"/>
        </w:rPr>
      </w:pPr>
    </w:p>
    <w:p w14:paraId="594A6C42">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收入支出总体情况说明</w:t>
      </w:r>
    </w:p>
    <w:p w14:paraId="1051B5AA">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年度收入总计</w:t>
      </w:r>
      <w:r>
        <w:rPr>
          <w:rFonts w:hint="eastAsia" w:ascii="仿宋" w:hAnsi="仿宋" w:eastAsia="仿宋" w:cs="仿宋"/>
          <w:color w:val="auto"/>
          <w:sz w:val="32"/>
          <w:szCs w:val="32"/>
          <w:highlight w:val="none"/>
          <w:lang w:val="en-US"/>
        </w:rPr>
        <w:t>120,336.44</w:t>
      </w:r>
      <w:r>
        <w:rPr>
          <w:rFonts w:hint="eastAsia" w:ascii="仿宋" w:hAnsi="仿宋" w:eastAsia="仿宋" w:cs="仿宋"/>
          <w:color w:val="auto"/>
          <w:sz w:val="32"/>
          <w:szCs w:val="32"/>
          <w:highlight w:val="none"/>
        </w:rPr>
        <w:t>万元，支出总计</w:t>
      </w:r>
      <w:r>
        <w:rPr>
          <w:rFonts w:hint="eastAsia" w:ascii="仿宋" w:hAnsi="仿宋" w:eastAsia="仿宋" w:cs="仿宋"/>
          <w:color w:val="auto"/>
          <w:sz w:val="32"/>
          <w:szCs w:val="32"/>
          <w:highlight w:val="none"/>
          <w:lang w:val="en-US"/>
        </w:rPr>
        <w:t>120,336.44</w:t>
      </w:r>
      <w:r>
        <w:rPr>
          <w:rFonts w:hint="eastAsia" w:ascii="仿宋" w:hAnsi="仿宋" w:eastAsia="仿宋" w:cs="仿宋"/>
          <w:color w:val="auto"/>
          <w:sz w:val="32"/>
          <w:szCs w:val="32"/>
          <w:highlight w:val="none"/>
        </w:rPr>
        <w:t>万元，与</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年度相比，收入、支出总计各增加</w:t>
      </w:r>
      <w:r>
        <w:rPr>
          <w:rFonts w:hint="eastAsia" w:ascii="仿宋" w:hAnsi="仿宋" w:eastAsia="仿宋" w:cs="仿宋"/>
          <w:color w:val="auto"/>
          <w:sz w:val="32"/>
          <w:szCs w:val="32"/>
          <w:highlight w:val="none"/>
          <w:lang w:val="en-US"/>
        </w:rPr>
        <w:t xml:space="preserve"> 12,841.19 </w:t>
      </w:r>
      <w:r>
        <w:rPr>
          <w:rFonts w:hint="eastAsia" w:ascii="仿宋" w:hAnsi="仿宋" w:eastAsia="仿宋" w:cs="仿宋"/>
          <w:color w:val="auto"/>
          <w:sz w:val="32"/>
          <w:szCs w:val="32"/>
          <w:highlight w:val="none"/>
        </w:rPr>
        <w:t>万元，增长</w:t>
      </w:r>
      <w:r>
        <w:rPr>
          <w:rFonts w:hint="eastAsia" w:ascii="仿宋" w:hAnsi="仿宋" w:eastAsia="仿宋" w:cs="仿宋"/>
          <w:color w:val="auto"/>
          <w:sz w:val="32"/>
          <w:szCs w:val="32"/>
          <w:highlight w:val="none"/>
          <w:lang w:val="en-US"/>
        </w:rPr>
        <w:t>11.95%</w:t>
      </w:r>
      <w:r>
        <w:rPr>
          <w:rFonts w:hint="eastAsia" w:ascii="仿宋" w:hAnsi="仿宋" w:eastAsia="仿宋" w:cs="仿宋"/>
          <w:color w:val="auto"/>
          <w:sz w:val="32"/>
          <w:szCs w:val="32"/>
          <w:highlight w:val="none"/>
        </w:rPr>
        <w:t>。主要原因：一是增加世行贷款项目预防、准备与应对新发传染病项目；二是海口动物隔离项目经费、“海南省动物疫病防控指挥中心”基建项目支出及省财政对农业农村领域投入持续增加。</w:t>
      </w:r>
    </w:p>
    <w:p w14:paraId="05B8AF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收入</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本年收入</w:t>
      </w:r>
      <w:r>
        <w:rPr>
          <w:rFonts w:hint="eastAsia" w:ascii="仿宋" w:hAnsi="仿宋" w:eastAsia="仿宋" w:cs="仿宋"/>
          <w:color w:val="auto"/>
          <w:sz w:val="32"/>
          <w:szCs w:val="32"/>
          <w:highlight w:val="none"/>
          <w:lang w:val="en-US"/>
        </w:rPr>
        <w:t>119,432.37</w:t>
      </w:r>
      <w:r>
        <w:rPr>
          <w:rFonts w:hint="eastAsia" w:ascii="仿宋" w:hAnsi="仿宋" w:eastAsia="仿宋" w:cs="仿宋"/>
          <w:color w:val="auto"/>
          <w:sz w:val="32"/>
          <w:szCs w:val="32"/>
          <w:highlight w:val="none"/>
        </w:rPr>
        <w:t>万元。</w:t>
      </w:r>
    </w:p>
    <w:p w14:paraId="3AB6C1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使用非财政拨款结余</w:t>
      </w:r>
      <w:r>
        <w:rPr>
          <w:rFonts w:hint="eastAsia" w:ascii="仿宋" w:hAnsi="仿宋" w:eastAsia="仿宋" w:cs="仿宋"/>
          <w:color w:val="auto"/>
          <w:sz w:val="32"/>
          <w:szCs w:val="32"/>
          <w:highlight w:val="none"/>
          <w:lang w:val="en-US"/>
        </w:rPr>
        <w:t>2.05</w:t>
      </w:r>
      <w:r>
        <w:rPr>
          <w:rFonts w:hint="eastAsia" w:ascii="仿宋" w:hAnsi="仿宋" w:eastAsia="仿宋" w:cs="仿宋"/>
          <w:color w:val="auto"/>
          <w:sz w:val="32"/>
          <w:szCs w:val="32"/>
          <w:highlight w:val="none"/>
        </w:rPr>
        <w:t>万元，较</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年度决算数减少</w:t>
      </w:r>
      <w:r>
        <w:rPr>
          <w:rFonts w:hint="eastAsia" w:ascii="仿宋" w:hAnsi="仿宋" w:eastAsia="仿宋" w:cs="仿宋"/>
          <w:color w:val="auto"/>
          <w:sz w:val="32"/>
          <w:szCs w:val="32"/>
          <w:highlight w:val="none"/>
          <w:lang w:val="en-US"/>
        </w:rPr>
        <w:t xml:space="preserve"> 33.97 </w:t>
      </w:r>
      <w:r>
        <w:rPr>
          <w:rFonts w:hint="eastAsia" w:ascii="仿宋" w:hAnsi="仿宋" w:eastAsia="仿宋" w:cs="仿宋"/>
          <w:color w:val="auto"/>
          <w:sz w:val="32"/>
          <w:szCs w:val="32"/>
          <w:highlight w:val="none"/>
        </w:rPr>
        <w:t>万元，主要原因是历史遗留问题。</w:t>
      </w:r>
    </w:p>
    <w:p w14:paraId="5B2819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 w:hAnsi="仿宋" w:eastAsia="仿宋" w:cs="仿宋"/>
          <w:color w:val="auto"/>
          <w:sz w:val="32"/>
          <w:szCs w:val="32"/>
          <w:highlight w:val="none"/>
        </w:rPr>
        <w:t>年初结转结余</w:t>
      </w:r>
      <w:r>
        <w:rPr>
          <w:rFonts w:hint="eastAsia" w:ascii="仿宋" w:hAnsi="仿宋" w:eastAsia="仿宋" w:cs="仿宋"/>
          <w:color w:val="auto"/>
          <w:sz w:val="32"/>
          <w:szCs w:val="32"/>
          <w:highlight w:val="none"/>
          <w:lang w:val="en-US"/>
        </w:rPr>
        <w:t>902.02</w:t>
      </w:r>
      <w:r>
        <w:rPr>
          <w:rFonts w:hint="eastAsia" w:ascii="仿宋" w:hAnsi="仿宋" w:eastAsia="仿宋" w:cs="仿宋"/>
          <w:color w:val="auto"/>
          <w:sz w:val="32"/>
          <w:szCs w:val="32"/>
          <w:highlight w:val="none"/>
        </w:rPr>
        <w:t>万元，主要是中央项目资金结转，较</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年度决算数减少</w:t>
      </w:r>
      <w:r>
        <w:rPr>
          <w:rFonts w:hint="eastAsia" w:ascii="仿宋" w:hAnsi="仿宋" w:eastAsia="仿宋" w:cs="仿宋"/>
          <w:color w:val="auto"/>
          <w:sz w:val="32"/>
          <w:szCs w:val="32"/>
          <w:highlight w:val="none"/>
          <w:lang w:val="en-US"/>
        </w:rPr>
        <w:t>233.66</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rPr>
        <w:t>20.57%</w:t>
      </w:r>
      <w:r>
        <w:rPr>
          <w:rFonts w:hint="eastAsia" w:ascii="仿宋" w:hAnsi="仿宋" w:eastAsia="仿宋" w:cs="仿宋"/>
          <w:color w:val="auto"/>
          <w:sz w:val="32"/>
          <w:szCs w:val="32"/>
          <w:highlight w:val="none"/>
        </w:rPr>
        <w:t>，主要原因是加快项目支出进度，减少农业产业发展资金等中央项目资金结转金额。</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rPr>
        <w:t>（二</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支出</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本年支出</w:t>
      </w:r>
      <w:r>
        <w:rPr>
          <w:rFonts w:hint="eastAsia" w:ascii="仿宋" w:hAnsi="仿宋" w:eastAsia="仿宋" w:cs="仿宋"/>
          <w:color w:val="auto"/>
          <w:sz w:val="32"/>
          <w:szCs w:val="32"/>
          <w:highlight w:val="none"/>
          <w:lang w:val="en-US"/>
        </w:rPr>
        <w:t>119,385.01</w:t>
      </w:r>
      <w:r>
        <w:rPr>
          <w:rFonts w:hint="eastAsia" w:ascii="仿宋" w:hAnsi="仿宋" w:eastAsia="仿宋" w:cs="仿宋"/>
          <w:color w:val="auto"/>
          <w:sz w:val="32"/>
          <w:szCs w:val="32"/>
          <w:highlight w:val="none"/>
        </w:rPr>
        <w:t>万元。</w:t>
      </w:r>
    </w:p>
    <w:p w14:paraId="382684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结余分配</w:t>
      </w:r>
      <w:r>
        <w:rPr>
          <w:rFonts w:hint="eastAsia" w:ascii="仿宋" w:hAnsi="仿宋" w:eastAsia="仿宋" w:cs="仿宋"/>
          <w:color w:val="auto"/>
          <w:sz w:val="32"/>
          <w:szCs w:val="32"/>
          <w:highlight w:val="none"/>
          <w:lang w:val="en-US"/>
        </w:rPr>
        <w:t>0.02</w:t>
      </w:r>
      <w:r>
        <w:rPr>
          <w:rFonts w:hint="eastAsia" w:ascii="仿宋" w:hAnsi="仿宋" w:eastAsia="仿宋" w:cs="仿宋"/>
          <w:color w:val="auto"/>
          <w:sz w:val="32"/>
          <w:szCs w:val="32"/>
          <w:highlight w:val="none"/>
        </w:rPr>
        <w:t>万元，主要是单位账务处理不准确，较</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年度决算数减少</w:t>
      </w:r>
      <w:r>
        <w:rPr>
          <w:rFonts w:hint="eastAsia" w:ascii="仿宋" w:hAnsi="仿宋" w:eastAsia="仿宋" w:cs="仿宋"/>
          <w:color w:val="auto"/>
          <w:sz w:val="32"/>
          <w:szCs w:val="32"/>
          <w:highlight w:val="none"/>
          <w:lang w:val="en-US" w:eastAsia="zh-CN"/>
        </w:rPr>
        <w:t>0.24</w:t>
      </w:r>
      <w:r>
        <w:rPr>
          <w:rFonts w:hint="eastAsia" w:ascii="仿宋" w:hAnsi="仿宋" w:eastAsia="仿宋" w:cs="仿宋"/>
          <w:color w:val="auto"/>
          <w:sz w:val="32"/>
          <w:szCs w:val="32"/>
          <w:highlight w:val="none"/>
        </w:rPr>
        <w:t>万元，下降92.31%，主要原因是单位账务调整。</w:t>
      </w:r>
    </w:p>
    <w:p w14:paraId="33C8A0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年末结转结余</w:t>
      </w:r>
      <w:r>
        <w:rPr>
          <w:rFonts w:hint="eastAsia" w:ascii="仿宋" w:hAnsi="仿宋" w:eastAsia="仿宋" w:cs="仿宋"/>
          <w:color w:val="auto"/>
          <w:sz w:val="32"/>
          <w:szCs w:val="32"/>
          <w:highlight w:val="none"/>
          <w:lang w:val="en-US"/>
        </w:rPr>
        <w:t>951.41</w:t>
      </w:r>
      <w:r>
        <w:rPr>
          <w:rFonts w:hint="eastAsia" w:ascii="仿宋" w:hAnsi="仿宋" w:eastAsia="仿宋" w:cs="仿宋"/>
          <w:color w:val="auto"/>
          <w:sz w:val="32"/>
          <w:szCs w:val="32"/>
          <w:highlight w:val="none"/>
        </w:rPr>
        <w:t>万元，主要是中央项目资金结转，较</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年度决算数减少</w:t>
      </w:r>
      <w:r>
        <w:rPr>
          <w:rFonts w:hint="eastAsia" w:ascii="仿宋" w:hAnsi="仿宋" w:eastAsia="仿宋" w:cs="仿宋"/>
          <w:color w:val="auto"/>
          <w:sz w:val="32"/>
          <w:szCs w:val="32"/>
          <w:highlight w:val="none"/>
          <w:lang w:val="en-US"/>
        </w:rPr>
        <w:t>224.58</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rPr>
        <w:t>19.10%</w:t>
      </w:r>
      <w:r>
        <w:rPr>
          <w:rFonts w:hint="eastAsia" w:ascii="仿宋" w:hAnsi="仿宋" w:eastAsia="仿宋" w:cs="仿宋"/>
          <w:color w:val="auto"/>
          <w:sz w:val="32"/>
          <w:szCs w:val="32"/>
          <w:highlight w:val="none"/>
        </w:rPr>
        <w:t>，主要原因是资金支出进度加快。</w:t>
      </w:r>
    </w:p>
    <w:p w14:paraId="1CA2D923">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left="0" w:leftChars="0"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收入决算情况说明</w:t>
      </w:r>
    </w:p>
    <w:p w14:paraId="0F317C35">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本年收入</w:t>
      </w:r>
      <w:r>
        <w:rPr>
          <w:rFonts w:hint="eastAsia" w:ascii="仿宋" w:hAnsi="仿宋" w:eastAsia="仿宋" w:cs="仿宋"/>
          <w:color w:val="auto"/>
          <w:sz w:val="32"/>
          <w:szCs w:val="32"/>
          <w:highlight w:val="none"/>
          <w:lang w:val="en-US"/>
        </w:rPr>
        <w:t>119,432.37</w:t>
      </w:r>
      <w:r>
        <w:rPr>
          <w:rFonts w:hint="eastAsia" w:ascii="仿宋" w:hAnsi="仿宋" w:eastAsia="仿宋" w:cs="仿宋"/>
          <w:color w:val="auto"/>
          <w:sz w:val="32"/>
          <w:szCs w:val="32"/>
          <w:highlight w:val="none"/>
        </w:rPr>
        <w:t>万元，其中：财政拨款收入</w:t>
      </w:r>
      <w:r>
        <w:rPr>
          <w:rFonts w:hint="eastAsia" w:ascii="仿宋" w:hAnsi="仿宋" w:eastAsia="仿宋" w:cs="仿宋"/>
          <w:color w:val="auto"/>
          <w:sz w:val="32"/>
          <w:szCs w:val="32"/>
          <w:highlight w:val="none"/>
          <w:lang w:val="en-US"/>
        </w:rPr>
        <w:t>119,154.99</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rPr>
        <w:t>99.77%</w:t>
      </w:r>
      <w:r>
        <w:rPr>
          <w:rFonts w:hint="eastAsia" w:ascii="仿宋" w:hAnsi="仿宋" w:eastAsia="仿宋" w:cs="仿宋"/>
          <w:color w:val="auto"/>
          <w:sz w:val="32"/>
          <w:szCs w:val="32"/>
          <w:highlight w:val="none"/>
        </w:rPr>
        <w:t>；上级补助收入</w:t>
      </w:r>
      <w:r>
        <w:rPr>
          <w:rFonts w:hint="eastAsia" w:ascii="仿宋" w:hAnsi="仿宋" w:eastAsia="仿宋" w:cs="仿宋"/>
          <w:color w:val="auto"/>
          <w:sz w:val="32"/>
          <w:szCs w:val="32"/>
          <w:highlight w:val="none"/>
          <w:lang w:val="en-US"/>
        </w:rPr>
        <w:t>0.00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%；事业收入</w:t>
      </w:r>
      <w:r>
        <w:rPr>
          <w:rFonts w:hint="eastAsia" w:ascii="仿宋" w:hAnsi="仿宋" w:eastAsia="仿宋" w:cs="仿宋"/>
          <w:color w:val="auto"/>
          <w:sz w:val="32"/>
          <w:szCs w:val="32"/>
          <w:highlight w:val="none"/>
          <w:lang w:val="en-US"/>
        </w:rPr>
        <w:t>196.56</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rPr>
        <w:t>0.16%</w:t>
      </w:r>
      <w:r>
        <w:rPr>
          <w:rFonts w:hint="eastAsia" w:ascii="仿宋" w:hAnsi="仿宋" w:eastAsia="仿宋" w:cs="仿宋"/>
          <w:color w:val="auto"/>
          <w:sz w:val="32"/>
          <w:szCs w:val="32"/>
          <w:highlight w:val="none"/>
        </w:rPr>
        <w:t>；经营收入</w:t>
      </w:r>
      <w:r>
        <w:rPr>
          <w:rFonts w:hint="eastAsia" w:ascii="仿宋" w:hAnsi="仿宋" w:eastAsia="仿宋" w:cs="仿宋"/>
          <w:color w:val="auto"/>
          <w:sz w:val="32"/>
          <w:szCs w:val="32"/>
          <w:highlight w:val="none"/>
          <w:lang w:val="en-US"/>
        </w:rPr>
        <w:t>0.00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%；附属单位上缴收入</w:t>
      </w:r>
      <w:r>
        <w:rPr>
          <w:rFonts w:hint="eastAsia" w:ascii="仿宋" w:hAnsi="仿宋" w:eastAsia="仿宋" w:cs="仿宋"/>
          <w:color w:val="auto"/>
          <w:sz w:val="32"/>
          <w:szCs w:val="32"/>
          <w:highlight w:val="none"/>
          <w:lang w:val="en-US"/>
        </w:rPr>
        <w:t>0.00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%；其他收入</w:t>
      </w:r>
      <w:r>
        <w:rPr>
          <w:rFonts w:hint="eastAsia" w:ascii="仿宋" w:hAnsi="仿宋" w:eastAsia="仿宋" w:cs="仿宋"/>
          <w:color w:val="auto"/>
          <w:sz w:val="32"/>
          <w:szCs w:val="32"/>
          <w:highlight w:val="none"/>
          <w:lang w:val="en-US"/>
        </w:rPr>
        <w:t>80.82</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rPr>
        <w:t>0.07%</w:t>
      </w:r>
      <w:r>
        <w:rPr>
          <w:rFonts w:hint="eastAsia" w:ascii="仿宋" w:hAnsi="仿宋" w:eastAsia="仿宋" w:cs="仿宋"/>
          <w:color w:val="auto"/>
          <w:sz w:val="32"/>
          <w:szCs w:val="32"/>
          <w:highlight w:val="none"/>
        </w:rPr>
        <w:t>。</w:t>
      </w:r>
    </w:p>
    <w:p w14:paraId="5FF693E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本年支出</w:t>
      </w:r>
      <w:r>
        <w:rPr>
          <w:rFonts w:hint="eastAsia" w:ascii="仿宋" w:hAnsi="仿宋" w:eastAsia="仿宋" w:cs="仿宋"/>
          <w:color w:val="auto"/>
          <w:sz w:val="32"/>
          <w:szCs w:val="32"/>
          <w:highlight w:val="none"/>
          <w:lang w:val="en-US"/>
        </w:rPr>
        <w:t>119,385.01</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val="en-US"/>
        </w:rPr>
        <w:t>16,394.36</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rPr>
        <w:t>13.73%</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val="en-US"/>
        </w:rPr>
        <w:t>102,990.65</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rPr>
        <w:t>86.27%</w:t>
      </w:r>
      <w:r>
        <w:rPr>
          <w:rFonts w:hint="eastAsia" w:ascii="仿宋" w:hAnsi="仿宋" w:eastAsia="仿宋" w:cs="仿宋"/>
          <w:color w:val="auto"/>
          <w:sz w:val="32"/>
          <w:szCs w:val="32"/>
          <w:highlight w:val="none"/>
        </w:rPr>
        <w:t>；上缴上级支出</w:t>
      </w:r>
      <w:r>
        <w:rPr>
          <w:rFonts w:hint="eastAsia" w:ascii="仿宋" w:hAnsi="仿宋" w:eastAsia="仿宋" w:cs="仿宋"/>
          <w:color w:val="auto"/>
          <w:sz w:val="32"/>
          <w:szCs w:val="32"/>
          <w:highlight w:val="none"/>
          <w:lang w:val="en-US"/>
        </w:rPr>
        <w:t>0.00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%；经营支出</w:t>
      </w:r>
      <w:r>
        <w:rPr>
          <w:rFonts w:hint="eastAsia" w:ascii="仿宋" w:hAnsi="仿宋" w:eastAsia="仿宋" w:cs="仿宋"/>
          <w:color w:val="auto"/>
          <w:sz w:val="32"/>
          <w:szCs w:val="32"/>
          <w:highlight w:val="none"/>
          <w:lang w:val="en-US"/>
        </w:rPr>
        <w:t>0.00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%；对附属单位补助支出</w:t>
      </w:r>
      <w:r>
        <w:rPr>
          <w:rFonts w:hint="eastAsia" w:ascii="仿宋" w:hAnsi="仿宋" w:eastAsia="仿宋" w:cs="仿宋"/>
          <w:color w:val="auto"/>
          <w:sz w:val="32"/>
          <w:szCs w:val="32"/>
          <w:highlight w:val="none"/>
          <w:lang w:val="en-US"/>
        </w:rPr>
        <w:t>0.00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四、财政拨款收入支出决算总体情况说明</w:t>
      </w:r>
    </w:p>
    <w:p w14:paraId="3CD7D4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年度财政拨款收入</w:t>
      </w:r>
      <w:r>
        <w:rPr>
          <w:rFonts w:hint="eastAsia" w:ascii="仿宋" w:hAnsi="仿宋" w:eastAsia="仿宋" w:cs="仿宋"/>
          <w:color w:val="auto"/>
          <w:sz w:val="32"/>
          <w:szCs w:val="32"/>
          <w:highlight w:val="none"/>
          <w:lang w:val="en-US"/>
        </w:rPr>
        <w:t>119,154.99</w:t>
      </w:r>
      <w:r>
        <w:rPr>
          <w:rFonts w:hint="eastAsia" w:ascii="仿宋" w:hAnsi="仿宋" w:eastAsia="仿宋" w:cs="仿宋"/>
          <w:color w:val="auto"/>
          <w:sz w:val="32"/>
          <w:szCs w:val="32"/>
          <w:highlight w:val="none"/>
        </w:rPr>
        <w:t>万元，支出</w:t>
      </w:r>
      <w:r>
        <w:rPr>
          <w:rFonts w:hint="eastAsia" w:ascii="仿宋" w:hAnsi="仿宋" w:eastAsia="仿宋" w:cs="仿宋"/>
          <w:color w:val="auto"/>
          <w:sz w:val="32"/>
          <w:szCs w:val="32"/>
          <w:highlight w:val="none"/>
          <w:lang w:val="en-US"/>
        </w:rPr>
        <w:t>119,055.72</w:t>
      </w:r>
      <w:r>
        <w:rPr>
          <w:rFonts w:hint="eastAsia" w:ascii="仿宋" w:hAnsi="仿宋" w:eastAsia="仿宋" w:cs="仿宋"/>
          <w:color w:val="auto"/>
          <w:sz w:val="32"/>
          <w:szCs w:val="32"/>
          <w:highlight w:val="none"/>
        </w:rPr>
        <w:t>万元。与</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年度相比，财政拨款收入增加</w:t>
      </w:r>
      <w:r>
        <w:rPr>
          <w:rFonts w:hint="eastAsia" w:ascii="仿宋" w:hAnsi="仿宋" w:eastAsia="仿宋" w:cs="仿宋"/>
          <w:color w:val="auto"/>
          <w:sz w:val="32"/>
          <w:szCs w:val="32"/>
          <w:highlight w:val="none"/>
          <w:lang w:val="en-US"/>
        </w:rPr>
        <w:t>13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en-US"/>
        </w:rPr>
        <w:t>274.48</w:t>
      </w:r>
      <w:r>
        <w:rPr>
          <w:rFonts w:hint="eastAsia" w:ascii="仿宋" w:hAnsi="仿宋" w:eastAsia="仿宋" w:cs="仿宋"/>
          <w:color w:val="auto"/>
          <w:sz w:val="32"/>
          <w:szCs w:val="32"/>
          <w:highlight w:val="none"/>
        </w:rPr>
        <w:t>万元，增长</w:t>
      </w:r>
      <w:r>
        <w:rPr>
          <w:rFonts w:hint="eastAsia" w:ascii="仿宋" w:hAnsi="仿宋" w:eastAsia="仿宋" w:cs="仿宋"/>
          <w:color w:val="auto"/>
          <w:sz w:val="32"/>
          <w:szCs w:val="32"/>
          <w:highlight w:val="none"/>
          <w:lang w:val="en-US"/>
        </w:rPr>
        <w:t>12.54%</w:t>
      </w:r>
      <w:r>
        <w:rPr>
          <w:rFonts w:hint="eastAsia" w:ascii="仿宋" w:hAnsi="仿宋" w:eastAsia="仿宋" w:cs="仿宋"/>
          <w:color w:val="auto"/>
          <w:sz w:val="32"/>
          <w:szCs w:val="32"/>
          <w:highlight w:val="none"/>
        </w:rPr>
        <w:t>，主要原因：一是增加世行贷款项目预防、准备与应对新发传染病项目；二是海口动物隔离项目经费、“海南省动物疫病防控指挥中心”基建项目支出及省财政对农业农村领域投入持续增加。支出增加</w:t>
      </w:r>
      <w:r>
        <w:rPr>
          <w:rFonts w:hint="eastAsia" w:ascii="仿宋" w:hAnsi="仿宋" w:eastAsia="仿宋" w:cs="仿宋"/>
          <w:color w:val="auto"/>
          <w:sz w:val="32"/>
          <w:szCs w:val="32"/>
          <w:highlight w:val="none"/>
          <w:lang w:val="en-US"/>
        </w:rPr>
        <w:t>13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en-US"/>
        </w:rPr>
        <w:t>246.15</w:t>
      </w:r>
      <w:r>
        <w:rPr>
          <w:rFonts w:hint="eastAsia" w:ascii="仿宋" w:hAnsi="仿宋" w:eastAsia="仿宋" w:cs="仿宋"/>
          <w:color w:val="auto"/>
          <w:sz w:val="32"/>
          <w:szCs w:val="32"/>
          <w:highlight w:val="none"/>
        </w:rPr>
        <w:t>万元，增长</w:t>
      </w:r>
      <w:r>
        <w:rPr>
          <w:rFonts w:hint="eastAsia" w:ascii="仿宋" w:hAnsi="仿宋" w:eastAsia="仿宋" w:cs="仿宋"/>
          <w:color w:val="auto"/>
          <w:sz w:val="32"/>
          <w:szCs w:val="32"/>
          <w:highlight w:val="none"/>
          <w:lang w:val="en-US"/>
        </w:rPr>
        <w:t>12.52%</w:t>
      </w:r>
      <w:r>
        <w:rPr>
          <w:rFonts w:hint="eastAsia" w:ascii="仿宋" w:hAnsi="仿宋" w:eastAsia="仿宋" w:cs="仿宋"/>
          <w:color w:val="auto"/>
          <w:sz w:val="32"/>
          <w:szCs w:val="32"/>
          <w:highlight w:val="none"/>
        </w:rPr>
        <w:t>，主要原因：一是增加世行贷款项目预防、准备与应对新发传染病项目；二是海口动物隔离项目经费、“海南省动物疫病防控指挥中心”基建项目支出及省财政对农业农村领域</w:t>
      </w:r>
      <w:r>
        <w:rPr>
          <w:rFonts w:hint="eastAsia" w:ascii="仿宋" w:hAnsi="仿宋" w:eastAsia="仿宋" w:cs="仿宋"/>
          <w:color w:val="auto"/>
          <w:sz w:val="32"/>
          <w:szCs w:val="32"/>
          <w:highlight w:val="none"/>
          <w:lang w:val="en-US" w:eastAsia="zh-CN"/>
        </w:rPr>
        <w:t>支出</w:t>
      </w:r>
      <w:r>
        <w:rPr>
          <w:rFonts w:hint="eastAsia" w:ascii="仿宋" w:hAnsi="仿宋" w:eastAsia="仿宋" w:cs="仿宋"/>
          <w:color w:val="auto"/>
          <w:sz w:val="32"/>
          <w:szCs w:val="32"/>
          <w:highlight w:val="none"/>
        </w:rPr>
        <w:t>持续增加。</w:t>
      </w:r>
    </w:p>
    <w:p w14:paraId="2F2814C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财政拨款年初结转结余</w:t>
      </w:r>
      <w:r>
        <w:rPr>
          <w:rFonts w:hint="eastAsia" w:ascii="仿宋" w:hAnsi="仿宋" w:eastAsia="仿宋" w:cs="仿宋"/>
          <w:color w:val="auto"/>
          <w:sz w:val="32"/>
          <w:szCs w:val="32"/>
          <w:highlight w:val="none"/>
          <w:lang w:val="en-US"/>
        </w:rPr>
        <w:t>163.35</w:t>
      </w:r>
      <w:r>
        <w:rPr>
          <w:rFonts w:hint="eastAsia" w:ascii="仿宋" w:hAnsi="仿宋" w:eastAsia="仿宋" w:cs="仿宋"/>
          <w:color w:val="auto"/>
          <w:sz w:val="32"/>
          <w:szCs w:val="32"/>
          <w:highlight w:val="none"/>
        </w:rPr>
        <w:t>万元，主要是中央项目资金结转，较</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年度决算数减少</w:t>
      </w:r>
      <w:r>
        <w:rPr>
          <w:rFonts w:hint="eastAsia" w:ascii="仿宋" w:hAnsi="仿宋" w:eastAsia="仿宋" w:cs="仿宋"/>
          <w:color w:val="auto"/>
          <w:sz w:val="32"/>
          <w:szCs w:val="32"/>
          <w:highlight w:val="none"/>
          <w:lang w:val="en-US"/>
        </w:rPr>
        <w:t>233.25</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rPr>
        <w:t>58.81%</w:t>
      </w:r>
      <w:r>
        <w:rPr>
          <w:rFonts w:hint="eastAsia" w:ascii="仿宋" w:hAnsi="仿宋" w:eastAsia="仿宋" w:cs="仿宋"/>
          <w:color w:val="auto"/>
          <w:sz w:val="32"/>
          <w:szCs w:val="32"/>
          <w:highlight w:val="none"/>
        </w:rPr>
        <w:t>，主要原因是千方百计加快项目支出进度。</w:t>
      </w:r>
    </w:p>
    <w:p w14:paraId="604B14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财政拨款年末结转结余</w:t>
      </w:r>
      <w:r>
        <w:rPr>
          <w:rFonts w:hint="eastAsia" w:ascii="仿宋" w:hAnsi="仿宋" w:eastAsia="仿宋" w:cs="仿宋"/>
          <w:color w:val="auto"/>
          <w:sz w:val="32"/>
          <w:szCs w:val="32"/>
          <w:highlight w:val="none"/>
          <w:lang w:val="en-US"/>
        </w:rPr>
        <w:t>262.62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主要</w:t>
      </w:r>
      <w:r>
        <w:rPr>
          <w:rFonts w:hint="eastAsia" w:ascii="仿宋" w:hAnsi="仿宋" w:eastAsia="仿宋" w:cs="仿宋"/>
          <w:color w:val="auto"/>
          <w:sz w:val="32"/>
          <w:szCs w:val="32"/>
          <w:highlight w:val="none"/>
        </w:rPr>
        <w:t>是中央农业生产发展资金、农业经营主体能力提升等项目资金，较</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年度决算数减少</w:t>
      </w:r>
      <w:r>
        <w:rPr>
          <w:rFonts w:hint="eastAsia" w:ascii="仿宋" w:hAnsi="仿宋" w:eastAsia="仿宋" w:cs="仿宋"/>
          <w:color w:val="auto"/>
          <w:sz w:val="32"/>
          <w:szCs w:val="32"/>
          <w:highlight w:val="none"/>
          <w:lang w:val="en-US"/>
        </w:rPr>
        <w:t>204.92</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rPr>
        <w:t>43.83%</w:t>
      </w:r>
      <w:r>
        <w:rPr>
          <w:rFonts w:hint="eastAsia" w:ascii="仿宋" w:hAnsi="仿宋" w:eastAsia="仿宋" w:cs="仿宋"/>
          <w:color w:val="auto"/>
          <w:sz w:val="32"/>
          <w:szCs w:val="32"/>
          <w:highlight w:val="none"/>
        </w:rPr>
        <w:t>，主要原因是</w:t>
      </w:r>
      <w:r>
        <w:rPr>
          <w:rFonts w:hint="eastAsia" w:ascii="仿宋" w:hAnsi="仿宋" w:eastAsia="仿宋" w:cs="仿宋"/>
          <w:color w:val="auto"/>
          <w:sz w:val="32"/>
          <w:szCs w:val="32"/>
          <w:highlight w:val="none"/>
          <w:lang w:val="en-US" w:eastAsia="zh-CN"/>
        </w:rPr>
        <w:t>加快</w:t>
      </w:r>
      <w:r>
        <w:rPr>
          <w:rFonts w:hint="eastAsia" w:ascii="仿宋" w:hAnsi="仿宋" w:eastAsia="仿宋" w:cs="仿宋"/>
          <w:color w:val="auto"/>
          <w:sz w:val="32"/>
          <w:szCs w:val="32"/>
          <w:highlight w:val="none"/>
        </w:rPr>
        <w:t>农业生产发展资金</w:t>
      </w:r>
      <w:r>
        <w:rPr>
          <w:rFonts w:hint="eastAsia" w:ascii="仿宋" w:hAnsi="仿宋" w:eastAsia="仿宋" w:cs="仿宋"/>
          <w:color w:val="auto"/>
          <w:sz w:val="32"/>
          <w:szCs w:val="32"/>
          <w:highlight w:val="none"/>
          <w:lang w:val="en-US" w:eastAsia="zh-CN"/>
        </w:rPr>
        <w:t>支出</w:t>
      </w:r>
      <w:r>
        <w:rPr>
          <w:rFonts w:hint="eastAsia" w:ascii="仿宋" w:hAnsi="仿宋" w:eastAsia="仿宋" w:cs="仿宋"/>
          <w:color w:val="auto"/>
          <w:sz w:val="32"/>
          <w:szCs w:val="32"/>
          <w:highlight w:val="none"/>
        </w:rPr>
        <w:t>。</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五、一般公共预算财政拨款支出决算情况说明</w:t>
      </w:r>
    </w:p>
    <w:p w14:paraId="556163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76" w:name="_Toc13694_WPSOffice_Level2"/>
      <w:bookmarkStart w:id="77" w:name="_Toc23005_WPSOffice_Level2"/>
      <w:bookmarkStart w:id="78" w:name="_Toc17398_WPSOffice_Level2"/>
      <w:bookmarkStart w:id="79" w:name="_Toc9989_WPSOffice_Level2"/>
      <w:bookmarkStart w:id="80" w:name="_Toc19665_WPSOffice_Level2"/>
      <w:bookmarkStart w:id="81" w:name="_Toc21737_WPSOffice_Level2"/>
      <w:r>
        <w:rPr>
          <w:rFonts w:hint="eastAsia" w:ascii="楷体" w:hAnsi="楷体" w:eastAsia="楷体" w:cs="楷体"/>
          <w:color w:val="auto"/>
          <w:sz w:val="32"/>
          <w:szCs w:val="32"/>
          <w:highlight w:val="none"/>
        </w:rPr>
        <w:t>（一）一般公共预算财政拨款支出决算总体情况</w:t>
      </w:r>
      <w:bookmarkEnd w:id="76"/>
      <w:bookmarkEnd w:id="77"/>
      <w:bookmarkEnd w:id="78"/>
      <w:bookmarkEnd w:id="79"/>
      <w:bookmarkEnd w:id="80"/>
      <w:bookmarkEnd w:id="81"/>
    </w:p>
    <w:p w14:paraId="0B0CF27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年度一般公共预算财政拨款支出</w:t>
      </w:r>
      <w:r>
        <w:rPr>
          <w:rFonts w:hint="eastAsia" w:ascii="仿宋" w:hAnsi="仿宋" w:eastAsia="仿宋" w:cs="仿宋"/>
          <w:color w:val="auto"/>
          <w:sz w:val="32"/>
          <w:szCs w:val="32"/>
          <w:highlight w:val="none"/>
          <w:lang w:val="en-US"/>
        </w:rPr>
        <w:t>117,413.72</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rPr>
        <w:t>98.35%</w:t>
      </w:r>
      <w:r>
        <w:rPr>
          <w:rFonts w:hint="eastAsia" w:ascii="仿宋" w:hAnsi="仿宋" w:eastAsia="仿宋" w:cs="仿宋"/>
          <w:color w:val="auto"/>
          <w:sz w:val="32"/>
          <w:szCs w:val="32"/>
          <w:highlight w:val="none"/>
        </w:rPr>
        <w:t>。与</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年度相比，一般公共预算财政拨款支出增加</w:t>
      </w:r>
      <w:r>
        <w:rPr>
          <w:rFonts w:hint="eastAsia" w:ascii="仿宋" w:hAnsi="仿宋" w:eastAsia="仿宋" w:cs="仿宋"/>
          <w:color w:val="auto"/>
          <w:sz w:val="32"/>
          <w:szCs w:val="32"/>
          <w:highlight w:val="none"/>
          <w:lang w:val="en-US"/>
        </w:rPr>
        <w:t>11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en-US"/>
        </w:rPr>
        <w:t>604.15</w:t>
      </w:r>
      <w:r>
        <w:rPr>
          <w:rFonts w:hint="eastAsia" w:ascii="仿宋" w:hAnsi="仿宋" w:eastAsia="仿宋" w:cs="仿宋"/>
          <w:color w:val="auto"/>
          <w:sz w:val="32"/>
          <w:szCs w:val="32"/>
          <w:highlight w:val="none"/>
        </w:rPr>
        <w:t>万元，增长</w:t>
      </w:r>
      <w:r>
        <w:rPr>
          <w:rFonts w:hint="eastAsia" w:ascii="仿宋" w:hAnsi="仿宋" w:eastAsia="仿宋" w:cs="仿宋"/>
          <w:color w:val="auto"/>
          <w:sz w:val="32"/>
          <w:szCs w:val="32"/>
          <w:highlight w:val="none"/>
          <w:lang w:val="en-US"/>
        </w:rPr>
        <w:t>10.97%</w:t>
      </w:r>
      <w:r>
        <w:rPr>
          <w:rFonts w:hint="eastAsia" w:ascii="仿宋" w:hAnsi="仿宋" w:eastAsia="仿宋" w:cs="仿宋"/>
          <w:color w:val="auto"/>
          <w:sz w:val="32"/>
          <w:szCs w:val="32"/>
          <w:highlight w:val="none"/>
        </w:rPr>
        <w:t>，主要原因是因机构改革，原乡村振兴局并入我厅，增加原乡村振兴局相关项目经费，同时增加渔业高质量发展奖补资金等项目经费。</w:t>
      </w:r>
    </w:p>
    <w:p w14:paraId="02CF4A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82" w:name="_Toc2711_WPSOffice_Level2"/>
      <w:bookmarkStart w:id="83" w:name="_Toc23864_WPSOffice_Level2"/>
      <w:bookmarkStart w:id="84" w:name="_Toc18793_WPSOffice_Level2"/>
      <w:bookmarkStart w:id="85" w:name="_Toc19075_WPSOffice_Level2"/>
      <w:bookmarkStart w:id="86" w:name="_Toc27767_WPSOffice_Level2"/>
      <w:bookmarkStart w:id="87" w:name="_Toc19535_WPSOffice_Level2"/>
      <w:r>
        <w:rPr>
          <w:rFonts w:hint="eastAsia" w:ascii="楷体" w:hAnsi="楷体" w:eastAsia="楷体" w:cs="楷体"/>
          <w:color w:val="auto"/>
          <w:sz w:val="32"/>
          <w:szCs w:val="32"/>
          <w:highlight w:val="none"/>
        </w:rPr>
        <w:t>（二）一般公共预算财政拨款支出决算结构情况</w:t>
      </w:r>
      <w:bookmarkEnd w:id="82"/>
      <w:bookmarkEnd w:id="83"/>
      <w:bookmarkEnd w:id="84"/>
      <w:bookmarkEnd w:id="85"/>
      <w:bookmarkEnd w:id="86"/>
      <w:bookmarkEnd w:id="87"/>
    </w:p>
    <w:p w14:paraId="1BE464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年度一般公共预算财政拨款支出</w:t>
      </w:r>
      <w:r>
        <w:rPr>
          <w:rFonts w:hint="eastAsia" w:ascii="仿宋" w:hAnsi="仿宋" w:eastAsia="仿宋" w:cs="仿宋"/>
          <w:color w:val="auto"/>
          <w:sz w:val="32"/>
          <w:szCs w:val="32"/>
          <w:highlight w:val="none"/>
          <w:lang w:val="en-US"/>
        </w:rPr>
        <w:t>117,413.72</w:t>
      </w:r>
      <w:r>
        <w:rPr>
          <w:rFonts w:hint="eastAsia" w:ascii="仿宋" w:hAnsi="仿宋" w:eastAsia="仿宋" w:cs="仿宋"/>
          <w:color w:val="auto"/>
          <w:sz w:val="32"/>
          <w:szCs w:val="32"/>
          <w:highlight w:val="none"/>
        </w:rPr>
        <w:t>万元，主要用于以下方面：</w:t>
      </w:r>
      <w:r>
        <w:rPr>
          <w:rFonts w:hint="eastAsia" w:ascii="仿宋" w:hAnsi="仿宋" w:eastAsia="仿宋" w:cs="仿宋"/>
          <w:b/>
          <w:color w:val="auto"/>
          <w:sz w:val="32"/>
          <w:szCs w:val="32"/>
          <w:highlight w:val="none"/>
        </w:rPr>
        <w:t>一般公共服务（类）</w:t>
      </w:r>
      <w:r>
        <w:rPr>
          <w:rFonts w:hint="eastAsia" w:ascii="仿宋" w:hAnsi="仿宋" w:eastAsia="仿宋" w:cs="仿宋"/>
          <w:color w:val="auto"/>
          <w:sz w:val="32"/>
          <w:szCs w:val="32"/>
          <w:highlight w:val="none"/>
        </w:rPr>
        <w:t>支出</w:t>
      </w:r>
      <w:r>
        <w:rPr>
          <w:rFonts w:hint="eastAsia" w:ascii="仿宋" w:hAnsi="仿宋" w:eastAsia="仿宋" w:cs="仿宋"/>
          <w:color w:val="auto"/>
          <w:sz w:val="32"/>
          <w:szCs w:val="32"/>
          <w:highlight w:val="none"/>
          <w:lang w:val="en-US"/>
        </w:rPr>
        <w:t>1040.72万元，占0.89%</w:t>
      </w:r>
      <w:r>
        <w:rPr>
          <w:rFonts w:hint="eastAsia" w:ascii="仿宋" w:hAnsi="仿宋" w:eastAsia="仿宋" w:cs="仿宋"/>
          <w:color w:val="auto"/>
          <w:sz w:val="32"/>
          <w:szCs w:val="32"/>
          <w:highlight w:val="none"/>
        </w:rPr>
        <w:t>；</w:t>
      </w:r>
      <w:r>
        <w:rPr>
          <w:rFonts w:hint="eastAsia" w:ascii="仿宋" w:hAnsi="仿宋" w:eastAsia="仿宋" w:cs="仿宋"/>
          <w:b/>
          <w:color w:val="auto"/>
          <w:sz w:val="32"/>
          <w:szCs w:val="32"/>
          <w:highlight w:val="none"/>
        </w:rPr>
        <w:t>科学技术（类）</w:t>
      </w:r>
      <w:r>
        <w:rPr>
          <w:rFonts w:hint="eastAsia" w:ascii="仿宋" w:hAnsi="仿宋" w:eastAsia="仿宋" w:cs="仿宋"/>
          <w:color w:val="auto"/>
          <w:sz w:val="32"/>
          <w:szCs w:val="32"/>
          <w:highlight w:val="none"/>
        </w:rPr>
        <w:t>支出10万元，占0.01%；</w:t>
      </w:r>
      <w:r>
        <w:rPr>
          <w:rFonts w:hint="eastAsia" w:ascii="仿宋" w:hAnsi="仿宋" w:eastAsia="仿宋" w:cs="仿宋"/>
          <w:b/>
          <w:color w:val="auto"/>
          <w:sz w:val="32"/>
          <w:szCs w:val="32"/>
          <w:highlight w:val="none"/>
        </w:rPr>
        <w:t>社会保障和就业（类）</w:t>
      </w:r>
      <w:r>
        <w:rPr>
          <w:rFonts w:hint="eastAsia" w:ascii="仿宋" w:hAnsi="仿宋" w:eastAsia="仿宋" w:cs="仿宋"/>
          <w:color w:val="auto"/>
          <w:sz w:val="32"/>
          <w:szCs w:val="32"/>
          <w:highlight w:val="none"/>
        </w:rPr>
        <w:t>支出2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118.84万元，占1.80%；</w:t>
      </w:r>
      <w:r>
        <w:rPr>
          <w:rFonts w:hint="eastAsia" w:ascii="仿宋" w:hAnsi="仿宋" w:eastAsia="仿宋" w:cs="仿宋"/>
          <w:b/>
          <w:color w:val="auto"/>
          <w:sz w:val="32"/>
          <w:szCs w:val="32"/>
          <w:highlight w:val="none"/>
        </w:rPr>
        <w:t>卫生健康（类）</w:t>
      </w:r>
      <w:r>
        <w:rPr>
          <w:rFonts w:hint="eastAsia" w:ascii="仿宋" w:hAnsi="仿宋" w:eastAsia="仿宋" w:cs="仿宋"/>
          <w:color w:val="auto"/>
          <w:sz w:val="32"/>
          <w:szCs w:val="32"/>
          <w:highlight w:val="none"/>
        </w:rPr>
        <w:t>支出527.61万元，占0.45%；</w:t>
      </w:r>
      <w:r>
        <w:rPr>
          <w:rFonts w:hint="eastAsia" w:ascii="仿宋" w:hAnsi="仿宋" w:eastAsia="仿宋" w:cs="仿宋"/>
          <w:b/>
          <w:color w:val="auto"/>
          <w:sz w:val="32"/>
          <w:szCs w:val="32"/>
          <w:highlight w:val="none"/>
        </w:rPr>
        <w:t>节能环保（类）</w:t>
      </w:r>
      <w:r>
        <w:rPr>
          <w:rFonts w:hint="eastAsia" w:ascii="仿宋" w:hAnsi="仿宋" w:eastAsia="仿宋" w:cs="仿宋"/>
          <w:color w:val="auto"/>
          <w:sz w:val="32"/>
          <w:szCs w:val="32"/>
          <w:highlight w:val="none"/>
        </w:rPr>
        <w:t>支出111.34万元，占0.09%；</w:t>
      </w:r>
      <w:r>
        <w:rPr>
          <w:rFonts w:hint="eastAsia" w:ascii="仿宋" w:hAnsi="仿宋" w:eastAsia="仿宋" w:cs="仿宋"/>
          <w:b/>
          <w:color w:val="auto"/>
          <w:sz w:val="32"/>
          <w:szCs w:val="32"/>
          <w:highlight w:val="none"/>
        </w:rPr>
        <w:t>农林水（类）</w:t>
      </w:r>
      <w:r>
        <w:rPr>
          <w:rFonts w:hint="eastAsia" w:ascii="仿宋" w:hAnsi="仿宋" w:eastAsia="仿宋" w:cs="仿宋"/>
          <w:color w:val="auto"/>
          <w:sz w:val="32"/>
          <w:szCs w:val="32"/>
          <w:highlight w:val="none"/>
        </w:rPr>
        <w:t>支出99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980.47万元，占85.15%；</w:t>
      </w:r>
      <w:r>
        <w:rPr>
          <w:rFonts w:hint="eastAsia" w:ascii="仿宋" w:hAnsi="仿宋" w:eastAsia="仿宋" w:cs="仿宋"/>
          <w:b/>
          <w:color w:val="auto"/>
          <w:sz w:val="32"/>
          <w:szCs w:val="32"/>
          <w:highlight w:val="none"/>
        </w:rPr>
        <w:t>住房保障（类）</w:t>
      </w:r>
      <w:r>
        <w:rPr>
          <w:rFonts w:hint="eastAsia" w:ascii="仿宋" w:hAnsi="仿宋" w:eastAsia="仿宋" w:cs="仿宋"/>
          <w:color w:val="auto"/>
          <w:sz w:val="32"/>
          <w:szCs w:val="32"/>
          <w:highlight w:val="none"/>
        </w:rPr>
        <w:t>支出1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103.70万元，占0.94%；</w:t>
      </w:r>
      <w:r>
        <w:rPr>
          <w:rFonts w:hint="eastAsia" w:ascii="仿宋" w:hAnsi="仿宋" w:eastAsia="仿宋" w:cs="仿宋"/>
          <w:b/>
          <w:color w:val="auto"/>
          <w:sz w:val="32"/>
          <w:szCs w:val="32"/>
          <w:highlight w:val="none"/>
        </w:rPr>
        <w:t>其他（类）</w:t>
      </w:r>
      <w:r>
        <w:rPr>
          <w:rFonts w:hint="eastAsia" w:ascii="仿宋" w:hAnsi="仿宋" w:eastAsia="仿宋" w:cs="仿宋"/>
          <w:color w:val="auto"/>
          <w:sz w:val="32"/>
          <w:szCs w:val="32"/>
          <w:highlight w:val="none"/>
        </w:rPr>
        <w:t>支出12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521.03万元，占10.66%</w:t>
      </w:r>
      <w:r>
        <w:rPr>
          <w:rFonts w:hint="eastAsia" w:ascii="仿宋" w:hAnsi="仿宋" w:eastAsia="仿宋" w:cs="仿宋"/>
          <w:color w:val="auto"/>
          <w:sz w:val="32"/>
          <w:szCs w:val="32"/>
          <w:highlight w:val="none"/>
          <w:lang w:eastAsia="zh-CN"/>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bookmarkStart w:id="88" w:name="_Toc15415_WPSOffice_Level2"/>
      <w:bookmarkStart w:id="89" w:name="_Toc25136_WPSOffice_Level2"/>
      <w:bookmarkStart w:id="90" w:name="_Toc29364_WPSOffice_Level2"/>
      <w:bookmarkStart w:id="91" w:name="_Toc22318_WPSOffice_Level2"/>
      <w:bookmarkStart w:id="92" w:name="_Toc9502_WPSOffice_Level2"/>
      <w:bookmarkStart w:id="93" w:name="_Toc21701_WPSOffice_Level2"/>
      <w:r>
        <w:rPr>
          <w:rFonts w:hint="eastAsia" w:ascii="楷体" w:hAnsi="楷体" w:eastAsia="楷体" w:cs="楷体"/>
          <w:color w:val="auto"/>
          <w:sz w:val="32"/>
          <w:szCs w:val="32"/>
          <w:highlight w:val="none"/>
        </w:rPr>
        <w:t>（三）一般公共预算财政拨款支出决算具体情况</w:t>
      </w:r>
      <w:bookmarkEnd w:id="88"/>
      <w:bookmarkEnd w:id="89"/>
      <w:bookmarkEnd w:id="90"/>
      <w:bookmarkEnd w:id="91"/>
      <w:bookmarkEnd w:id="92"/>
      <w:bookmarkEnd w:id="93"/>
    </w:p>
    <w:p w14:paraId="04217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年度一般公共预算财政拨款支出年初预算为</w:t>
      </w:r>
      <w:r>
        <w:rPr>
          <w:rFonts w:hint="eastAsia" w:ascii="仿宋" w:hAnsi="仿宋" w:eastAsia="仿宋" w:cs="仿宋"/>
          <w:color w:val="auto"/>
          <w:sz w:val="32"/>
          <w:szCs w:val="32"/>
          <w:highlight w:val="none"/>
          <w:lang w:val="en-US"/>
        </w:rPr>
        <w:t>135,265.09</w:t>
      </w:r>
      <w:r>
        <w:rPr>
          <w:rFonts w:hint="eastAsia" w:ascii="仿宋" w:hAnsi="仿宋" w:eastAsia="仿宋" w:cs="仿宋"/>
          <w:color w:val="auto"/>
          <w:sz w:val="32"/>
          <w:szCs w:val="32"/>
          <w:highlight w:val="none"/>
        </w:rPr>
        <w:t>万元，支出决算为</w:t>
      </w:r>
      <w:r>
        <w:rPr>
          <w:rFonts w:hint="eastAsia" w:ascii="仿宋" w:hAnsi="仿宋" w:eastAsia="仿宋" w:cs="仿宋"/>
          <w:color w:val="auto"/>
          <w:sz w:val="32"/>
          <w:szCs w:val="32"/>
          <w:highlight w:val="none"/>
          <w:lang w:val="en-US"/>
        </w:rPr>
        <w:t>117,413.72</w:t>
      </w:r>
      <w:r>
        <w:rPr>
          <w:rFonts w:hint="eastAsia" w:ascii="仿宋" w:hAnsi="仿宋" w:eastAsia="仿宋" w:cs="仿宋"/>
          <w:color w:val="auto"/>
          <w:sz w:val="32"/>
          <w:szCs w:val="32"/>
          <w:highlight w:val="none"/>
        </w:rPr>
        <w:t>万元，完成年初预算的</w:t>
      </w:r>
      <w:r>
        <w:rPr>
          <w:rFonts w:hint="eastAsia" w:ascii="仿宋" w:hAnsi="仿宋" w:eastAsia="仿宋" w:cs="仿宋"/>
          <w:color w:val="auto"/>
          <w:sz w:val="32"/>
          <w:szCs w:val="32"/>
          <w:highlight w:val="none"/>
          <w:lang w:val="en-US"/>
        </w:rPr>
        <w:t>86.80%</w:t>
      </w:r>
      <w:r>
        <w:rPr>
          <w:rFonts w:hint="eastAsia" w:ascii="仿宋" w:hAnsi="仿宋" w:eastAsia="仿宋" w:cs="仿宋"/>
          <w:color w:val="auto"/>
          <w:sz w:val="32"/>
          <w:szCs w:val="32"/>
          <w:highlight w:val="none"/>
        </w:rPr>
        <w:t>。其中：</w:t>
      </w:r>
    </w:p>
    <w:p w14:paraId="005444D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b/>
          <w:bCs/>
          <w:color w:val="auto"/>
          <w:sz w:val="32"/>
          <w:szCs w:val="32"/>
          <w:highlight w:val="none"/>
        </w:rPr>
        <w:t>一般公共服务（类）商贸事务（款）招商引资（项）</w:t>
      </w:r>
      <w:r>
        <w:rPr>
          <w:rFonts w:hint="eastAsia" w:ascii="仿宋" w:hAnsi="仿宋" w:eastAsia="仿宋" w:cs="仿宋"/>
          <w:color w:val="auto"/>
          <w:sz w:val="32"/>
          <w:szCs w:val="32"/>
          <w:highlight w:val="none"/>
        </w:rPr>
        <w:t>。</w:t>
      </w:r>
    </w:p>
    <w:p w14:paraId="3B0D7D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年初预算为0.00万元，支出决算为1,040.72万元。决算数大于预算数的主要原因</w:t>
      </w:r>
      <w:r>
        <w:rPr>
          <w:rFonts w:hint="eastAsia" w:ascii="仿宋" w:hAnsi="仿宋" w:eastAsia="仿宋" w:cs="仿宋"/>
          <w:color w:val="auto"/>
          <w:sz w:val="32"/>
          <w:szCs w:val="32"/>
          <w:highlight w:val="none"/>
          <w:lang w:val="en-US" w:eastAsia="zh-CN"/>
        </w:rPr>
        <w:t>是2025年年中下达的会展项目奖励资金</w:t>
      </w:r>
      <w:r>
        <w:rPr>
          <w:rFonts w:hint="eastAsia" w:ascii="仿宋" w:hAnsi="仿宋" w:eastAsia="仿宋" w:cs="仿宋"/>
          <w:color w:val="auto"/>
          <w:sz w:val="32"/>
          <w:szCs w:val="32"/>
          <w:highlight w:val="none"/>
        </w:rPr>
        <w:t>。</w:t>
      </w:r>
    </w:p>
    <w:p w14:paraId="34A706EB">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2.科学技术（类）其他科学技术支出（款）科技奖励（项</w:t>
      </w:r>
      <w:r>
        <w:rPr>
          <w:rFonts w:hint="eastAsia" w:ascii="仿宋" w:hAnsi="仿宋" w:eastAsia="仿宋" w:cs="仿宋"/>
          <w:color w:val="auto"/>
          <w:sz w:val="32"/>
          <w:szCs w:val="32"/>
          <w:highlight w:val="none"/>
        </w:rPr>
        <w:t>）。</w:t>
      </w:r>
    </w:p>
    <w:p w14:paraId="5CF5110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年初预算为10.00万元，支出决算为10.00万元，完成年初预算的100.00%。</w:t>
      </w:r>
    </w:p>
    <w:p w14:paraId="43EF3163">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3</w:t>
      </w:r>
      <w:r>
        <w:rPr>
          <w:rFonts w:hint="eastAsia" w:ascii="仿宋" w:hAnsi="仿宋" w:eastAsia="仿宋" w:cs="仿宋"/>
          <w:b/>
          <w:bCs/>
          <w:color w:val="auto"/>
          <w:sz w:val="32"/>
          <w:szCs w:val="32"/>
          <w:highlight w:val="none"/>
        </w:rPr>
        <w:t>.社会保障和就业（类）行政事业单位养老支出（款）机关事业单位基本养老保险缴费支出（项）。</w:t>
      </w:r>
    </w:p>
    <w:p w14:paraId="6D120C6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年初预算为1,243.83万元，支出决算为1,260.75万元，完成年初预算的101.36%。决算数大于预算数的主要原因</w:t>
      </w:r>
      <w:r>
        <w:rPr>
          <w:rFonts w:hint="eastAsia" w:ascii="仿宋" w:hAnsi="仿宋" w:eastAsia="仿宋" w:cs="仿宋"/>
          <w:color w:val="auto"/>
          <w:sz w:val="32"/>
          <w:szCs w:val="32"/>
          <w:highlight w:val="none"/>
          <w:lang w:val="en-US" w:eastAsia="zh-CN"/>
        </w:rPr>
        <w:t>是</w:t>
      </w:r>
      <w:r>
        <w:rPr>
          <w:rFonts w:hint="eastAsia" w:ascii="仿宋" w:hAnsi="仿宋" w:eastAsia="仿宋" w:cs="仿宋"/>
          <w:color w:val="auto"/>
          <w:sz w:val="32"/>
          <w:szCs w:val="32"/>
          <w:highlight w:val="none"/>
        </w:rPr>
        <w:t>厅本级统发工资人员基本工资调标，且职务职级晋升及人员正常晋升工资增资。</w:t>
      </w:r>
    </w:p>
    <w:p w14:paraId="102A8217">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4</w:t>
      </w:r>
      <w:r>
        <w:rPr>
          <w:rFonts w:hint="eastAsia" w:ascii="仿宋" w:hAnsi="仿宋" w:eastAsia="仿宋" w:cs="仿宋"/>
          <w:b/>
          <w:bCs/>
          <w:color w:val="auto"/>
          <w:sz w:val="32"/>
          <w:szCs w:val="32"/>
          <w:highlight w:val="none"/>
        </w:rPr>
        <w:t>.社会保障和就业（类）行政事业单位养老支出（款）机关事业单位职业年金缴费支出（项）。</w:t>
      </w:r>
    </w:p>
    <w:p w14:paraId="6A7EEFE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年初预算为643.92万元，支出决算为793.15万元，完成年初预算的123.18%。决算数大于预算数的主要原因是厅本级统发工资人员基本工资调标，且职务职级晋升及人员正常晋升工资增资。</w:t>
      </w:r>
    </w:p>
    <w:p w14:paraId="0AC910D3">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5</w:t>
      </w:r>
      <w:r>
        <w:rPr>
          <w:rFonts w:hint="eastAsia" w:ascii="仿宋" w:hAnsi="仿宋" w:eastAsia="仿宋" w:cs="仿宋"/>
          <w:b/>
          <w:bCs/>
          <w:color w:val="auto"/>
          <w:sz w:val="32"/>
          <w:szCs w:val="32"/>
          <w:highlight w:val="none"/>
        </w:rPr>
        <w:t>.社会保障和就业（类）抚恤（款）死亡抚恤（项）。</w:t>
      </w:r>
    </w:p>
    <w:p w14:paraId="06C2672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年初预算为0.00万元，支出决算为38.76万元。决算数大于预算数的主要原因</w:t>
      </w:r>
      <w:r>
        <w:rPr>
          <w:rFonts w:hint="eastAsia" w:ascii="仿宋" w:hAnsi="仿宋" w:eastAsia="仿宋" w:cs="仿宋"/>
          <w:color w:val="auto"/>
          <w:sz w:val="32"/>
          <w:szCs w:val="32"/>
          <w:highlight w:val="none"/>
          <w:lang w:eastAsia="zh-CN"/>
        </w:rPr>
        <w:t>是该</w:t>
      </w:r>
      <w:r>
        <w:rPr>
          <w:rFonts w:hint="eastAsia" w:ascii="仿宋" w:hAnsi="仿宋" w:eastAsia="仿宋" w:cs="仿宋"/>
          <w:color w:val="auto"/>
          <w:sz w:val="32"/>
          <w:szCs w:val="32"/>
          <w:highlight w:val="none"/>
        </w:rPr>
        <w:t>支出为无法预测的支出。</w:t>
      </w:r>
    </w:p>
    <w:p w14:paraId="3758C843">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6</w:t>
      </w:r>
      <w:r>
        <w:rPr>
          <w:rFonts w:hint="eastAsia" w:ascii="仿宋" w:hAnsi="仿宋" w:eastAsia="仿宋" w:cs="仿宋"/>
          <w:b/>
          <w:bCs/>
          <w:color w:val="auto"/>
          <w:sz w:val="32"/>
          <w:szCs w:val="32"/>
          <w:highlight w:val="none"/>
        </w:rPr>
        <w:t>.社会保障和就业（类）抚恤（款）其他优抚支出（项）。</w:t>
      </w:r>
    </w:p>
    <w:p w14:paraId="7B4FB60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年初预算为25.68万元，支出决算为26.19万元，完成年初预算的101.99%。决算数大于预算数的主要原因：新增遗属人员。</w:t>
      </w:r>
    </w:p>
    <w:p w14:paraId="497569B1">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7</w:t>
      </w:r>
      <w:r>
        <w:rPr>
          <w:rFonts w:hint="eastAsia" w:ascii="仿宋" w:hAnsi="仿宋" w:eastAsia="仿宋" w:cs="仿宋"/>
          <w:b/>
          <w:bCs/>
          <w:color w:val="auto"/>
          <w:sz w:val="32"/>
          <w:szCs w:val="32"/>
          <w:highlight w:val="none"/>
        </w:rPr>
        <w:t>.卫生健康（类）行政事业单位医疗（款）行政单位医疗（项）。</w:t>
      </w:r>
    </w:p>
    <w:p w14:paraId="2156744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年初预算为197.92万元，支出决算为193.27万元，完成年初预算的97.65%。决算数小于预算数的主要原因</w:t>
      </w:r>
      <w:r>
        <w:rPr>
          <w:rFonts w:hint="eastAsia" w:ascii="仿宋" w:hAnsi="仿宋" w:eastAsia="仿宋" w:cs="仿宋"/>
          <w:color w:val="auto"/>
          <w:sz w:val="32"/>
          <w:szCs w:val="32"/>
          <w:highlight w:val="none"/>
          <w:lang w:eastAsia="zh-CN"/>
        </w:rPr>
        <w:t>是厅</w:t>
      </w:r>
      <w:r>
        <w:rPr>
          <w:rFonts w:hint="eastAsia" w:ascii="仿宋" w:hAnsi="仿宋" w:eastAsia="仿宋" w:cs="仿宋"/>
          <w:color w:val="auto"/>
          <w:sz w:val="32"/>
          <w:szCs w:val="32"/>
          <w:highlight w:val="none"/>
        </w:rPr>
        <w:t>本级统发工资人员基本工资调标，且职务职级晋升及人员正常晋升工资增资。</w:t>
      </w:r>
    </w:p>
    <w:p w14:paraId="3F5A7C4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8</w:t>
      </w:r>
      <w:r>
        <w:rPr>
          <w:rFonts w:hint="eastAsia" w:ascii="仿宋" w:hAnsi="仿宋" w:eastAsia="仿宋" w:cs="仿宋"/>
          <w:b/>
          <w:bCs/>
          <w:color w:val="auto"/>
          <w:sz w:val="32"/>
          <w:szCs w:val="32"/>
          <w:highlight w:val="none"/>
        </w:rPr>
        <w:t>.卫生健康（类）行政事业单位医疗（款）事业单位医疗（项）。</w:t>
      </w:r>
    </w:p>
    <w:p w14:paraId="7DE76A1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年初预算为234.29万元，支出决算为248.79万元，完成年初预算的106.19%。决算数大于预算数的主要原因</w:t>
      </w:r>
      <w:r>
        <w:rPr>
          <w:rFonts w:hint="eastAsia" w:ascii="仿宋" w:hAnsi="仿宋" w:eastAsia="仿宋" w:cs="仿宋"/>
          <w:color w:val="auto"/>
          <w:sz w:val="32"/>
          <w:szCs w:val="32"/>
          <w:highlight w:val="none"/>
          <w:lang w:val="en-US" w:eastAsia="zh-CN"/>
        </w:rPr>
        <w:t>是</w:t>
      </w:r>
      <w:r>
        <w:rPr>
          <w:rFonts w:hint="eastAsia" w:ascii="仿宋" w:hAnsi="仿宋" w:eastAsia="仿宋" w:cs="仿宋"/>
          <w:color w:val="auto"/>
          <w:sz w:val="32"/>
          <w:szCs w:val="32"/>
          <w:highlight w:val="none"/>
        </w:rPr>
        <w:t>年度中在职人员数量实际变动（如</w:t>
      </w:r>
      <w:r>
        <w:rPr>
          <w:rFonts w:hint="eastAsia" w:ascii="仿宋" w:hAnsi="仿宋" w:eastAsia="仿宋" w:cs="仿宋"/>
          <w:color w:val="auto"/>
          <w:sz w:val="32"/>
          <w:szCs w:val="32"/>
          <w:highlight w:val="none"/>
          <w:lang w:val="en-US" w:eastAsia="zh-CN"/>
        </w:rPr>
        <w:t>新入职</w:t>
      </w:r>
      <w:r>
        <w:rPr>
          <w:rFonts w:hint="eastAsia" w:ascii="仿宋" w:hAnsi="仿宋" w:eastAsia="仿宋" w:cs="仿宋"/>
          <w:color w:val="auto"/>
          <w:sz w:val="32"/>
          <w:szCs w:val="32"/>
          <w:highlight w:val="none"/>
        </w:rPr>
        <w:t>等），导致按人数核定的医疗保险费用实际支出</w:t>
      </w:r>
      <w:r>
        <w:rPr>
          <w:rFonts w:hint="eastAsia" w:ascii="仿宋" w:hAnsi="仿宋" w:eastAsia="仿宋" w:cs="仿宋"/>
          <w:color w:val="auto"/>
          <w:sz w:val="32"/>
          <w:szCs w:val="32"/>
          <w:highlight w:val="none"/>
          <w:lang w:val="en-US" w:eastAsia="zh-CN"/>
        </w:rPr>
        <w:t>增加</w:t>
      </w:r>
      <w:r>
        <w:rPr>
          <w:rFonts w:hint="eastAsia" w:ascii="仿宋" w:hAnsi="仿宋" w:eastAsia="仿宋" w:cs="仿宋"/>
          <w:color w:val="auto"/>
          <w:sz w:val="32"/>
          <w:szCs w:val="32"/>
          <w:highlight w:val="none"/>
        </w:rPr>
        <w:t>。</w:t>
      </w:r>
    </w:p>
    <w:p w14:paraId="38817E7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9</w:t>
      </w:r>
      <w:r>
        <w:rPr>
          <w:rFonts w:hint="eastAsia" w:ascii="仿宋" w:hAnsi="仿宋" w:eastAsia="仿宋" w:cs="仿宋"/>
          <w:b/>
          <w:bCs/>
          <w:color w:val="auto"/>
          <w:sz w:val="32"/>
          <w:szCs w:val="32"/>
          <w:highlight w:val="none"/>
        </w:rPr>
        <w:t>.卫生健康（类）行政事业单位医疗（款）公务员医疗补助（项）。</w:t>
      </w:r>
    </w:p>
    <w:p w14:paraId="7C41E90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年初预算为80.25万元，支出决算为85.55万元，完成年初预算的106.60%。决算数大于预算数的主要原因是厅本级统发工资人员基本工资调标，且职务职级晋升及人员正常晋升工资增资。</w:t>
      </w:r>
    </w:p>
    <w:p w14:paraId="31737CE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10</w:t>
      </w:r>
      <w:r>
        <w:rPr>
          <w:rFonts w:hint="eastAsia" w:ascii="仿宋" w:hAnsi="仿宋" w:eastAsia="仿宋" w:cs="仿宋"/>
          <w:b/>
          <w:bCs/>
          <w:color w:val="auto"/>
          <w:sz w:val="32"/>
          <w:szCs w:val="32"/>
          <w:highlight w:val="none"/>
        </w:rPr>
        <w:t>.节能环保（类）自然生态保护（款）其他自然生态保护支出（项）。</w:t>
      </w:r>
    </w:p>
    <w:p w14:paraId="562DB28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年初预算为0.00万元，支出决算为111.34万元。决算数大于预算数的主要原因是增加节能环保类项目资金。</w:t>
      </w:r>
    </w:p>
    <w:p w14:paraId="7DC588E1">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11</w:t>
      </w:r>
      <w:r>
        <w:rPr>
          <w:rFonts w:hint="eastAsia" w:ascii="仿宋" w:hAnsi="仿宋" w:eastAsia="仿宋" w:cs="仿宋"/>
          <w:b/>
          <w:bCs/>
          <w:color w:val="auto"/>
          <w:sz w:val="32"/>
          <w:szCs w:val="32"/>
          <w:highlight w:val="none"/>
        </w:rPr>
        <w:t>.农林水（类）农业农村（款）行政运行（项）。</w:t>
      </w:r>
    </w:p>
    <w:p w14:paraId="6EF68D7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年初预算为5,402.13万元，支出决算为5,099.73万元，完成年初预算的94.40%。决算数小于预算数的主要是人员待遇调整。</w:t>
      </w:r>
    </w:p>
    <w:p w14:paraId="5A64A0F7">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12</w:t>
      </w:r>
      <w:r>
        <w:rPr>
          <w:rFonts w:hint="eastAsia" w:ascii="仿宋" w:hAnsi="仿宋" w:eastAsia="仿宋" w:cs="仿宋"/>
          <w:b/>
          <w:bCs/>
          <w:color w:val="auto"/>
          <w:sz w:val="32"/>
          <w:szCs w:val="32"/>
          <w:highlight w:val="none"/>
        </w:rPr>
        <w:t>.农林水（类）农业农村（款）一般行政管理事务（项）。</w:t>
      </w:r>
    </w:p>
    <w:p w14:paraId="5829EE9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年初预算为2,483.93万元，支出决算为1,593.78万元，完成年初预算的64.16%。决算数小于预算数的主要</w:t>
      </w:r>
      <w:r>
        <w:rPr>
          <w:rFonts w:hint="eastAsia" w:ascii="仿宋" w:hAnsi="仿宋" w:eastAsia="仿宋" w:cs="仿宋"/>
          <w:color w:val="auto"/>
          <w:sz w:val="32"/>
          <w:szCs w:val="32"/>
          <w:highlight w:val="none"/>
          <w:lang w:val="en-US" w:eastAsia="zh-CN"/>
        </w:rPr>
        <w:t>原因</w:t>
      </w:r>
      <w:r>
        <w:rPr>
          <w:rFonts w:hint="eastAsia" w:ascii="仿宋" w:hAnsi="仿宋" w:eastAsia="仿宋" w:cs="仿宋"/>
          <w:color w:val="auto"/>
          <w:sz w:val="32"/>
          <w:szCs w:val="32"/>
          <w:highlight w:val="none"/>
        </w:rPr>
        <w:t>是部分资金仍在审核与拨付流程中，导致当期实际支出进度略低于预算安排。</w:t>
      </w:r>
    </w:p>
    <w:p w14:paraId="48AEC3C5">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13</w:t>
      </w:r>
      <w:r>
        <w:rPr>
          <w:rFonts w:hint="eastAsia" w:ascii="仿宋" w:hAnsi="仿宋" w:eastAsia="仿宋" w:cs="仿宋"/>
          <w:b/>
          <w:bCs/>
          <w:color w:val="auto"/>
          <w:sz w:val="32"/>
          <w:szCs w:val="32"/>
          <w:highlight w:val="none"/>
        </w:rPr>
        <w:t>.农林水（类）农业农村（款）事业运行（项）。</w:t>
      </w:r>
    </w:p>
    <w:p w14:paraId="491FBB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年初预算为7,207.57万元，支出决算为7,535.81万元，完成年初预算的</w:t>
      </w:r>
      <w:r>
        <w:rPr>
          <w:rFonts w:hint="eastAsia" w:ascii="仿宋" w:hAnsi="仿宋" w:eastAsia="仿宋" w:cs="仿宋"/>
          <w:color w:val="auto"/>
          <w:sz w:val="32"/>
          <w:szCs w:val="32"/>
          <w:highlight w:val="none"/>
          <w:lang w:val="en-US" w:eastAsia="zh-CN"/>
        </w:rPr>
        <w:t>104.55%。</w:t>
      </w:r>
    </w:p>
    <w:p w14:paraId="5E7D2A8C">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14</w:t>
      </w:r>
      <w:r>
        <w:rPr>
          <w:rFonts w:hint="eastAsia" w:ascii="仿宋" w:hAnsi="仿宋" w:eastAsia="仿宋" w:cs="仿宋"/>
          <w:b/>
          <w:bCs/>
          <w:color w:val="auto"/>
          <w:sz w:val="32"/>
          <w:szCs w:val="32"/>
          <w:highlight w:val="none"/>
        </w:rPr>
        <w:t>.农林水（类）农业农村（款）科技转化与推广服务（项）。</w:t>
      </w:r>
    </w:p>
    <w:p w14:paraId="70639FD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年初预算为4,867.43万元，支出决算为4,619.72万元，完成年初预算的94.91%。基本完成年初预算安排。</w:t>
      </w:r>
    </w:p>
    <w:p w14:paraId="200DC430">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15</w:t>
      </w:r>
      <w:r>
        <w:rPr>
          <w:rFonts w:hint="eastAsia" w:ascii="仿宋" w:hAnsi="仿宋" w:eastAsia="仿宋" w:cs="仿宋"/>
          <w:b/>
          <w:bCs/>
          <w:color w:val="auto"/>
          <w:sz w:val="32"/>
          <w:szCs w:val="32"/>
          <w:highlight w:val="none"/>
        </w:rPr>
        <w:t>.农林水（类）农业农村（款）病虫害控制（项）。</w:t>
      </w:r>
    </w:p>
    <w:p w14:paraId="4EED440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年初预算为17,311.62万元，支出决算为15,241.68万元，完成年初预算的88.04%。决算数小于预算数的主要</w:t>
      </w:r>
      <w:r>
        <w:rPr>
          <w:rFonts w:hint="eastAsia" w:ascii="仿宋" w:hAnsi="仿宋" w:eastAsia="仿宋" w:cs="仿宋"/>
          <w:color w:val="auto"/>
          <w:sz w:val="32"/>
          <w:szCs w:val="32"/>
          <w:highlight w:val="none"/>
          <w:lang w:val="en-US" w:eastAsia="zh-CN"/>
        </w:rPr>
        <w:t>原因是</w:t>
      </w:r>
      <w:r>
        <w:rPr>
          <w:rFonts w:hint="eastAsia" w:ascii="仿宋" w:hAnsi="仿宋" w:eastAsia="仿宋" w:cs="仿宋"/>
          <w:color w:val="auto"/>
          <w:sz w:val="32"/>
          <w:szCs w:val="32"/>
          <w:highlight w:val="none"/>
        </w:rPr>
        <w:t>世行贷款预防、准备与应对新发传染病项目，因世界银行团队对采购及相关文件编制工作提出新的要求，未能支出世行贷款资金。</w:t>
      </w:r>
    </w:p>
    <w:p w14:paraId="04605604">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16</w:t>
      </w:r>
      <w:r>
        <w:rPr>
          <w:rFonts w:hint="eastAsia" w:ascii="仿宋" w:hAnsi="仿宋" w:eastAsia="仿宋" w:cs="仿宋"/>
          <w:b/>
          <w:bCs/>
          <w:color w:val="auto"/>
          <w:sz w:val="32"/>
          <w:szCs w:val="32"/>
          <w:highlight w:val="none"/>
        </w:rPr>
        <w:t>.农林水（类）农业农村（款）农产品质量安全（项）。</w:t>
      </w:r>
    </w:p>
    <w:p w14:paraId="722E8F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年初预算为4,370.28万元，支出决算为4,113.47万元，完成年初预算的94.12%。基本完成年初预算安排。</w:t>
      </w:r>
    </w:p>
    <w:p w14:paraId="2AA82B6F">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1</w:t>
      </w:r>
      <w:r>
        <w:rPr>
          <w:rFonts w:hint="eastAsia" w:ascii="仿宋" w:hAnsi="仿宋" w:eastAsia="仿宋" w:cs="仿宋"/>
          <w:b/>
          <w:bCs/>
          <w:color w:val="auto"/>
          <w:sz w:val="32"/>
          <w:szCs w:val="32"/>
          <w:highlight w:val="none"/>
          <w:lang w:val="en-US" w:eastAsia="zh-CN"/>
        </w:rPr>
        <w:t>7</w:t>
      </w:r>
      <w:r>
        <w:rPr>
          <w:rFonts w:hint="eastAsia" w:ascii="仿宋" w:hAnsi="仿宋" w:eastAsia="仿宋" w:cs="仿宋"/>
          <w:b/>
          <w:bCs/>
          <w:color w:val="auto"/>
          <w:sz w:val="32"/>
          <w:szCs w:val="32"/>
          <w:highlight w:val="none"/>
        </w:rPr>
        <w:t>.农林水（类）农业农村（款）执法监管（项）。</w:t>
      </w:r>
    </w:p>
    <w:p w14:paraId="59A38E9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年初预算为594.40万元，支出决算为1,830.55万元，完成年初预算的307.97%。决算数大于预算数的主要原因是年中调整增加海口动物隔离场建设项目资金。</w:t>
      </w:r>
    </w:p>
    <w:p w14:paraId="489A5FCB">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1</w:t>
      </w:r>
      <w:r>
        <w:rPr>
          <w:rFonts w:hint="eastAsia" w:ascii="仿宋" w:hAnsi="仿宋" w:eastAsia="仿宋" w:cs="仿宋"/>
          <w:b/>
          <w:bCs/>
          <w:color w:val="auto"/>
          <w:sz w:val="32"/>
          <w:szCs w:val="32"/>
          <w:highlight w:val="none"/>
          <w:lang w:val="en-US" w:eastAsia="zh-CN"/>
        </w:rPr>
        <w:t>8</w:t>
      </w:r>
      <w:r>
        <w:rPr>
          <w:rFonts w:hint="eastAsia" w:ascii="仿宋" w:hAnsi="仿宋" w:eastAsia="仿宋" w:cs="仿宋"/>
          <w:b/>
          <w:bCs/>
          <w:color w:val="auto"/>
          <w:sz w:val="32"/>
          <w:szCs w:val="32"/>
          <w:highlight w:val="none"/>
        </w:rPr>
        <w:t>.农林水（类）农业农村（款）统计监测与信息服务（项）。</w:t>
      </w:r>
    </w:p>
    <w:p w14:paraId="43E57C4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年初预算为1,901.10万元，支出决算为1,771.67万元，完成年初预算的93.19%。基本完成年初预算安排。</w:t>
      </w:r>
    </w:p>
    <w:p w14:paraId="409B5905">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19</w:t>
      </w:r>
      <w:r>
        <w:rPr>
          <w:rFonts w:hint="eastAsia" w:ascii="仿宋" w:hAnsi="仿宋" w:eastAsia="仿宋" w:cs="仿宋"/>
          <w:b/>
          <w:bCs/>
          <w:color w:val="auto"/>
          <w:sz w:val="32"/>
          <w:szCs w:val="32"/>
          <w:highlight w:val="none"/>
        </w:rPr>
        <w:t>.农林水（类）农业农村（款）行业业务管理（项）。</w:t>
      </w:r>
    </w:p>
    <w:p w14:paraId="7F833E4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年初预算为2,991.13万元，支出决算为2,604.63万元，完成年初预算的87.08%。基本完成年初预算安排。</w:t>
      </w:r>
    </w:p>
    <w:p w14:paraId="100C51B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20</w:t>
      </w:r>
      <w:r>
        <w:rPr>
          <w:rFonts w:hint="eastAsia" w:ascii="仿宋" w:hAnsi="仿宋" w:eastAsia="仿宋" w:cs="仿宋"/>
          <w:b/>
          <w:bCs/>
          <w:color w:val="auto"/>
          <w:sz w:val="32"/>
          <w:szCs w:val="32"/>
          <w:highlight w:val="none"/>
        </w:rPr>
        <w:t>.农林水（类）农业农村（款）对外交流与合作（项）。</w:t>
      </w:r>
    </w:p>
    <w:p w14:paraId="5DF00DD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年初预算为334.90万元，支出决算为287.77万元，完成年初预算的85.93%。决算数小于预算数的主要原因是部分合作项目因计划调整暂缓执行，相关经费支出相应延后及调减。</w:t>
      </w:r>
    </w:p>
    <w:p w14:paraId="05399883">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w:t>
      </w:r>
      <w:r>
        <w:rPr>
          <w:rFonts w:hint="eastAsia" w:ascii="仿宋" w:hAnsi="仿宋" w:eastAsia="仿宋" w:cs="仿宋"/>
          <w:b/>
          <w:bCs/>
          <w:color w:val="auto"/>
          <w:sz w:val="32"/>
          <w:szCs w:val="32"/>
          <w:highlight w:val="none"/>
          <w:lang w:val="en-US" w:eastAsia="zh-CN"/>
        </w:rPr>
        <w:t>1</w:t>
      </w:r>
      <w:r>
        <w:rPr>
          <w:rFonts w:hint="eastAsia" w:ascii="仿宋" w:hAnsi="仿宋" w:eastAsia="仿宋" w:cs="仿宋"/>
          <w:b/>
          <w:bCs/>
          <w:color w:val="auto"/>
          <w:sz w:val="32"/>
          <w:szCs w:val="32"/>
          <w:highlight w:val="none"/>
        </w:rPr>
        <w:t>.农林水（类）农业农村（款）农业生产发展（项）。</w:t>
      </w:r>
    </w:p>
    <w:p w14:paraId="7F49370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年初预算为51,631.20万元，支出决算为43,369.59万元，完成年初预算的84.00%。决算数小于预算数的主要原因</w:t>
      </w:r>
      <w:r>
        <w:rPr>
          <w:rFonts w:hint="eastAsia" w:ascii="仿宋" w:hAnsi="仿宋" w:eastAsia="仿宋" w:cs="仿宋"/>
          <w:color w:val="auto"/>
          <w:sz w:val="32"/>
          <w:szCs w:val="32"/>
          <w:highlight w:val="none"/>
          <w:lang w:val="en-US" w:eastAsia="zh-CN"/>
        </w:rPr>
        <w:t>是</w:t>
      </w:r>
      <w:r>
        <w:rPr>
          <w:rFonts w:hint="eastAsia" w:ascii="仿宋" w:hAnsi="仿宋" w:eastAsia="仿宋" w:cs="仿宋"/>
          <w:color w:val="auto"/>
          <w:sz w:val="32"/>
          <w:szCs w:val="32"/>
          <w:highlight w:val="none"/>
        </w:rPr>
        <w:t>省南繁管理局农业产业发展项目资金支出缓慢。</w:t>
      </w:r>
    </w:p>
    <w:p w14:paraId="1FE59634">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22</w:t>
      </w:r>
      <w:r>
        <w:rPr>
          <w:rFonts w:hint="eastAsia" w:ascii="仿宋" w:hAnsi="仿宋" w:eastAsia="仿宋" w:cs="仿宋"/>
          <w:b/>
          <w:bCs/>
          <w:color w:val="auto"/>
          <w:sz w:val="32"/>
          <w:szCs w:val="32"/>
          <w:highlight w:val="none"/>
        </w:rPr>
        <w:t>.农林水（类）农业农村（款）农村合作经济（项）。</w:t>
      </w:r>
    </w:p>
    <w:p w14:paraId="3C56009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年初预算为1,781.36万元，支出决算为1,268.34万元，完成年初预算的71.20%。决算数小于预算数的主要原因：年中中央下达农业经营主体能力提升资金。</w:t>
      </w:r>
    </w:p>
    <w:p w14:paraId="13F7AAB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w:t>
      </w:r>
      <w:r>
        <w:rPr>
          <w:rFonts w:hint="eastAsia" w:ascii="仿宋" w:hAnsi="仿宋" w:eastAsia="仿宋" w:cs="仿宋"/>
          <w:b/>
          <w:bCs/>
          <w:color w:val="auto"/>
          <w:sz w:val="32"/>
          <w:szCs w:val="32"/>
          <w:highlight w:val="none"/>
          <w:lang w:val="en-US" w:eastAsia="zh-CN"/>
        </w:rPr>
        <w:t>3</w:t>
      </w:r>
      <w:r>
        <w:rPr>
          <w:rFonts w:hint="eastAsia" w:ascii="仿宋" w:hAnsi="仿宋" w:eastAsia="仿宋" w:cs="仿宋"/>
          <w:b/>
          <w:bCs/>
          <w:color w:val="auto"/>
          <w:sz w:val="32"/>
          <w:szCs w:val="32"/>
          <w:highlight w:val="none"/>
        </w:rPr>
        <w:t>.农林水（类）农业农村（款）农产品加工与促销（项）。</w:t>
      </w:r>
    </w:p>
    <w:p w14:paraId="7FF232F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年初预算为2,000.00万元，支出决算为1,936.60万元，完成年初预算的96.83%。决算数小于预算数的主要原因：基本完成年初预算安排。</w:t>
      </w:r>
    </w:p>
    <w:p w14:paraId="36353728">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w:t>
      </w:r>
      <w:r>
        <w:rPr>
          <w:rFonts w:hint="eastAsia" w:ascii="仿宋" w:hAnsi="仿宋" w:eastAsia="仿宋" w:cs="仿宋"/>
          <w:b/>
          <w:bCs/>
          <w:color w:val="auto"/>
          <w:sz w:val="32"/>
          <w:szCs w:val="32"/>
          <w:highlight w:val="none"/>
          <w:lang w:val="en-US" w:eastAsia="zh-CN"/>
        </w:rPr>
        <w:t>4</w:t>
      </w:r>
      <w:r>
        <w:rPr>
          <w:rFonts w:hint="eastAsia" w:ascii="仿宋" w:hAnsi="仿宋" w:eastAsia="仿宋" w:cs="仿宋"/>
          <w:b/>
          <w:bCs/>
          <w:color w:val="auto"/>
          <w:sz w:val="32"/>
          <w:szCs w:val="32"/>
          <w:highlight w:val="none"/>
        </w:rPr>
        <w:t>.农林水（类）农业农村（款）农村社会事业（项）。</w:t>
      </w:r>
    </w:p>
    <w:p w14:paraId="73C4AB7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年初预算为516.00万元，支出决算为374.97万元，完成年初预算的72.67%。决算数小于预算数的主要原因：年中一次性下达跨年度项目资金，导致年底无法支出。</w:t>
      </w:r>
    </w:p>
    <w:p w14:paraId="0E70EC70">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w:t>
      </w:r>
      <w:r>
        <w:rPr>
          <w:rFonts w:hint="eastAsia" w:ascii="仿宋" w:hAnsi="仿宋" w:eastAsia="仿宋" w:cs="仿宋"/>
          <w:b/>
          <w:bCs/>
          <w:color w:val="auto"/>
          <w:sz w:val="32"/>
          <w:szCs w:val="32"/>
          <w:highlight w:val="none"/>
          <w:lang w:val="en-US" w:eastAsia="zh-CN"/>
        </w:rPr>
        <w:t>5</w:t>
      </w:r>
      <w:r>
        <w:rPr>
          <w:rFonts w:hint="eastAsia" w:ascii="仿宋" w:hAnsi="仿宋" w:eastAsia="仿宋" w:cs="仿宋"/>
          <w:b/>
          <w:bCs/>
          <w:color w:val="auto"/>
          <w:sz w:val="32"/>
          <w:szCs w:val="32"/>
          <w:highlight w:val="none"/>
        </w:rPr>
        <w:t>.农林水（类）农业农村（款）农业生态资源保护（项）。</w:t>
      </w:r>
    </w:p>
    <w:p w14:paraId="54755D7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年初预算为928.00万元，支出决算为933.24万元，完成年初预算的100.56</w:t>
      </w:r>
      <w:r>
        <w:rPr>
          <w:rFonts w:hint="eastAsia" w:ascii="仿宋" w:hAnsi="仿宋" w:eastAsia="仿宋" w:cs="仿宋"/>
          <w:color w:val="auto"/>
          <w:sz w:val="32"/>
          <w:szCs w:val="32"/>
          <w:highlight w:val="none"/>
          <w:lang w:eastAsia="zh-CN"/>
        </w:rPr>
        <w:t>%。</w:t>
      </w:r>
    </w:p>
    <w:p w14:paraId="2B28AAA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w:t>
      </w:r>
      <w:r>
        <w:rPr>
          <w:rFonts w:hint="eastAsia" w:ascii="仿宋" w:hAnsi="仿宋" w:eastAsia="仿宋" w:cs="仿宋"/>
          <w:b/>
          <w:bCs/>
          <w:color w:val="auto"/>
          <w:sz w:val="32"/>
          <w:szCs w:val="32"/>
          <w:highlight w:val="none"/>
          <w:lang w:val="en-US" w:eastAsia="zh-CN"/>
        </w:rPr>
        <w:t>6</w:t>
      </w:r>
      <w:r>
        <w:rPr>
          <w:rFonts w:hint="eastAsia" w:ascii="仿宋" w:hAnsi="仿宋" w:eastAsia="仿宋" w:cs="仿宋"/>
          <w:b/>
          <w:bCs/>
          <w:color w:val="auto"/>
          <w:sz w:val="32"/>
          <w:szCs w:val="32"/>
          <w:highlight w:val="none"/>
        </w:rPr>
        <w:t>.农林水（类）农业农村（款）渔业发展（项）。</w:t>
      </w:r>
    </w:p>
    <w:p w14:paraId="656694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年初预算为4,221.50万元，支出决算为4,136.40万元，完成年初预算的97.98%。决算数小于预算数的主要原因：基本完成年初预算安排。</w:t>
      </w:r>
    </w:p>
    <w:p w14:paraId="292FFC6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w:t>
      </w:r>
      <w:r>
        <w:rPr>
          <w:rFonts w:hint="eastAsia" w:ascii="仿宋" w:hAnsi="仿宋" w:eastAsia="仿宋" w:cs="仿宋"/>
          <w:b/>
          <w:bCs/>
          <w:color w:val="auto"/>
          <w:sz w:val="32"/>
          <w:szCs w:val="32"/>
          <w:highlight w:val="none"/>
          <w:lang w:val="en-US" w:eastAsia="zh-CN"/>
        </w:rPr>
        <w:t>7</w:t>
      </w:r>
      <w:r>
        <w:rPr>
          <w:rFonts w:hint="eastAsia" w:ascii="仿宋" w:hAnsi="仿宋" w:eastAsia="仿宋" w:cs="仿宋"/>
          <w:b/>
          <w:bCs/>
          <w:color w:val="auto"/>
          <w:sz w:val="32"/>
          <w:szCs w:val="32"/>
          <w:highlight w:val="none"/>
        </w:rPr>
        <w:t>.农林水（类）农业农村（款）耕地建设与利用（项）。</w:t>
      </w:r>
    </w:p>
    <w:p w14:paraId="7DFE201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年初预算为633.63万元，支出决算为720.44万元，完成年初预算的113.70%。决算数大于预算数的主要原因</w:t>
      </w:r>
      <w:r>
        <w:rPr>
          <w:rFonts w:hint="eastAsia" w:ascii="仿宋" w:hAnsi="仿宋" w:eastAsia="仿宋" w:cs="仿宋"/>
          <w:color w:val="auto"/>
          <w:sz w:val="32"/>
          <w:szCs w:val="32"/>
          <w:highlight w:val="none"/>
          <w:lang w:val="en-US" w:eastAsia="zh-CN"/>
        </w:rPr>
        <w:t>是年中调剂下达耕地建设利用相关项目资金</w:t>
      </w:r>
      <w:r>
        <w:rPr>
          <w:rFonts w:hint="eastAsia" w:ascii="仿宋" w:hAnsi="仿宋" w:eastAsia="仿宋" w:cs="仿宋"/>
          <w:color w:val="auto"/>
          <w:sz w:val="32"/>
          <w:szCs w:val="32"/>
          <w:highlight w:val="none"/>
        </w:rPr>
        <w:t>。</w:t>
      </w:r>
    </w:p>
    <w:p w14:paraId="5B2F5E31">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w:t>
      </w:r>
      <w:r>
        <w:rPr>
          <w:rFonts w:hint="eastAsia" w:ascii="仿宋" w:hAnsi="仿宋" w:eastAsia="仿宋" w:cs="仿宋"/>
          <w:b/>
          <w:bCs/>
          <w:color w:val="auto"/>
          <w:sz w:val="32"/>
          <w:szCs w:val="32"/>
          <w:highlight w:val="none"/>
          <w:lang w:val="en-US" w:eastAsia="zh-CN"/>
        </w:rPr>
        <w:t>8</w:t>
      </w:r>
      <w:r>
        <w:rPr>
          <w:rFonts w:hint="eastAsia" w:ascii="仿宋" w:hAnsi="仿宋" w:eastAsia="仿宋" w:cs="仿宋"/>
          <w:b/>
          <w:bCs/>
          <w:color w:val="auto"/>
          <w:sz w:val="32"/>
          <w:szCs w:val="32"/>
          <w:highlight w:val="none"/>
        </w:rPr>
        <w:t>.农林水（类）农业农村（款）其他农业农村支出（项）。</w:t>
      </w:r>
    </w:p>
    <w:p w14:paraId="586499D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年初预算为1,812.84万元，支出决算为1,527.32万元，完成年初预算的84.25%。决算数小于预算数的主要原因是部分项目资金年底未及时支出。</w:t>
      </w:r>
    </w:p>
    <w:p w14:paraId="11F42F84">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29</w:t>
      </w:r>
      <w:r>
        <w:rPr>
          <w:rFonts w:hint="eastAsia" w:ascii="仿宋" w:hAnsi="仿宋" w:eastAsia="仿宋" w:cs="仿宋"/>
          <w:b/>
          <w:bCs/>
          <w:color w:val="auto"/>
          <w:sz w:val="32"/>
          <w:szCs w:val="32"/>
          <w:highlight w:val="none"/>
        </w:rPr>
        <w:t>.农林水（类）林业和草原（款）动植物保护（项）。</w:t>
      </w:r>
    </w:p>
    <w:p w14:paraId="54AFDD6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年初预算为367.09万元，支出决算为629.55万元，完成年初预算的171.50%。决算数大于预算数的主要原因是</w:t>
      </w:r>
      <w:r>
        <w:rPr>
          <w:rFonts w:hint="eastAsia" w:ascii="仿宋" w:hAnsi="仿宋" w:eastAsia="仿宋" w:cs="仿宋"/>
          <w:color w:val="auto"/>
          <w:sz w:val="32"/>
          <w:szCs w:val="32"/>
          <w:highlight w:val="none"/>
          <w:lang w:val="en-US" w:eastAsia="zh-CN"/>
        </w:rPr>
        <w:t>部分项目资金上年末未及时支出，结转至本年支出</w:t>
      </w:r>
      <w:r>
        <w:rPr>
          <w:rFonts w:hint="eastAsia" w:ascii="仿宋" w:hAnsi="仿宋" w:eastAsia="仿宋" w:cs="仿宋"/>
          <w:color w:val="auto"/>
          <w:sz w:val="32"/>
          <w:szCs w:val="32"/>
          <w:highlight w:val="none"/>
        </w:rPr>
        <w:t>。</w:t>
      </w:r>
    </w:p>
    <w:p w14:paraId="08558CB9">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30</w:t>
      </w:r>
      <w:r>
        <w:rPr>
          <w:rFonts w:hint="eastAsia" w:ascii="仿宋" w:hAnsi="仿宋" w:eastAsia="仿宋" w:cs="仿宋"/>
          <w:b/>
          <w:bCs/>
          <w:color w:val="auto"/>
          <w:sz w:val="32"/>
          <w:szCs w:val="32"/>
          <w:highlight w:val="none"/>
        </w:rPr>
        <w:t>.农林水（类）巩固脱贫攻坚成果衔接乡村振兴（款）其他巩固脱贫攻坚成果衔接乡村振兴支出（项）。</w:t>
      </w:r>
    </w:p>
    <w:p w14:paraId="71BA39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年初预算为491.25万元，支出决算为385.20万元，完成年初预算的78.41%。决算数小于预算数的主要原因</w:t>
      </w:r>
      <w:r>
        <w:rPr>
          <w:rFonts w:hint="eastAsia" w:ascii="仿宋" w:hAnsi="仿宋" w:eastAsia="仿宋" w:cs="仿宋"/>
          <w:color w:val="auto"/>
          <w:sz w:val="32"/>
          <w:szCs w:val="32"/>
          <w:highlight w:val="none"/>
          <w:lang w:val="en-US" w:eastAsia="zh-CN"/>
        </w:rPr>
        <w:t>是</w:t>
      </w:r>
      <w:r>
        <w:rPr>
          <w:rFonts w:hint="eastAsia" w:ascii="仿宋" w:hAnsi="仿宋" w:eastAsia="仿宋" w:cs="仿宋"/>
          <w:color w:val="auto"/>
          <w:sz w:val="32"/>
          <w:szCs w:val="32"/>
          <w:highlight w:val="none"/>
        </w:rPr>
        <w:t>部分项目资金年底未及时支出。</w:t>
      </w:r>
    </w:p>
    <w:p w14:paraId="67C9F035">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31</w:t>
      </w:r>
      <w:r>
        <w:rPr>
          <w:rFonts w:hint="eastAsia" w:ascii="仿宋" w:hAnsi="仿宋" w:eastAsia="仿宋" w:cs="仿宋"/>
          <w:b/>
          <w:bCs/>
          <w:color w:val="auto"/>
          <w:sz w:val="32"/>
          <w:szCs w:val="32"/>
          <w:highlight w:val="none"/>
        </w:rPr>
        <w:t>.住房保障（类）住房改革支出（款）住房公积金（项）。</w:t>
      </w:r>
    </w:p>
    <w:p w14:paraId="2494A32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年初预算为1,076.83万元，支出决算为1,103.70万元，完成年初预算的102.50%</w:t>
      </w:r>
      <w:r>
        <w:rPr>
          <w:rFonts w:hint="eastAsia" w:ascii="仿宋" w:hAnsi="仿宋" w:eastAsia="仿宋" w:cs="仿宋"/>
          <w:color w:val="auto"/>
          <w:sz w:val="32"/>
          <w:szCs w:val="32"/>
          <w:highlight w:val="none"/>
          <w:lang w:eastAsia="zh-CN"/>
        </w:rPr>
        <w:t>。决算数大于预算数的主要原因是人员待遇调整，申请追加经费</w:t>
      </w:r>
      <w:r>
        <w:rPr>
          <w:rFonts w:hint="eastAsia" w:ascii="仿宋" w:hAnsi="仿宋" w:eastAsia="仿宋" w:cs="仿宋"/>
          <w:color w:val="auto"/>
          <w:sz w:val="32"/>
          <w:szCs w:val="32"/>
          <w:highlight w:val="none"/>
        </w:rPr>
        <w:t>。</w:t>
      </w:r>
    </w:p>
    <w:p w14:paraId="74AB3633">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32</w:t>
      </w:r>
      <w:r>
        <w:rPr>
          <w:rFonts w:hint="eastAsia" w:ascii="仿宋" w:hAnsi="仿宋" w:eastAsia="仿宋" w:cs="仿宋"/>
          <w:b/>
          <w:bCs/>
          <w:color w:val="auto"/>
          <w:sz w:val="32"/>
          <w:szCs w:val="32"/>
          <w:highlight w:val="none"/>
        </w:rPr>
        <w:t>.其他（类）其他支出（款）其他支出（项）。</w:t>
      </w:r>
    </w:p>
    <w:p w14:paraId="3CA8F8D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年初预算为19,904.96万元，支出决算为12,521.03万元，完成年初预算的62.90%。决算数小于预算数的主要原因</w:t>
      </w:r>
      <w:r>
        <w:rPr>
          <w:rFonts w:hint="eastAsia" w:ascii="仿宋" w:hAnsi="仿宋" w:eastAsia="仿宋" w:cs="仿宋"/>
          <w:color w:val="auto"/>
          <w:sz w:val="32"/>
          <w:szCs w:val="32"/>
          <w:highlight w:val="none"/>
          <w:lang w:val="en-US" w:eastAsia="zh-CN"/>
        </w:rPr>
        <w:t>是年中下达转拨给其他事业单位的项目资金及奖补资金</w:t>
      </w:r>
      <w:r>
        <w:rPr>
          <w:rFonts w:hint="eastAsia" w:ascii="仿宋" w:hAnsi="仿宋" w:eastAsia="仿宋" w:cs="仿宋"/>
          <w:color w:val="auto"/>
          <w:sz w:val="32"/>
          <w:szCs w:val="32"/>
          <w:highlight w:val="none"/>
        </w:rPr>
        <w:t>。</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bCs/>
          <w:color w:val="auto"/>
          <w:sz w:val="32"/>
          <w:szCs w:val="32"/>
          <w:highlight w:val="none"/>
        </w:rPr>
        <w:t>六、一般公共预算财政拨款基本支出决算情况说明</w:t>
      </w:r>
    </w:p>
    <w:p w14:paraId="330A779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年度财政拨款基本支出</w:t>
      </w:r>
      <w:r>
        <w:rPr>
          <w:rFonts w:hint="eastAsia" w:ascii="仿宋" w:hAnsi="仿宋" w:eastAsia="仿宋" w:cs="仿宋"/>
          <w:color w:val="auto"/>
          <w:sz w:val="32"/>
          <w:szCs w:val="32"/>
          <w:highlight w:val="none"/>
          <w:lang w:val="en-US"/>
        </w:rPr>
        <w:t>16,385.70</w:t>
      </w:r>
      <w:r>
        <w:rPr>
          <w:rFonts w:hint="eastAsia" w:ascii="仿宋" w:hAnsi="仿宋" w:eastAsia="仿宋" w:cs="仿宋"/>
          <w:color w:val="auto"/>
          <w:sz w:val="32"/>
          <w:szCs w:val="32"/>
          <w:highlight w:val="none"/>
        </w:rPr>
        <w:t>万元，其中：人员经费</w:t>
      </w:r>
      <w:r>
        <w:rPr>
          <w:rFonts w:hint="eastAsia" w:ascii="仿宋" w:hAnsi="仿宋" w:eastAsia="仿宋" w:cs="仿宋"/>
          <w:color w:val="auto"/>
          <w:sz w:val="32"/>
          <w:szCs w:val="32"/>
          <w:highlight w:val="none"/>
          <w:lang w:val="en-US"/>
        </w:rPr>
        <w:t>14,053.88</w:t>
      </w:r>
      <w:r>
        <w:rPr>
          <w:rFonts w:hint="eastAsia" w:ascii="仿宋" w:hAnsi="仿宋" w:eastAsia="仿宋" w:cs="仿宋"/>
          <w:color w:val="auto"/>
          <w:sz w:val="32"/>
          <w:szCs w:val="32"/>
          <w:highlight w:val="none"/>
        </w:rPr>
        <w:t>万元，主要包括：工资福利支出中的基本工资3,468.53万元、津贴补贴2,837.31万元、奖金906.36万元、伙食补助费1.08万元、绩效工资2,357.94万元、机关事业单位基本养老保险缴费1,260.73万元、职业年金缴费793.15万元、职工基本医疗保险缴费442.07万元、公务员医疗补助缴费85.55万元、其他社会保障缴费25.16万元、住房公积金1,103.70万元、医疗费55.67万元、其他工资福利支出538.12万元；抚恤金43.36万元、生活补助91.39万元、救济费2.37万元、奖励金3.40万元、其他对个人和家庭的补助38.00万元。公用经费</w:t>
      </w:r>
      <w:r>
        <w:rPr>
          <w:rFonts w:hint="eastAsia" w:ascii="仿宋" w:hAnsi="仿宋" w:eastAsia="仿宋" w:cs="仿宋"/>
          <w:color w:val="auto"/>
          <w:sz w:val="32"/>
          <w:szCs w:val="32"/>
          <w:highlight w:val="none"/>
          <w:lang w:val="en-US"/>
        </w:rPr>
        <w:t>2,331.82</w:t>
      </w:r>
      <w:r>
        <w:rPr>
          <w:rFonts w:hint="eastAsia" w:ascii="仿宋" w:hAnsi="仿宋" w:eastAsia="仿宋" w:cs="仿宋"/>
          <w:color w:val="auto"/>
          <w:sz w:val="32"/>
          <w:szCs w:val="32"/>
          <w:highlight w:val="none"/>
        </w:rPr>
        <w:t>万元，主要包括：商品和服务支出中的办公费164.33万元、印刷费6.81万元、手续费1.62万元、水费15.26万元、电费134.07万元、邮电费146.34万元、物业管理费358.04万元、差旅费92.94万元、因公出国（境）费用27.25万元、维修（护）费165.69万元、租赁费39.32万元、会议费1.22万元、培训费26.30万元、公务接待费6.36万元、专用材料费41.56万元、被装购置费0.48万元、专用燃料费2.45万元、劳务费51.98万元、委托业务费129.05万元、工会经费171.95万元、公务用车运行维护费63.65万元、其他交通费用271.09万元、税金及附加费用0.11万元、其他商品和服务支出378.33万元；资本性支出中的办公设备购置29.31万元、专用设备购置3.23万元、其他交通工具购置1.86万元、其他资本性支出1.21万元。</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（一）政府性基金预算财政拨款支出决算总体情况</w:t>
      </w:r>
    </w:p>
    <w:p w14:paraId="0E502A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年度政府性基金预算财政拨款支出</w:t>
      </w:r>
      <w:r>
        <w:rPr>
          <w:rFonts w:hint="eastAsia" w:ascii="仿宋" w:hAnsi="仿宋" w:eastAsia="仿宋" w:cs="仿宋"/>
          <w:color w:val="auto"/>
          <w:sz w:val="32"/>
          <w:szCs w:val="32"/>
          <w:highlight w:val="none"/>
          <w:lang w:val="en-US"/>
        </w:rPr>
        <w:t>1,642.00</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rPr>
        <w:t>1.38%</w:t>
      </w:r>
      <w:r>
        <w:rPr>
          <w:rFonts w:hint="eastAsia" w:ascii="仿宋" w:hAnsi="仿宋" w:eastAsia="仿宋" w:cs="仿宋"/>
          <w:color w:val="auto"/>
          <w:sz w:val="32"/>
          <w:szCs w:val="32"/>
          <w:highlight w:val="none"/>
        </w:rPr>
        <w:t>。与</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年度相比，政府性基金预算财政拨款支出增加</w:t>
      </w:r>
      <w:r>
        <w:rPr>
          <w:rFonts w:hint="eastAsia" w:ascii="仿宋" w:hAnsi="仿宋" w:eastAsia="仿宋" w:cs="仿宋"/>
          <w:color w:val="auto"/>
          <w:sz w:val="32"/>
          <w:szCs w:val="32"/>
          <w:highlight w:val="none"/>
          <w:lang w:val="en-US"/>
        </w:rPr>
        <w:t>1,642.00</w:t>
      </w:r>
      <w:r>
        <w:rPr>
          <w:rFonts w:hint="eastAsia" w:ascii="仿宋" w:hAnsi="仿宋" w:eastAsia="仿宋" w:cs="仿宋"/>
          <w:color w:val="auto"/>
          <w:sz w:val="32"/>
          <w:szCs w:val="32"/>
          <w:highlight w:val="none"/>
        </w:rPr>
        <w:t>万元，增长</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%，主要原因是财政安排海口动物隔离场建设项目预算1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642</w:t>
      </w:r>
      <w:r>
        <w:rPr>
          <w:rFonts w:hint="eastAsia" w:ascii="仿宋" w:hAnsi="仿宋" w:eastAsia="仿宋" w:cs="仿宋"/>
          <w:color w:val="auto"/>
          <w:sz w:val="32"/>
          <w:szCs w:val="32"/>
          <w:highlight w:val="none"/>
          <w:lang w:val="en-US" w:eastAsia="zh-CN"/>
        </w:rPr>
        <w:t>.00</w:t>
      </w:r>
      <w:r>
        <w:rPr>
          <w:rFonts w:hint="eastAsia" w:ascii="仿宋" w:hAnsi="仿宋" w:eastAsia="仿宋" w:cs="仿宋"/>
          <w:color w:val="auto"/>
          <w:sz w:val="32"/>
          <w:szCs w:val="32"/>
          <w:highlight w:val="none"/>
        </w:rPr>
        <w:t>万元。</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（二）政府性基金预算财政拨款支出决算结构情况</w:t>
      </w:r>
    </w:p>
    <w:p w14:paraId="7B5BDB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年度政府性基金预算财政拨款支出</w:t>
      </w:r>
      <w:r>
        <w:rPr>
          <w:rFonts w:hint="eastAsia" w:ascii="仿宋" w:hAnsi="仿宋" w:eastAsia="仿宋" w:cs="仿宋"/>
          <w:color w:val="auto"/>
          <w:sz w:val="32"/>
          <w:szCs w:val="32"/>
          <w:highlight w:val="none"/>
          <w:lang w:val="en-US"/>
        </w:rPr>
        <w:t>1,642.00</w:t>
      </w:r>
      <w:r>
        <w:rPr>
          <w:rFonts w:hint="eastAsia" w:ascii="仿宋" w:hAnsi="仿宋" w:eastAsia="仿宋" w:cs="仿宋"/>
          <w:color w:val="auto"/>
          <w:sz w:val="32"/>
          <w:szCs w:val="32"/>
          <w:highlight w:val="none"/>
        </w:rPr>
        <w:t>万元，主要用于以下方面：</w:t>
      </w:r>
      <w:r>
        <w:rPr>
          <w:rFonts w:hint="eastAsia" w:ascii="仿宋" w:hAnsi="仿宋" w:eastAsia="仿宋" w:cs="仿宋"/>
          <w:b w:val="0"/>
          <w:bCs w:val="0"/>
          <w:color w:val="auto"/>
          <w:sz w:val="32"/>
          <w:szCs w:val="32"/>
          <w:highlight w:val="none"/>
          <w:lang w:val="en-US"/>
        </w:rPr>
        <w:t>城乡社区支出</w:t>
      </w:r>
      <w:r>
        <w:rPr>
          <w:rFonts w:hint="eastAsia" w:ascii="仿宋" w:hAnsi="仿宋" w:eastAsia="仿宋" w:cs="仿宋"/>
          <w:b w:val="0"/>
          <w:bCs w:val="0"/>
          <w:color w:val="auto"/>
          <w:sz w:val="32"/>
          <w:szCs w:val="32"/>
          <w:highlight w:val="none"/>
        </w:rPr>
        <w:t>（类）支出</w:t>
      </w:r>
      <w:r>
        <w:rPr>
          <w:rFonts w:hint="eastAsia" w:ascii="仿宋" w:hAnsi="仿宋" w:eastAsia="仿宋" w:cs="仿宋"/>
          <w:color w:val="auto"/>
          <w:sz w:val="32"/>
          <w:szCs w:val="32"/>
          <w:highlight w:val="none"/>
          <w:lang w:val="en-US"/>
        </w:rPr>
        <w:t>1,642.00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p>
    <w:p w14:paraId="2AA579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（三）政府性基金预算财政拨款支出决算具体情况</w:t>
      </w:r>
    </w:p>
    <w:p w14:paraId="184DD0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年度政府性基金预算财政拨款支出年初预算为</w:t>
      </w:r>
      <w:r>
        <w:rPr>
          <w:rFonts w:hint="eastAsia" w:ascii="仿宋" w:hAnsi="仿宋" w:eastAsia="仿宋" w:cs="仿宋"/>
          <w:color w:val="auto"/>
          <w:sz w:val="32"/>
          <w:szCs w:val="32"/>
          <w:highlight w:val="none"/>
          <w:lang w:val="en-US"/>
        </w:rPr>
        <w:t>1,642.00</w:t>
      </w:r>
      <w:r>
        <w:rPr>
          <w:rFonts w:hint="eastAsia" w:ascii="仿宋" w:hAnsi="仿宋" w:eastAsia="仿宋" w:cs="仿宋"/>
          <w:color w:val="auto"/>
          <w:sz w:val="32"/>
          <w:szCs w:val="32"/>
          <w:highlight w:val="none"/>
        </w:rPr>
        <w:t>万元，支出决算为</w:t>
      </w:r>
      <w:r>
        <w:rPr>
          <w:rFonts w:hint="eastAsia" w:ascii="仿宋" w:hAnsi="仿宋" w:eastAsia="仿宋" w:cs="仿宋"/>
          <w:color w:val="auto"/>
          <w:sz w:val="32"/>
          <w:szCs w:val="32"/>
          <w:highlight w:val="none"/>
          <w:lang w:val="en-US"/>
        </w:rPr>
        <w:t>1,642.00</w:t>
      </w:r>
      <w:r>
        <w:rPr>
          <w:rFonts w:hint="eastAsia" w:ascii="仿宋" w:hAnsi="仿宋" w:eastAsia="仿宋" w:cs="仿宋"/>
          <w:color w:val="auto"/>
          <w:sz w:val="32"/>
          <w:szCs w:val="32"/>
          <w:highlight w:val="none"/>
        </w:rPr>
        <w:t>万元，完成年初预算的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w:t>
      </w:r>
    </w:p>
    <w:p w14:paraId="1EE42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rPr>
        <w:t>城乡社区支出</w:t>
      </w:r>
      <w:r>
        <w:rPr>
          <w:rFonts w:hint="eastAsia" w:ascii="仿宋" w:hAnsi="仿宋" w:eastAsia="仿宋" w:cs="仿宋"/>
          <w:color w:val="auto"/>
          <w:sz w:val="32"/>
          <w:szCs w:val="32"/>
          <w:highlight w:val="none"/>
        </w:rPr>
        <w:t>（类）</w:t>
      </w:r>
      <w:r>
        <w:rPr>
          <w:rFonts w:hint="eastAsia" w:ascii="仿宋" w:hAnsi="仿宋" w:eastAsia="仿宋" w:cs="仿宋"/>
          <w:color w:val="auto"/>
          <w:sz w:val="32"/>
          <w:szCs w:val="32"/>
          <w:highlight w:val="none"/>
          <w:lang w:val="en-US"/>
        </w:rPr>
        <w:t>国有土地使用权出让收入安排的支出</w:t>
      </w:r>
      <w:r>
        <w:rPr>
          <w:rFonts w:hint="eastAsia" w:ascii="仿宋" w:hAnsi="仿宋" w:eastAsia="仿宋" w:cs="仿宋"/>
          <w:color w:val="auto"/>
          <w:sz w:val="32"/>
          <w:szCs w:val="32"/>
          <w:highlight w:val="none"/>
        </w:rPr>
        <w:t>（款）</w:t>
      </w:r>
      <w:r>
        <w:rPr>
          <w:rFonts w:hint="eastAsia" w:ascii="仿宋" w:hAnsi="仿宋" w:eastAsia="仿宋" w:cs="仿宋"/>
          <w:color w:val="auto"/>
          <w:sz w:val="32"/>
          <w:szCs w:val="32"/>
          <w:highlight w:val="none"/>
          <w:lang w:val="en-US"/>
        </w:rPr>
        <w:t>征地和拆迁补偿支出</w:t>
      </w:r>
      <w:r>
        <w:rPr>
          <w:rFonts w:hint="eastAsia" w:ascii="仿宋" w:hAnsi="仿宋" w:eastAsia="仿宋" w:cs="仿宋"/>
          <w:color w:val="auto"/>
          <w:sz w:val="32"/>
          <w:szCs w:val="32"/>
          <w:highlight w:val="none"/>
        </w:rPr>
        <w:t>（项）。</w:t>
      </w:r>
    </w:p>
    <w:p w14:paraId="71CEE7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w:t>
      </w:r>
      <w:r>
        <w:rPr>
          <w:rFonts w:hint="eastAsia" w:ascii="仿宋" w:hAnsi="仿宋" w:eastAsia="仿宋" w:cs="仿宋"/>
          <w:color w:val="auto"/>
          <w:sz w:val="32"/>
          <w:szCs w:val="32"/>
          <w:highlight w:val="none"/>
          <w:lang w:val="en-US"/>
        </w:rPr>
        <w:t>910.69</w:t>
      </w:r>
      <w:r>
        <w:rPr>
          <w:rFonts w:hint="eastAsia" w:ascii="仿宋" w:hAnsi="仿宋" w:eastAsia="仿宋" w:cs="仿宋"/>
          <w:color w:val="auto"/>
          <w:sz w:val="32"/>
          <w:szCs w:val="32"/>
          <w:highlight w:val="none"/>
        </w:rPr>
        <w:t>万元，支出决算为</w:t>
      </w:r>
      <w:r>
        <w:rPr>
          <w:rFonts w:hint="eastAsia" w:ascii="仿宋" w:hAnsi="仿宋" w:eastAsia="仿宋" w:cs="仿宋"/>
          <w:color w:val="auto"/>
          <w:sz w:val="32"/>
          <w:szCs w:val="32"/>
          <w:highlight w:val="none"/>
          <w:lang w:val="en-US"/>
        </w:rPr>
        <w:t>910.69</w:t>
      </w:r>
      <w:r>
        <w:rPr>
          <w:rFonts w:hint="eastAsia" w:ascii="仿宋" w:hAnsi="仿宋" w:eastAsia="仿宋" w:cs="仿宋"/>
          <w:color w:val="auto"/>
          <w:sz w:val="32"/>
          <w:szCs w:val="32"/>
          <w:highlight w:val="none"/>
        </w:rPr>
        <w:t>万元，完成年初预算的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 xml:space="preserve">%。 </w:t>
      </w:r>
    </w:p>
    <w:p w14:paraId="4DFD81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rPr>
        <w:t>城乡社区支出</w:t>
      </w:r>
      <w:r>
        <w:rPr>
          <w:rFonts w:hint="eastAsia" w:ascii="仿宋" w:hAnsi="仿宋" w:eastAsia="仿宋" w:cs="仿宋"/>
          <w:color w:val="auto"/>
          <w:sz w:val="32"/>
          <w:szCs w:val="32"/>
          <w:highlight w:val="none"/>
        </w:rPr>
        <w:t>（类）</w:t>
      </w:r>
      <w:r>
        <w:rPr>
          <w:rFonts w:hint="eastAsia" w:ascii="仿宋" w:hAnsi="仿宋" w:eastAsia="仿宋" w:cs="仿宋"/>
          <w:color w:val="auto"/>
          <w:sz w:val="32"/>
          <w:szCs w:val="32"/>
          <w:highlight w:val="none"/>
          <w:lang w:val="en-US"/>
        </w:rPr>
        <w:t>国有土地使用权出让收入安排的支出</w:t>
      </w:r>
      <w:r>
        <w:rPr>
          <w:rFonts w:hint="eastAsia" w:ascii="仿宋" w:hAnsi="仿宋" w:eastAsia="仿宋" w:cs="仿宋"/>
          <w:color w:val="auto"/>
          <w:sz w:val="32"/>
          <w:szCs w:val="32"/>
          <w:highlight w:val="none"/>
        </w:rPr>
        <w:t>（款）</w:t>
      </w:r>
      <w:r>
        <w:rPr>
          <w:rFonts w:hint="eastAsia" w:ascii="仿宋" w:hAnsi="仿宋" w:eastAsia="仿宋" w:cs="仿宋"/>
          <w:color w:val="auto"/>
          <w:sz w:val="32"/>
          <w:szCs w:val="32"/>
          <w:highlight w:val="none"/>
          <w:lang w:val="en-US"/>
        </w:rPr>
        <w:t>土地开发支出</w:t>
      </w:r>
      <w:r>
        <w:rPr>
          <w:rFonts w:hint="eastAsia" w:ascii="仿宋" w:hAnsi="仿宋" w:eastAsia="仿宋" w:cs="仿宋"/>
          <w:color w:val="auto"/>
          <w:sz w:val="32"/>
          <w:szCs w:val="32"/>
          <w:highlight w:val="none"/>
        </w:rPr>
        <w:t>（项）。</w:t>
      </w:r>
    </w:p>
    <w:p w14:paraId="2C93497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年初预算为</w:t>
      </w:r>
      <w:r>
        <w:rPr>
          <w:rFonts w:hint="eastAsia" w:ascii="仿宋" w:hAnsi="仿宋" w:eastAsia="仿宋" w:cs="仿宋"/>
          <w:color w:val="auto"/>
          <w:sz w:val="32"/>
          <w:szCs w:val="32"/>
          <w:highlight w:val="none"/>
          <w:lang w:val="en-US"/>
        </w:rPr>
        <w:t>731.31</w:t>
      </w:r>
      <w:r>
        <w:rPr>
          <w:rFonts w:hint="eastAsia" w:ascii="仿宋" w:hAnsi="仿宋" w:eastAsia="仿宋" w:cs="仿宋"/>
          <w:color w:val="auto"/>
          <w:sz w:val="32"/>
          <w:szCs w:val="32"/>
          <w:highlight w:val="none"/>
        </w:rPr>
        <w:t>万元，支出决算为</w:t>
      </w:r>
      <w:r>
        <w:rPr>
          <w:rFonts w:hint="eastAsia" w:ascii="仿宋" w:hAnsi="仿宋" w:eastAsia="仿宋" w:cs="仿宋"/>
          <w:color w:val="auto"/>
          <w:sz w:val="32"/>
          <w:szCs w:val="32"/>
          <w:highlight w:val="none"/>
          <w:lang w:val="en-US"/>
        </w:rPr>
        <w:t>731.31</w:t>
      </w:r>
      <w:r>
        <w:rPr>
          <w:rFonts w:hint="eastAsia" w:ascii="仿宋" w:hAnsi="仿宋" w:eastAsia="仿宋" w:cs="仿宋"/>
          <w:color w:val="auto"/>
          <w:sz w:val="32"/>
          <w:szCs w:val="32"/>
          <w:highlight w:val="none"/>
        </w:rPr>
        <w:t>万元，完成年初预算的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 xml:space="preserve">%。 </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八、国有资本经营预算财政拨款支出决算情况说明</w:t>
      </w:r>
    </w:p>
    <w:p w14:paraId="5A44B18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（一）国有资本经营预算财政拨款支出决算总体情况</w:t>
      </w:r>
    </w:p>
    <w:p w14:paraId="5545C34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2025年度国有资本经营预算财政拨款支出0.00万元，占本年支出合计的0.00%。与2024年度相比持平，主要原因是我厅无国有资本经营预算拨款。</w:t>
      </w:r>
    </w:p>
    <w:p w14:paraId="06BC159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（二）国有资本经营预算财政拨款支出决算结构情况</w:t>
      </w:r>
    </w:p>
    <w:p w14:paraId="7121E6C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2025年度国有资本经营预算财政拨款支出0.00万元，无相关支出。</w:t>
      </w:r>
    </w:p>
    <w:p w14:paraId="342F90C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（三）国有资本经营预算财政拨款支出决算具体情况</w:t>
      </w:r>
    </w:p>
    <w:p w14:paraId="522EA65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lang w:val="en-US" w:eastAsia="zh-CN"/>
        </w:rPr>
      </w:pPr>
      <w:r>
        <w:rPr>
          <w:rFonts w:hint="eastAsia" w:ascii="仿宋" w:hAnsi="仿宋" w:eastAsia="仿宋" w:cs="仿宋"/>
          <w:color w:val="auto"/>
          <w:sz w:val="32"/>
          <w:szCs w:val="32"/>
          <w:highlight w:val="none"/>
        </w:rPr>
        <w:t>2025年度国有资本经营预算财政拨款支出年初预算为0.00万元，支出决算为0.00万元，完成年初预算的100.00%。</w:t>
      </w:r>
    </w:p>
    <w:p w14:paraId="5834EC2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楷体_GB2312"/>
          <w:color w:val="auto"/>
          <w:sz w:val="32"/>
          <w:szCs w:val="32"/>
          <w:highlight w:val="none"/>
        </w:rPr>
      </w:pPr>
      <w:r>
        <w:rPr>
          <w:rFonts w:hint="eastAsia" w:ascii="黑体" w:hAnsi="黑体" w:eastAsia="黑体" w:cs="黑体"/>
          <w:bCs/>
          <w:color w:val="auto"/>
          <w:sz w:val="32"/>
          <w:szCs w:val="32"/>
          <w:highlight w:val="none"/>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（一）财政拨款“三公”经费支出决算总体情况说明</w:t>
      </w:r>
    </w:p>
    <w:p w14:paraId="1367A2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年度财政拨款“三公”经费支出预算为</w:t>
      </w:r>
      <w:r>
        <w:rPr>
          <w:rFonts w:hint="eastAsia" w:ascii="仿宋" w:hAnsi="仿宋" w:eastAsia="仿宋" w:cs="仿宋"/>
          <w:color w:val="auto"/>
          <w:sz w:val="32"/>
          <w:szCs w:val="32"/>
          <w:highlight w:val="none"/>
          <w:lang w:val="en-US"/>
        </w:rPr>
        <w:t>182.16</w:t>
      </w:r>
      <w:r>
        <w:rPr>
          <w:rFonts w:hint="eastAsia" w:ascii="仿宋" w:hAnsi="仿宋" w:eastAsia="仿宋" w:cs="仿宋"/>
          <w:color w:val="auto"/>
          <w:sz w:val="32"/>
          <w:szCs w:val="32"/>
          <w:highlight w:val="none"/>
        </w:rPr>
        <w:t>万元，支出决算为</w:t>
      </w:r>
      <w:r>
        <w:rPr>
          <w:rFonts w:hint="eastAsia" w:ascii="仿宋" w:hAnsi="仿宋" w:eastAsia="仿宋" w:cs="仿宋"/>
          <w:color w:val="auto"/>
          <w:sz w:val="32"/>
          <w:szCs w:val="32"/>
          <w:highlight w:val="none"/>
          <w:lang w:val="en-US"/>
        </w:rPr>
        <w:t>119.72</w:t>
      </w:r>
      <w:r>
        <w:rPr>
          <w:rFonts w:hint="eastAsia" w:ascii="仿宋" w:hAnsi="仿宋" w:eastAsia="仿宋" w:cs="仿宋"/>
          <w:color w:val="auto"/>
          <w:sz w:val="32"/>
          <w:szCs w:val="32"/>
          <w:highlight w:val="none"/>
        </w:rPr>
        <w:t>万元，完成预算的</w:t>
      </w:r>
      <w:r>
        <w:rPr>
          <w:rFonts w:hint="eastAsia" w:ascii="仿宋" w:hAnsi="仿宋" w:eastAsia="仿宋" w:cs="仿宋"/>
          <w:color w:val="auto"/>
          <w:sz w:val="32"/>
          <w:szCs w:val="32"/>
          <w:highlight w:val="none"/>
          <w:lang w:val="en-US"/>
        </w:rPr>
        <w:t>65.72%</w:t>
      </w:r>
      <w:r>
        <w:rPr>
          <w:rFonts w:hint="eastAsia" w:ascii="仿宋" w:hAnsi="仿宋" w:eastAsia="仿宋" w:cs="仿宋"/>
          <w:color w:val="auto"/>
          <w:sz w:val="32"/>
          <w:szCs w:val="32"/>
          <w:highlight w:val="none"/>
        </w:rPr>
        <w:t>，与</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年度相比，“三公”经费支出减少</w:t>
      </w:r>
      <w:r>
        <w:rPr>
          <w:rFonts w:hint="eastAsia" w:ascii="仿宋" w:hAnsi="仿宋" w:eastAsia="仿宋" w:cs="仿宋"/>
          <w:color w:val="auto"/>
          <w:sz w:val="32"/>
          <w:szCs w:val="32"/>
          <w:highlight w:val="none"/>
          <w:lang w:val="en-US"/>
        </w:rPr>
        <w:t>6.6</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rPr>
        <w:t>5.22%</w:t>
      </w:r>
      <w:r>
        <w:rPr>
          <w:rFonts w:hint="eastAsia" w:ascii="仿宋" w:hAnsi="仿宋" w:eastAsia="仿宋" w:cs="仿宋"/>
          <w:color w:val="auto"/>
          <w:sz w:val="32"/>
          <w:szCs w:val="32"/>
          <w:highlight w:val="none"/>
        </w:rPr>
        <w:t>，主要原因是过紧日子，厉行节约，严控</w:t>
      </w:r>
      <w:r>
        <w:rPr>
          <w:rFonts w:hint="eastAsia" w:ascii="仿宋" w:hAnsi="仿宋" w:eastAsia="仿宋" w:cs="仿宋"/>
          <w:color w:val="auto"/>
          <w:sz w:val="32"/>
          <w:szCs w:val="32"/>
          <w:highlight w:val="none"/>
          <w:lang w:eastAsia="zh-CN"/>
        </w:rPr>
        <w:t>“三公”经费</w:t>
      </w:r>
      <w:r>
        <w:rPr>
          <w:rFonts w:hint="eastAsia" w:ascii="仿宋" w:hAnsi="仿宋" w:eastAsia="仿宋" w:cs="仿宋"/>
          <w:color w:val="auto"/>
          <w:sz w:val="32"/>
          <w:szCs w:val="32"/>
          <w:highlight w:val="none"/>
        </w:rPr>
        <w:t>支出。</w:t>
      </w:r>
    </w:p>
    <w:p w14:paraId="0787B19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（二）财政拨款“三公”经费支出决算具体情况说明</w:t>
      </w:r>
    </w:p>
    <w:p w14:paraId="7B26A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年度财政拨款“三公”经费支出决算中，因公出国（境）费</w:t>
      </w:r>
      <w:r>
        <w:rPr>
          <w:rFonts w:hint="eastAsia" w:ascii="仿宋" w:hAnsi="仿宋" w:eastAsia="仿宋" w:cs="仿宋"/>
          <w:color w:val="auto"/>
          <w:sz w:val="32"/>
          <w:szCs w:val="32"/>
          <w:highlight w:val="none"/>
          <w:lang w:val="en-US" w:eastAsia="zh-CN"/>
        </w:rPr>
        <w:t>用</w:t>
      </w:r>
      <w:r>
        <w:rPr>
          <w:rFonts w:hint="eastAsia" w:ascii="仿宋" w:hAnsi="仿宋" w:eastAsia="仿宋" w:cs="仿宋"/>
          <w:color w:val="auto"/>
          <w:sz w:val="32"/>
          <w:szCs w:val="32"/>
          <w:highlight w:val="none"/>
        </w:rPr>
        <w:t>支出决算</w:t>
      </w:r>
      <w:r>
        <w:rPr>
          <w:rFonts w:hint="eastAsia" w:ascii="仿宋" w:hAnsi="仿宋" w:eastAsia="仿宋" w:cs="仿宋"/>
          <w:color w:val="auto"/>
          <w:sz w:val="32"/>
          <w:szCs w:val="32"/>
          <w:highlight w:val="none"/>
          <w:lang w:val="en-US"/>
        </w:rPr>
        <w:t>49.70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rPr>
        <w:t>41.51%</w:t>
      </w:r>
      <w:r>
        <w:rPr>
          <w:rFonts w:hint="eastAsia" w:ascii="仿宋" w:hAnsi="仿宋" w:eastAsia="仿宋" w:cs="仿宋"/>
          <w:color w:val="auto"/>
          <w:sz w:val="32"/>
          <w:szCs w:val="32"/>
          <w:highlight w:val="none"/>
        </w:rPr>
        <w:t>；公务用车购置及运行维护费支出决算</w:t>
      </w:r>
      <w:r>
        <w:rPr>
          <w:rFonts w:hint="eastAsia" w:ascii="仿宋" w:hAnsi="仿宋" w:eastAsia="仿宋" w:cs="仿宋"/>
          <w:color w:val="auto"/>
          <w:sz w:val="32"/>
          <w:szCs w:val="32"/>
          <w:highlight w:val="none"/>
          <w:lang w:val="en-US"/>
        </w:rPr>
        <w:t>63.65</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rPr>
        <w:t>53.17%</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val="en-US"/>
        </w:rPr>
        <w:t>6.36</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rPr>
        <w:t>5.31%</w:t>
      </w:r>
      <w:r>
        <w:rPr>
          <w:rFonts w:hint="eastAsia" w:ascii="仿宋" w:hAnsi="仿宋" w:eastAsia="仿宋" w:cs="仿宋"/>
          <w:color w:val="auto"/>
          <w:sz w:val="32"/>
          <w:szCs w:val="32"/>
          <w:highlight w:val="none"/>
        </w:rPr>
        <w:t>。具体情况如下：</w:t>
      </w:r>
    </w:p>
    <w:p w14:paraId="734A431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1.因公出国（境）费用支出49.70万元。全年安排因公出国（境）团组</w:t>
      </w:r>
      <w:r>
        <w:rPr>
          <w:rFonts w:hint="eastAsia" w:ascii="仿宋" w:hAnsi="仿宋" w:eastAsia="仿宋" w:cs="仿宋"/>
          <w:b w:val="0"/>
          <w:bCs/>
          <w:color w:val="auto"/>
          <w:sz w:val="32"/>
          <w:szCs w:val="32"/>
          <w:highlight w:val="none"/>
          <w:lang w:val="en-US" w:eastAsia="zh-CN"/>
        </w:rPr>
        <w:t>5</w:t>
      </w:r>
      <w:r>
        <w:rPr>
          <w:rFonts w:hint="eastAsia" w:ascii="仿宋" w:hAnsi="仿宋" w:eastAsia="仿宋" w:cs="仿宋"/>
          <w:b w:val="0"/>
          <w:bCs/>
          <w:color w:val="auto"/>
          <w:sz w:val="32"/>
          <w:szCs w:val="32"/>
          <w:highlight w:val="none"/>
        </w:rPr>
        <w:t>个，因公出国（境）</w:t>
      </w:r>
      <w:r>
        <w:rPr>
          <w:rFonts w:hint="eastAsia" w:ascii="仿宋" w:hAnsi="仿宋" w:eastAsia="仿宋" w:cs="仿宋"/>
          <w:b w:val="0"/>
          <w:bCs/>
          <w:color w:val="auto"/>
          <w:sz w:val="32"/>
          <w:szCs w:val="32"/>
          <w:highlight w:val="none"/>
          <w:lang w:val="en-US" w:eastAsia="zh-CN"/>
        </w:rPr>
        <w:t>8</w:t>
      </w:r>
      <w:r>
        <w:rPr>
          <w:rFonts w:hint="eastAsia" w:ascii="仿宋" w:hAnsi="仿宋" w:eastAsia="仿宋" w:cs="仿宋"/>
          <w:b w:val="0"/>
          <w:bCs/>
          <w:color w:val="auto"/>
          <w:sz w:val="32"/>
          <w:szCs w:val="32"/>
          <w:highlight w:val="none"/>
        </w:rPr>
        <w:t>人次。开支内容包括：</w:t>
      </w:r>
    </w:p>
    <w:p w14:paraId="505356A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highlight w:val="none"/>
        </w:rPr>
        <w:t>（1）赴美国、安提瓜和巴布达团支出</w:t>
      </w:r>
      <w:r>
        <w:rPr>
          <w:rFonts w:hint="eastAsia" w:ascii="仿宋" w:hAnsi="仿宋" w:eastAsia="仿宋" w:cs="仿宋"/>
          <w:b w:val="0"/>
          <w:bCs/>
          <w:color w:val="auto"/>
          <w:sz w:val="32"/>
          <w:szCs w:val="32"/>
          <w:highlight w:val="none"/>
          <w:lang w:val="en-US" w:eastAsia="zh-CN"/>
        </w:rPr>
        <w:t>15.29万</w:t>
      </w:r>
      <w:r>
        <w:rPr>
          <w:rFonts w:hint="eastAsia" w:ascii="仿宋" w:hAnsi="仿宋" w:eastAsia="仿宋" w:cs="仿宋"/>
          <w:b w:val="0"/>
          <w:bCs/>
          <w:color w:val="auto"/>
          <w:sz w:val="32"/>
          <w:szCs w:val="32"/>
          <w:highlight w:val="none"/>
        </w:rPr>
        <w:t>元。主要用于朱文婷1人，2025年9月随省领导赴美国、安提瓜和巴布达团访问，深化与美国加州多领域合作，推介自贸港政策，拓展友城与侨务资源联动；出访安提瓜和巴布达，践行中拉命运共同体理念，推进友城缔结，深化农渔业务实合作，夯实双边友好关系</w:t>
      </w:r>
      <w:r>
        <w:rPr>
          <w:rFonts w:hint="eastAsia" w:ascii="仿宋" w:hAnsi="仿宋" w:eastAsia="仿宋" w:cs="仿宋"/>
          <w:b w:val="0"/>
          <w:bCs/>
          <w:color w:val="auto"/>
          <w:sz w:val="32"/>
          <w:szCs w:val="32"/>
          <w:highlight w:val="none"/>
          <w:lang w:val="en-US" w:eastAsia="zh-CN"/>
        </w:rPr>
        <w:t>；</w:t>
      </w:r>
    </w:p>
    <w:p w14:paraId="64F7A68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highlight w:val="none"/>
        </w:rPr>
        <w:t>（2）赴新西兰团支出</w:t>
      </w:r>
      <w:r>
        <w:rPr>
          <w:rFonts w:hint="eastAsia" w:ascii="仿宋" w:hAnsi="仿宋" w:eastAsia="仿宋" w:cs="仿宋"/>
          <w:b w:val="0"/>
          <w:bCs/>
          <w:color w:val="auto"/>
          <w:sz w:val="32"/>
          <w:szCs w:val="32"/>
          <w:highlight w:val="none"/>
          <w:lang w:val="en-US" w:eastAsia="zh-CN"/>
        </w:rPr>
        <w:t>22.45万</w:t>
      </w:r>
      <w:r>
        <w:rPr>
          <w:rFonts w:hint="eastAsia" w:ascii="仿宋" w:hAnsi="仿宋" w:eastAsia="仿宋" w:cs="仿宋"/>
          <w:b w:val="0"/>
          <w:bCs/>
          <w:color w:val="auto"/>
          <w:sz w:val="32"/>
          <w:szCs w:val="32"/>
          <w:highlight w:val="none"/>
        </w:rPr>
        <w:t>元。主要用于李芸、谢有志、迟庆安等3人，2025年9月，我省赴新西兰开展人兽共患病防控合作交流，通过座谈研讨、实地观摩、技术对接，在专业技术、养殖模式、产业体系及人才培养方面取得务实成果，为海南畜牧业高质量发展补齐短板、夯实根基提供了宝贵经验</w:t>
      </w:r>
      <w:r>
        <w:rPr>
          <w:rFonts w:hint="eastAsia" w:ascii="仿宋" w:hAnsi="仿宋" w:eastAsia="仿宋" w:cs="仿宋"/>
          <w:b w:val="0"/>
          <w:bCs/>
          <w:color w:val="auto"/>
          <w:sz w:val="32"/>
          <w:szCs w:val="32"/>
          <w:highlight w:val="none"/>
          <w:lang w:val="en-US" w:eastAsia="zh-CN"/>
        </w:rPr>
        <w:t>；</w:t>
      </w:r>
    </w:p>
    <w:p w14:paraId="4A429B3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highlight w:val="none"/>
        </w:rPr>
        <w:t>（3）赴意大利、西班牙团支出</w:t>
      </w:r>
      <w:r>
        <w:rPr>
          <w:rFonts w:hint="eastAsia" w:ascii="仿宋" w:hAnsi="仿宋" w:eastAsia="仿宋" w:cs="仿宋"/>
          <w:b w:val="0"/>
          <w:bCs/>
          <w:color w:val="auto"/>
          <w:sz w:val="32"/>
          <w:szCs w:val="32"/>
          <w:highlight w:val="none"/>
          <w:lang w:val="en-US" w:eastAsia="zh-CN"/>
        </w:rPr>
        <w:t>3.58万</w:t>
      </w:r>
      <w:r>
        <w:rPr>
          <w:rFonts w:hint="eastAsia" w:ascii="仿宋" w:hAnsi="仿宋" w:eastAsia="仿宋" w:cs="仿宋"/>
          <w:b w:val="0"/>
          <w:bCs/>
          <w:color w:val="auto"/>
          <w:sz w:val="32"/>
          <w:szCs w:val="32"/>
          <w:highlight w:val="none"/>
        </w:rPr>
        <w:t>元。主要用于邓红燕1人，2025年6月随省领导团赴意大利拜访联合国粮农组织总干事屈冬玉，推进海南与粮农组织合作谅解备忘录签定，推动海南与粮农组织在农业科技、文化等方面交流合作</w:t>
      </w:r>
      <w:r>
        <w:rPr>
          <w:rFonts w:hint="eastAsia" w:ascii="仿宋" w:hAnsi="仿宋" w:eastAsia="仿宋" w:cs="仿宋"/>
          <w:b w:val="0"/>
          <w:bCs/>
          <w:color w:val="auto"/>
          <w:sz w:val="32"/>
          <w:szCs w:val="32"/>
          <w:highlight w:val="none"/>
          <w:lang w:val="en-US" w:eastAsia="zh-CN"/>
        </w:rPr>
        <w:t>；</w:t>
      </w:r>
    </w:p>
    <w:p w14:paraId="1565C7B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highlight w:val="none"/>
        </w:rPr>
        <w:t>（4）赴斯里兰卡、马尔代夫团支出</w:t>
      </w:r>
      <w:r>
        <w:rPr>
          <w:rFonts w:hint="eastAsia" w:ascii="仿宋" w:hAnsi="仿宋" w:eastAsia="仿宋" w:cs="仿宋"/>
          <w:b w:val="0"/>
          <w:bCs/>
          <w:color w:val="auto"/>
          <w:sz w:val="32"/>
          <w:szCs w:val="32"/>
          <w:highlight w:val="none"/>
          <w:lang w:val="en-US" w:eastAsia="zh-CN"/>
        </w:rPr>
        <w:t>5.81万</w:t>
      </w:r>
      <w:r>
        <w:rPr>
          <w:rFonts w:hint="eastAsia" w:ascii="仿宋" w:hAnsi="仿宋" w:eastAsia="仿宋" w:cs="仿宋"/>
          <w:b w:val="0"/>
          <w:bCs/>
          <w:color w:val="auto"/>
          <w:sz w:val="32"/>
          <w:szCs w:val="32"/>
          <w:highlight w:val="none"/>
        </w:rPr>
        <w:t>元。主要用于倪兴秀1人，2025年11月随省领导团赴斯里兰卡、马尔代夫出访，深化海南与斯里兰卡、马尔代夫农渔领域务实合作，对接两国农业渔业部门，推进椰子产业、育种养殖技术交流与培训，签署相关合作协议，宣讲自贸港政策，服务国家外交与南南合作大局</w:t>
      </w:r>
      <w:r>
        <w:rPr>
          <w:rFonts w:hint="eastAsia" w:ascii="仿宋" w:hAnsi="仿宋" w:eastAsia="仿宋" w:cs="仿宋"/>
          <w:b w:val="0"/>
          <w:bCs/>
          <w:color w:val="auto"/>
          <w:sz w:val="32"/>
          <w:szCs w:val="32"/>
          <w:highlight w:val="none"/>
          <w:lang w:val="en-US" w:eastAsia="zh-CN"/>
        </w:rPr>
        <w:t>；</w:t>
      </w:r>
    </w:p>
    <w:p w14:paraId="3E49B1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highlight w:val="none"/>
        </w:rPr>
        <w:t>（5）访问香港团支出</w:t>
      </w:r>
      <w:r>
        <w:rPr>
          <w:rFonts w:hint="eastAsia" w:ascii="仿宋" w:hAnsi="仿宋" w:eastAsia="仿宋" w:cs="仿宋"/>
          <w:b w:val="0"/>
          <w:bCs/>
          <w:color w:val="auto"/>
          <w:sz w:val="32"/>
          <w:szCs w:val="32"/>
          <w:highlight w:val="none"/>
          <w:lang w:val="en-US" w:eastAsia="zh-CN"/>
        </w:rPr>
        <w:t>2.57万</w:t>
      </w:r>
      <w:r>
        <w:rPr>
          <w:rFonts w:hint="eastAsia" w:ascii="仿宋" w:hAnsi="仿宋" w:eastAsia="仿宋" w:cs="仿宋"/>
          <w:b w:val="0"/>
          <w:bCs/>
          <w:color w:val="auto"/>
          <w:sz w:val="32"/>
          <w:szCs w:val="32"/>
          <w:highlight w:val="none"/>
        </w:rPr>
        <w:t>元。主要用于马育红、邓红燕、朱文婷等3人，2025年8月赴香港组织农产品出口企业赴香港参加2025年度香港美食博览，并</w:t>
      </w:r>
      <w:bookmarkStart w:id="118" w:name="_GoBack"/>
      <w:bookmarkEnd w:id="118"/>
      <w:r>
        <w:rPr>
          <w:rFonts w:hint="eastAsia" w:ascii="仿宋" w:hAnsi="仿宋" w:eastAsia="仿宋" w:cs="仿宋"/>
          <w:b w:val="0"/>
          <w:bCs/>
          <w:color w:val="auto"/>
          <w:sz w:val="32"/>
          <w:szCs w:val="32"/>
          <w:highlight w:val="none"/>
        </w:rPr>
        <w:t>开展宣传推介和实地招商与贸易交流活动</w:t>
      </w:r>
      <w:r>
        <w:rPr>
          <w:rFonts w:hint="eastAsia" w:ascii="仿宋" w:hAnsi="仿宋" w:eastAsia="仿宋" w:cs="仿宋"/>
          <w:b w:val="0"/>
          <w:bCs/>
          <w:color w:val="auto"/>
          <w:sz w:val="32"/>
          <w:szCs w:val="32"/>
          <w:highlight w:val="none"/>
          <w:lang w:eastAsia="zh-CN"/>
        </w:rPr>
        <w:t>。</w:t>
      </w:r>
    </w:p>
    <w:p w14:paraId="732BBD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 w:val="0"/>
          <w:bCs/>
          <w:color w:val="auto"/>
          <w:sz w:val="32"/>
          <w:szCs w:val="32"/>
          <w:highlight w:val="none"/>
        </w:rPr>
        <w:t>因公出国（境）费用支出决算数比预算数减少22.8万元，完成预算的68.55%。与2024年度相比，因公出国（境）费用支出增加3.94万元，增长8.61%，主要原因是因机构改革，原乡村振兴局并入我厅，相应的出国经费基数增加。</w:t>
      </w:r>
    </w:p>
    <w:p w14:paraId="7772B67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2.公务用车购置及运行维护费</w:t>
      </w:r>
      <w:r>
        <w:rPr>
          <w:rFonts w:hint="eastAsia" w:ascii="仿宋" w:hAnsi="仿宋" w:eastAsia="仿宋" w:cs="仿宋"/>
          <w:b w:val="0"/>
          <w:bCs/>
          <w:color w:val="auto"/>
          <w:sz w:val="32"/>
          <w:szCs w:val="32"/>
          <w:highlight w:val="none"/>
        </w:rPr>
        <w:t>支出</w:t>
      </w:r>
      <w:r>
        <w:rPr>
          <w:rFonts w:hint="eastAsia" w:ascii="仿宋" w:hAnsi="仿宋" w:eastAsia="仿宋" w:cs="仿宋"/>
          <w:color w:val="auto"/>
          <w:sz w:val="32"/>
          <w:szCs w:val="32"/>
          <w:highlight w:val="none"/>
          <w:lang w:val="en-US"/>
        </w:rPr>
        <w:t>63.65</w:t>
      </w:r>
      <w:r>
        <w:rPr>
          <w:rFonts w:hint="eastAsia" w:ascii="仿宋" w:hAnsi="仿宋" w:eastAsia="仿宋" w:cs="仿宋"/>
          <w:color w:val="auto"/>
          <w:sz w:val="32"/>
          <w:szCs w:val="32"/>
          <w:highlight w:val="none"/>
        </w:rPr>
        <w:t>万元。其中：</w:t>
      </w:r>
    </w:p>
    <w:p w14:paraId="0BB159C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公务用车购置</w:t>
      </w:r>
      <w:r>
        <w:rPr>
          <w:rFonts w:hint="eastAsia" w:ascii="仿宋" w:hAnsi="仿宋" w:eastAsia="仿宋" w:cs="仿宋"/>
          <w:b w:val="0"/>
          <w:bCs/>
          <w:color w:val="auto"/>
          <w:sz w:val="32"/>
          <w:szCs w:val="32"/>
          <w:highlight w:val="none"/>
        </w:rPr>
        <w:t>支出</w:t>
      </w:r>
      <w:r>
        <w:rPr>
          <w:rFonts w:hint="eastAsia" w:ascii="仿宋" w:hAnsi="仿宋" w:eastAsia="仿宋" w:cs="仿宋"/>
          <w:color w:val="auto"/>
          <w:sz w:val="32"/>
          <w:szCs w:val="32"/>
          <w:highlight w:val="none"/>
          <w:lang w:val="en-US"/>
        </w:rPr>
        <w:t>0.00</w:t>
      </w:r>
      <w:r>
        <w:rPr>
          <w:rFonts w:hint="eastAsia" w:ascii="仿宋" w:hAnsi="仿宋" w:eastAsia="仿宋" w:cs="仿宋"/>
          <w:color w:val="auto"/>
          <w:sz w:val="32"/>
          <w:szCs w:val="32"/>
          <w:highlight w:val="none"/>
        </w:rPr>
        <w:t>万元，全年购置公务用车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辆，年末公务用车保有量</w:t>
      </w:r>
      <w:r>
        <w:rPr>
          <w:rFonts w:hint="eastAsia" w:ascii="仿宋" w:hAnsi="仿宋" w:eastAsia="仿宋" w:cs="仿宋"/>
          <w:color w:val="auto"/>
          <w:sz w:val="32"/>
          <w:szCs w:val="32"/>
          <w:highlight w:val="none"/>
          <w:lang w:val="en-US" w:eastAsia="zh-CN"/>
        </w:rPr>
        <w:t>43</w:t>
      </w:r>
      <w:r>
        <w:rPr>
          <w:rFonts w:hint="eastAsia" w:ascii="仿宋" w:hAnsi="仿宋" w:eastAsia="仿宋" w:cs="仿宋"/>
          <w:color w:val="auto"/>
          <w:sz w:val="32"/>
          <w:szCs w:val="32"/>
          <w:highlight w:val="none"/>
        </w:rPr>
        <w:t>辆。</w:t>
      </w:r>
    </w:p>
    <w:p w14:paraId="2F0F80C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公务用车运行维护费</w:t>
      </w:r>
      <w:r>
        <w:rPr>
          <w:rFonts w:hint="eastAsia" w:ascii="仿宋" w:hAnsi="仿宋" w:eastAsia="仿宋" w:cs="仿宋"/>
          <w:color w:val="auto"/>
          <w:sz w:val="32"/>
          <w:szCs w:val="32"/>
          <w:highlight w:val="none"/>
        </w:rPr>
        <w:t>支出</w:t>
      </w:r>
      <w:r>
        <w:rPr>
          <w:rFonts w:hint="eastAsia" w:ascii="仿宋" w:hAnsi="仿宋" w:eastAsia="仿宋" w:cs="仿宋"/>
          <w:color w:val="auto"/>
          <w:sz w:val="32"/>
          <w:szCs w:val="32"/>
          <w:highlight w:val="none"/>
          <w:lang w:val="en-US"/>
        </w:rPr>
        <w:t>63.65</w:t>
      </w:r>
      <w:r>
        <w:rPr>
          <w:rFonts w:hint="eastAsia" w:ascii="仿宋" w:hAnsi="仿宋" w:eastAsia="仿宋" w:cs="仿宋"/>
          <w:color w:val="auto"/>
          <w:sz w:val="32"/>
          <w:szCs w:val="32"/>
          <w:highlight w:val="none"/>
        </w:rPr>
        <w:t>万元，主要用于车辆燃料费、维修费、停车费、通行费、保险费、审验费等项目。包括日常公务用车以及到各辖区检查农业工作落实情况、检查农业建设项目</w:t>
      </w:r>
      <w:r>
        <w:rPr>
          <w:rFonts w:hint="eastAsia" w:ascii="仿宋" w:hAnsi="仿宋" w:eastAsia="仿宋" w:cs="仿宋"/>
          <w:color w:val="auto"/>
          <w:sz w:val="32"/>
          <w:szCs w:val="32"/>
          <w:highlight w:val="none"/>
          <w:lang w:eastAsia="zh-CN"/>
        </w:rPr>
        <w:t>，以及</w:t>
      </w:r>
      <w:r>
        <w:rPr>
          <w:rFonts w:hint="eastAsia" w:ascii="仿宋" w:hAnsi="仿宋" w:eastAsia="仿宋" w:cs="仿宋"/>
          <w:color w:val="auto"/>
          <w:sz w:val="32"/>
          <w:szCs w:val="32"/>
          <w:highlight w:val="none"/>
        </w:rPr>
        <w:t>机要文件交换等。</w:t>
      </w:r>
    </w:p>
    <w:p w14:paraId="314933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公务用车购置及运行维护费支出决算数</w:t>
      </w:r>
      <w:r>
        <w:rPr>
          <w:rFonts w:hint="eastAsia" w:ascii="仿宋" w:hAnsi="仿宋" w:eastAsia="仿宋" w:cs="仿宋"/>
          <w:color w:val="auto"/>
          <w:sz w:val="32"/>
          <w:szCs w:val="32"/>
          <w:highlight w:val="none"/>
        </w:rPr>
        <w:t>比预算数减少</w:t>
      </w:r>
      <w:r>
        <w:rPr>
          <w:rFonts w:hint="eastAsia" w:ascii="仿宋" w:hAnsi="仿宋" w:eastAsia="仿宋" w:cs="仿宋"/>
          <w:color w:val="auto"/>
          <w:sz w:val="32"/>
          <w:szCs w:val="32"/>
          <w:highlight w:val="none"/>
          <w:lang w:val="en-US" w:eastAsia="zh-CN"/>
        </w:rPr>
        <w:t>29.17</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完成预算的68.57%。</w:t>
      </w:r>
      <w:r>
        <w:rPr>
          <w:rFonts w:hint="eastAsia" w:ascii="仿宋" w:hAnsi="仿宋" w:eastAsia="仿宋" w:cs="仿宋"/>
          <w:color w:val="auto"/>
          <w:sz w:val="32"/>
          <w:szCs w:val="32"/>
          <w:highlight w:val="none"/>
        </w:rPr>
        <w:t>与</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年度相比，</w:t>
      </w:r>
      <w:r>
        <w:rPr>
          <w:rFonts w:hint="eastAsia" w:ascii="仿宋" w:hAnsi="仿宋" w:eastAsia="仿宋" w:cs="仿宋"/>
          <w:bCs/>
          <w:color w:val="auto"/>
          <w:sz w:val="32"/>
          <w:szCs w:val="32"/>
          <w:highlight w:val="none"/>
        </w:rPr>
        <w:t>公务用车购置及运行维护费</w:t>
      </w:r>
      <w:r>
        <w:rPr>
          <w:rFonts w:hint="eastAsia" w:ascii="仿宋" w:hAnsi="仿宋" w:eastAsia="仿宋" w:cs="仿宋"/>
          <w:color w:val="auto"/>
          <w:sz w:val="32"/>
          <w:szCs w:val="32"/>
          <w:highlight w:val="none"/>
        </w:rPr>
        <w:t>支出减少</w:t>
      </w:r>
      <w:r>
        <w:rPr>
          <w:rFonts w:hint="eastAsia" w:ascii="仿宋" w:hAnsi="仿宋" w:eastAsia="仿宋" w:cs="仿宋"/>
          <w:color w:val="auto"/>
          <w:sz w:val="32"/>
          <w:szCs w:val="32"/>
          <w:highlight w:val="none"/>
          <w:lang w:val="en-US"/>
        </w:rPr>
        <w:t>8.98</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rPr>
        <w:t>12.36%</w:t>
      </w:r>
      <w:r>
        <w:rPr>
          <w:rFonts w:hint="eastAsia" w:ascii="仿宋" w:hAnsi="仿宋" w:eastAsia="仿宋" w:cs="仿宋"/>
          <w:color w:val="auto"/>
          <w:sz w:val="32"/>
          <w:szCs w:val="32"/>
          <w:highlight w:val="none"/>
        </w:rPr>
        <w:t>，主要原因是控制公务用车使用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同时加强车辆日常管理，实行定点加油、维修和保险，压减了运行成本。</w:t>
      </w:r>
    </w:p>
    <w:p w14:paraId="4815CAD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3.公务接待费</w:t>
      </w:r>
      <w:r>
        <w:rPr>
          <w:rFonts w:hint="eastAsia" w:ascii="仿宋" w:hAnsi="仿宋" w:eastAsia="仿宋" w:cs="仿宋"/>
          <w:b w:val="0"/>
          <w:bCs/>
          <w:color w:val="auto"/>
          <w:sz w:val="32"/>
          <w:szCs w:val="32"/>
          <w:highlight w:val="none"/>
        </w:rPr>
        <w:t>支出</w:t>
      </w:r>
      <w:r>
        <w:rPr>
          <w:rFonts w:hint="eastAsia" w:ascii="仿宋" w:hAnsi="仿宋" w:eastAsia="仿宋" w:cs="仿宋"/>
          <w:color w:val="auto"/>
          <w:sz w:val="32"/>
          <w:szCs w:val="32"/>
          <w:highlight w:val="none"/>
          <w:lang w:val="en-US"/>
        </w:rPr>
        <w:t>6.36</w:t>
      </w:r>
      <w:r>
        <w:rPr>
          <w:rFonts w:hint="eastAsia" w:ascii="仿宋" w:hAnsi="仿宋" w:eastAsia="仿宋" w:cs="仿宋"/>
          <w:color w:val="auto"/>
          <w:sz w:val="32"/>
          <w:szCs w:val="32"/>
          <w:highlight w:val="none"/>
        </w:rPr>
        <w:t>万元，其中：</w:t>
      </w:r>
    </w:p>
    <w:p w14:paraId="0444BB1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国内接待费</w:t>
      </w:r>
      <w:r>
        <w:rPr>
          <w:rFonts w:hint="eastAsia" w:ascii="仿宋" w:hAnsi="仿宋" w:eastAsia="仿宋" w:cs="仿宋"/>
          <w:color w:val="auto"/>
          <w:sz w:val="32"/>
          <w:szCs w:val="32"/>
          <w:highlight w:val="none"/>
        </w:rPr>
        <w:t>支出</w:t>
      </w:r>
      <w:r>
        <w:rPr>
          <w:rFonts w:hint="eastAsia" w:ascii="仿宋" w:hAnsi="仿宋" w:eastAsia="仿宋" w:cs="仿宋"/>
          <w:color w:val="auto"/>
          <w:sz w:val="32"/>
          <w:szCs w:val="32"/>
          <w:highlight w:val="none"/>
          <w:lang w:val="en-US"/>
        </w:rPr>
        <w:t>6.36</w:t>
      </w:r>
      <w:r>
        <w:rPr>
          <w:rFonts w:hint="eastAsia" w:ascii="仿宋" w:hAnsi="仿宋" w:eastAsia="仿宋" w:cs="仿宋"/>
          <w:color w:val="auto"/>
          <w:sz w:val="32"/>
          <w:szCs w:val="32"/>
          <w:highlight w:val="none"/>
        </w:rPr>
        <w:t>万元，国内公务接待</w:t>
      </w:r>
      <w:r>
        <w:rPr>
          <w:rFonts w:hint="eastAsia" w:ascii="仿宋" w:hAnsi="仿宋" w:eastAsia="仿宋" w:cs="仿宋"/>
          <w:color w:val="auto"/>
          <w:sz w:val="32"/>
          <w:szCs w:val="32"/>
          <w:highlight w:val="none"/>
          <w:lang w:val="en-US"/>
        </w:rPr>
        <w:t>52</w:t>
      </w:r>
      <w:r>
        <w:rPr>
          <w:rFonts w:hint="eastAsia" w:ascii="仿宋" w:hAnsi="仿宋" w:eastAsia="仿宋" w:cs="仿宋"/>
          <w:color w:val="auto"/>
          <w:sz w:val="32"/>
          <w:szCs w:val="32"/>
          <w:highlight w:val="none"/>
        </w:rPr>
        <w:t>批次，接待</w:t>
      </w:r>
      <w:r>
        <w:rPr>
          <w:rFonts w:hint="eastAsia" w:ascii="仿宋" w:hAnsi="仿宋" w:eastAsia="仿宋" w:cs="仿宋"/>
          <w:color w:val="auto"/>
          <w:sz w:val="32"/>
          <w:szCs w:val="32"/>
          <w:highlight w:val="none"/>
          <w:lang w:val="en-US"/>
        </w:rPr>
        <w:t>398</w:t>
      </w:r>
      <w:r>
        <w:rPr>
          <w:rFonts w:hint="eastAsia" w:ascii="仿宋" w:hAnsi="仿宋" w:eastAsia="仿宋" w:cs="仿宋"/>
          <w:color w:val="auto"/>
          <w:sz w:val="32"/>
          <w:szCs w:val="32"/>
          <w:highlight w:val="none"/>
        </w:rPr>
        <w:t>人次；主要用于单位发生的接待费；承担省委省政府安排的对口接待任务及相关的全国（省）性会议的接待任务；承担上级及省（内）外相关部门项目考察、交流、调研等接待任务；还有冬交会会展、热带特色农业项目投洽外宾。</w:t>
      </w:r>
    </w:p>
    <w:p w14:paraId="4AC126C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国（境）外接待费</w:t>
      </w:r>
      <w:r>
        <w:rPr>
          <w:rFonts w:hint="eastAsia" w:ascii="仿宋" w:hAnsi="仿宋" w:eastAsia="仿宋" w:cs="仿宋"/>
          <w:color w:val="auto"/>
          <w:sz w:val="32"/>
          <w:szCs w:val="32"/>
          <w:highlight w:val="none"/>
        </w:rPr>
        <w:t>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万元，国（境）外公务接待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人次。</w:t>
      </w:r>
    </w:p>
    <w:p w14:paraId="037430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公务接待费支出决算数比预算数减少</w:t>
      </w:r>
      <w:r>
        <w:rPr>
          <w:rFonts w:hint="eastAsia" w:ascii="仿宋" w:hAnsi="仿宋" w:eastAsia="仿宋" w:cs="仿宋"/>
          <w:color w:val="auto"/>
          <w:sz w:val="32"/>
          <w:szCs w:val="32"/>
          <w:highlight w:val="none"/>
          <w:lang w:val="en-US"/>
        </w:rPr>
        <w:t>10.48</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完成预算的</w:t>
      </w:r>
      <w:r>
        <w:rPr>
          <w:rFonts w:hint="eastAsia" w:ascii="仿宋" w:hAnsi="仿宋" w:eastAsia="仿宋" w:cs="仿宋"/>
          <w:color w:val="auto"/>
          <w:sz w:val="32"/>
          <w:szCs w:val="32"/>
          <w:highlight w:val="none"/>
          <w:lang w:val="en-US"/>
        </w:rPr>
        <w:t>37.77%</w:t>
      </w:r>
      <w:r>
        <w:rPr>
          <w:rFonts w:hint="eastAsia" w:ascii="仿宋" w:hAnsi="仿宋" w:eastAsia="仿宋" w:cs="仿宋"/>
          <w:color w:val="auto"/>
          <w:sz w:val="32"/>
          <w:szCs w:val="32"/>
          <w:highlight w:val="none"/>
        </w:rPr>
        <w:t>。与</w:t>
      </w:r>
      <w:r>
        <w:rPr>
          <w:rFonts w:hint="eastAsia" w:ascii="仿宋" w:hAnsi="仿宋" w:eastAsia="仿宋" w:cs="仿宋"/>
          <w:color w:val="auto"/>
          <w:sz w:val="32"/>
          <w:szCs w:val="32"/>
          <w:highlight w:val="none"/>
          <w:lang w:val="en-US"/>
        </w:rPr>
        <w:t>2024</w:t>
      </w:r>
      <w:r>
        <w:rPr>
          <w:rFonts w:hint="eastAsia" w:ascii="仿宋" w:hAnsi="仿宋" w:eastAsia="仿宋" w:cs="仿宋"/>
          <w:color w:val="auto"/>
          <w:sz w:val="32"/>
          <w:szCs w:val="32"/>
          <w:highlight w:val="none"/>
        </w:rPr>
        <w:t>年度相比，</w:t>
      </w:r>
      <w:r>
        <w:rPr>
          <w:rFonts w:hint="eastAsia" w:ascii="仿宋" w:hAnsi="仿宋" w:eastAsia="仿宋" w:cs="仿宋"/>
          <w:bCs/>
          <w:color w:val="auto"/>
          <w:sz w:val="32"/>
          <w:szCs w:val="32"/>
          <w:highlight w:val="none"/>
        </w:rPr>
        <w:t>公务接待费</w:t>
      </w:r>
      <w:r>
        <w:rPr>
          <w:rFonts w:hint="eastAsia" w:ascii="仿宋" w:hAnsi="仿宋" w:eastAsia="仿宋" w:cs="仿宋"/>
          <w:color w:val="auto"/>
          <w:sz w:val="32"/>
          <w:szCs w:val="32"/>
          <w:highlight w:val="none"/>
        </w:rPr>
        <w:t>支出减少</w:t>
      </w:r>
      <w:r>
        <w:rPr>
          <w:rFonts w:hint="eastAsia" w:ascii="仿宋" w:hAnsi="仿宋" w:eastAsia="仿宋" w:cs="仿宋"/>
          <w:color w:val="auto"/>
          <w:sz w:val="32"/>
          <w:szCs w:val="32"/>
          <w:highlight w:val="none"/>
          <w:lang w:val="en-US"/>
        </w:rPr>
        <w:t>1.57</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rPr>
        <w:t>19.80%</w:t>
      </w:r>
      <w:r>
        <w:rPr>
          <w:rFonts w:hint="eastAsia" w:ascii="仿宋" w:hAnsi="仿宋" w:eastAsia="仿宋" w:cs="仿宋"/>
          <w:color w:val="auto"/>
          <w:sz w:val="32"/>
          <w:szCs w:val="32"/>
          <w:highlight w:val="none"/>
        </w:rPr>
        <w:t>，主要原因是落实厉行节约、过紧日子工作要求，严格公务接待审批管理，精简接待活动，压缩接待规模。</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十、预算绩效情况说明</w:t>
      </w:r>
    </w:p>
    <w:p w14:paraId="16F958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（一）绩效管理工作开展情况</w:t>
      </w:r>
    </w:p>
    <w:p w14:paraId="3ED8D3C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根据财政预算绩效管理要求，可按照如下格式说明：根据预算管理要求，我部门（单位）组织对</w:t>
      </w: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年度一般公共预算项目支出全面开展绩效自评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共涉及资金11023.86万元，占一般公共预算项目支出总额的100%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bidi="ar"/>
        </w:rPr>
        <w:t>组织对</w:t>
      </w:r>
      <w:r>
        <w:rPr>
          <w:rFonts w:hint="eastAsia" w:ascii="仿宋" w:hAnsi="仿宋" w:eastAsia="仿宋" w:cs="仿宋"/>
          <w:color w:val="auto"/>
          <w:sz w:val="32"/>
          <w:szCs w:val="32"/>
          <w:highlight w:val="none"/>
          <w:lang w:val="en-US" w:bidi="ar"/>
        </w:rPr>
        <w:t>2025</w:t>
      </w:r>
      <w:r>
        <w:rPr>
          <w:rFonts w:hint="eastAsia" w:ascii="仿宋" w:hAnsi="仿宋" w:eastAsia="仿宋" w:cs="仿宋"/>
          <w:color w:val="auto"/>
          <w:sz w:val="32"/>
          <w:szCs w:val="32"/>
          <w:highlight w:val="none"/>
          <w:lang w:bidi="ar"/>
        </w:rPr>
        <w:t>年度</w:t>
      </w:r>
      <w:r>
        <w:rPr>
          <w:rFonts w:hint="eastAsia" w:ascii="仿宋" w:hAnsi="仿宋" w:eastAsia="仿宋" w:cs="仿宋"/>
          <w:color w:val="auto"/>
          <w:sz w:val="32"/>
          <w:szCs w:val="32"/>
          <w:highlight w:val="none"/>
          <w:lang w:val="en-US" w:bidi="ar"/>
        </w:rPr>
        <w:t>海口动物隔离场建设</w:t>
      </w:r>
      <w:r>
        <w:rPr>
          <w:rFonts w:hint="eastAsia" w:ascii="仿宋" w:hAnsi="仿宋" w:eastAsia="仿宋" w:cs="仿宋"/>
          <w:color w:val="auto"/>
          <w:sz w:val="32"/>
          <w:szCs w:val="32"/>
          <w:highlight w:val="none"/>
          <w:lang w:bidi="ar"/>
        </w:rPr>
        <w:t>等</w:t>
      </w:r>
      <w:r>
        <w:rPr>
          <w:rFonts w:hint="eastAsia" w:ascii="仿宋" w:hAnsi="仿宋" w:eastAsia="仿宋" w:cs="仿宋"/>
          <w:color w:val="auto"/>
          <w:sz w:val="32"/>
          <w:szCs w:val="32"/>
          <w:highlight w:val="none"/>
          <w:lang w:val="en-US" w:eastAsia="zh-CN" w:bidi="ar"/>
        </w:rPr>
        <w:t>1</w:t>
      </w:r>
      <w:r>
        <w:rPr>
          <w:rFonts w:hint="eastAsia" w:ascii="仿宋" w:hAnsi="仿宋" w:eastAsia="仿宋" w:cs="仿宋"/>
          <w:color w:val="auto"/>
          <w:sz w:val="32"/>
          <w:szCs w:val="32"/>
          <w:highlight w:val="none"/>
          <w:lang w:bidi="ar"/>
        </w:rPr>
        <w:t>个政府性基金预算项目开展绩效自评，共涉及资金</w:t>
      </w:r>
      <w:r>
        <w:rPr>
          <w:rFonts w:hint="eastAsia" w:ascii="仿宋" w:hAnsi="仿宋" w:eastAsia="仿宋" w:cs="仿宋"/>
          <w:color w:val="auto"/>
          <w:sz w:val="32"/>
          <w:szCs w:val="32"/>
          <w:highlight w:val="none"/>
          <w:lang w:val="en-US" w:bidi="ar"/>
        </w:rPr>
        <w:t>1,623.00</w:t>
      </w:r>
      <w:r>
        <w:rPr>
          <w:rFonts w:hint="eastAsia" w:ascii="仿宋" w:hAnsi="仿宋" w:eastAsia="仿宋" w:cs="仿宋"/>
          <w:color w:val="auto"/>
          <w:sz w:val="32"/>
          <w:szCs w:val="32"/>
          <w:highlight w:val="none"/>
          <w:lang w:bidi="ar"/>
        </w:rPr>
        <w:t>万元，占政府性基金预算项目支出总额的</w:t>
      </w:r>
      <w:r>
        <w:rPr>
          <w:rFonts w:hint="eastAsia" w:ascii="仿宋" w:hAnsi="仿宋" w:eastAsia="仿宋" w:cs="仿宋"/>
          <w:color w:val="auto"/>
          <w:sz w:val="32"/>
          <w:szCs w:val="32"/>
          <w:highlight w:val="none"/>
          <w:lang w:val="en-US" w:eastAsia="zh-CN" w:bidi="ar"/>
        </w:rPr>
        <w:t>100</w:t>
      </w:r>
      <w:r>
        <w:rPr>
          <w:rFonts w:hint="eastAsia" w:ascii="仿宋" w:hAnsi="仿宋" w:eastAsia="仿宋" w:cs="仿宋"/>
          <w:color w:val="auto"/>
          <w:sz w:val="32"/>
          <w:szCs w:val="32"/>
          <w:highlight w:val="none"/>
          <w:lang w:bidi="ar"/>
        </w:rPr>
        <w:t>%。</w:t>
      </w:r>
      <w:r>
        <w:rPr>
          <w:rFonts w:hint="eastAsia" w:ascii="仿宋" w:hAnsi="仿宋" w:eastAsia="仿宋" w:cs="仿宋"/>
          <w:color w:val="auto"/>
          <w:sz w:val="32"/>
          <w:szCs w:val="32"/>
          <w:highlight w:val="none"/>
          <w:lang w:val="en-US" w:eastAsia="zh-CN" w:bidi="ar"/>
        </w:rPr>
        <w:t>2025年度无</w:t>
      </w:r>
      <w:r>
        <w:rPr>
          <w:rFonts w:hint="eastAsia" w:ascii="仿宋" w:hAnsi="仿宋" w:eastAsia="仿宋" w:cs="仿宋"/>
          <w:color w:val="auto"/>
          <w:sz w:val="32"/>
          <w:szCs w:val="32"/>
          <w:highlight w:val="none"/>
          <w:lang w:bidi="ar"/>
        </w:rPr>
        <w:t>国有资本经营预算项目。</w:t>
      </w:r>
    </w:p>
    <w:p w14:paraId="63E77E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共组织对“</w:t>
      </w:r>
      <w:r>
        <w:rPr>
          <w:rFonts w:hint="eastAsia" w:ascii="仿宋" w:hAnsi="仿宋" w:eastAsia="仿宋" w:cs="仿宋"/>
          <w:color w:val="auto"/>
          <w:sz w:val="32"/>
          <w:szCs w:val="32"/>
          <w:highlight w:val="none"/>
          <w:lang w:val="en-US"/>
        </w:rPr>
        <w:t>促进经济高质量发展</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en-US"/>
        </w:rPr>
        <w:t>农产品质量安全监管专项经费</w:t>
      </w:r>
      <w:r>
        <w:rPr>
          <w:rFonts w:hint="eastAsia" w:ascii="仿宋" w:hAnsi="仿宋" w:eastAsia="仿宋" w:cs="仿宋"/>
          <w:color w:val="auto"/>
          <w:sz w:val="32"/>
          <w:szCs w:val="32"/>
          <w:highlight w:val="none"/>
        </w:rPr>
        <w:t>”等</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个项目开展了部门评价，</w:t>
      </w:r>
      <w:r>
        <w:rPr>
          <w:rFonts w:hint="eastAsia" w:ascii="仿宋" w:hAnsi="仿宋" w:eastAsia="仿宋" w:cs="仿宋"/>
          <w:color w:val="auto"/>
          <w:sz w:val="32"/>
          <w:szCs w:val="32"/>
          <w:highlight w:val="none"/>
          <w:lang w:bidi="ar"/>
        </w:rPr>
        <w:t>涉及一般公共预算支出</w:t>
      </w:r>
      <w:r>
        <w:rPr>
          <w:rFonts w:hint="eastAsia" w:ascii="仿宋" w:hAnsi="仿宋" w:eastAsia="仿宋" w:cs="仿宋"/>
          <w:color w:val="auto"/>
          <w:sz w:val="32"/>
          <w:szCs w:val="32"/>
          <w:highlight w:val="none"/>
          <w:lang w:val="en-US" w:eastAsia="zh-CN" w:bidi="ar"/>
        </w:rPr>
        <w:t>25,456</w:t>
      </w:r>
      <w:r>
        <w:rPr>
          <w:rFonts w:hint="eastAsia" w:ascii="仿宋" w:hAnsi="仿宋" w:eastAsia="仿宋" w:cs="仿宋"/>
          <w:color w:val="auto"/>
          <w:sz w:val="32"/>
          <w:szCs w:val="32"/>
          <w:highlight w:val="none"/>
          <w:lang w:bidi="ar"/>
        </w:rPr>
        <w:t>万元，政府性基金预算支出</w:t>
      </w:r>
      <w:r>
        <w:rPr>
          <w:rFonts w:hint="eastAsia" w:ascii="仿宋" w:hAnsi="仿宋" w:eastAsia="仿宋" w:cs="仿宋"/>
          <w:color w:val="auto"/>
          <w:sz w:val="32"/>
          <w:szCs w:val="32"/>
          <w:highlight w:val="none"/>
          <w:lang w:val="en-US" w:eastAsia="zh-CN" w:bidi="ar"/>
        </w:rPr>
        <w:t>0</w:t>
      </w:r>
      <w:r>
        <w:rPr>
          <w:rFonts w:hint="eastAsia" w:ascii="仿宋" w:hAnsi="仿宋" w:eastAsia="仿宋" w:cs="仿宋"/>
          <w:color w:val="auto"/>
          <w:sz w:val="32"/>
          <w:szCs w:val="32"/>
          <w:highlight w:val="none"/>
          <w:lang w:bidi="ar"/>
        </w:rPr>
        <w:t>万元，国有资本经营预算支出</w:t>
      </w:r>
      <w:r>
        <w:rPr>
          <w:rFonts w:hint="eastAsia" w:ascii="仿宋" w:hAnsi="仿宋" w:eastAsia="仿宋" w:cs="仿宋"/>
          <w:color w:val="auto"/>
          <w:sz w:val="32"/>
          <w:szCs w:val="32"/>
          <w:highlight w:val="none"/>
          <w:lang w:val="en-US" w:eastAsia="zh-CN" w:bidi="ar"/>
        </w:rPr>
        <w:t>0</w:t>
      </w:r>
      <w:r>
        <w:rPr>
          <w:rFonts w:hint="eastAsia" w:ascii="仿宋" w:hAnsi="仿宋" w:eastAsia="仿宋" w:cs="仿宋"/>
          <w:color w:val="auto"/>
          <w:sz w:val="32"/>
          <w:szCs w:val="32"/>
          <w:highlight w:val="none"/>
          <w:lang w:bidi="ar"/>
        </w:rPr>
        <w:t>万元。</w:t>
      </w:r>
      <w:r>
        <w:rPr>
          <w:rFonts w:hint="eastAsia" w:ascii="仿宋" w:hAnsi="仿宋" w:eastAsia="仿宋" w:cs="仿宋"/>
          <w:color w:val="auto"/>
          <w:sz w:val="32"/>
          <w:szCs w:val="32"/>
          <w:highlight w:val="none"/>
        </w:rPr>
        <w:t>从评价情况来看，项目依据充分，目标明确，符合我省农业农村工作发展要求，项目资金到位及时，支出合规合理，项目实现预期目标。</w:t>
      </w:r>
    </w:p>
    <w:p w14:paraId="16FFC1C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（二）部门决算中项目绩效自评结果（预算部门、单位可根据实际情况反映重点项目绩效自评结果）</w:t>
      </w:r>
    </w:p>
    <w:p w14:paraId="01FEFC91">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我部门在部门决算中反映“农产品质量安全监管</w:t>
      </w:r>
      <w:r>
        <w:rPr>
          <w:rFonts w:hint="eastAsia" w:ascii="仿宋_GB2312" w:eastAsia="仿宋_GB2312"/>
          <w:sz w:val="32"/>
          <w:szCs w:val="32"/>
          <w:highlight w:val="none"/>
          <w:lang w:eastAsia="zh-CN"/>
        </w:rPr>
        <w:t>专项经费</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“促进经济高质量发展资金”等</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个项目绩效自评结果（包括项目绩效自评表和项目绩效自评报告）。</w:t>
      </w:r>
    </w:p>
    <w:p w14:paraId="66DDC6A1">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 xml:space="preserve"> 1.</w:t>
      </w:r>
      <w:r>
        <w:rPr>
          <w:rFonts w:hint="eastAsia" w:ascii="仿宋_GB2312" w:eastAsia="仿宋_GB2312"/>
          <w:sz w:val="32"/>
          <w:szCs w:val="32"/>
          <w:highlight w:val="none"/>
        </w:rPr>
        <w:t>“农产品质量安全监管</w:t>
      </w:r>
      <w:r>
        <w:rPr>
          <w:rFonts w:hint="eastAsia" w:ascii="仿宋_GB2312" w:eastAsia="仿宋_GB2312"/>
          <w:sz w:val="32"/>
          <w:szCs w:val="32"/>
          <w:highlight w:val="none"/>
          <w:lang w:eastAsia="zh-CN"/>
        </w:rPr>
        <w:t>专项经费</w:t>
      </w:r>
      <w:r>
        <w:rPr>
          <w:rFonts w:hint="eastAsia" w:ascii="仿宋_GB2312" w:eastAsia="仿宋_GB2312"/>
          <w:sz w:val="32"/>
          <w:szCs w:val="32"/>
          <w:highlight w:val="none"/>
        </w:rPr>
        <w:t>”项目绩效自评表：</w:t>
      </w:r>
    </w:p>
    <w:p w14:paraId="7917E7EB">
      <w:pPr>
        <w:pStyle w:val="2"/>
        <w:ind w:left="0" w:leftChars="0" w:firstLine="0" w:firstLineChars="0"/>
        <w:rPr>
          <w:rFonts w:hint="eastAsia" w:ascii="仿宋_GB2312" w:eastAsia="仿宋_GB2312"/>
          <w:sz w:val="32"/>
          <w:szCs w:val="32"/>
          <w:highlight w:val="none"/>
          <w:lang w:eastAsia="zh-CN"/>
        </w:rPr>
      </w:pPr>
    </w:p>
    <w:p w14:paraId="6DA40CBE">
      <w:pPr>
        <w:rPr>
          <w:rFonts w:hint="eastAsia" w:ascii="仿宋_GB2312" w:eastAsia="仿宋_GB2312"/>
          <w:sz w:val="32"/>
          <w:szCs w:val="32"/>
          <w:highlight w:val="none"/>
        </w:rPr>
      </w:pPr>
      <w:r>
        <w:rPr>
          <w:rFonts w:hint="eastAsia" w:ascii="仿宋_GB2312" w:eastAsia="仿宋_GB2312"/>
          <w:sz w:val="32"/>
          <w:szCs w:val="32"/>
          <w:highlight w:val="none"/>
          <w:lang w:eastAsia="zh-CN"/>
        </w:rPr>
        <w:drawing>
          <wp:inline distT="0" distB="0" distL="114300" distR="114300">
            <wp:extent cx="6034405" cy="3198495"/>
            <wp:effectExtent l="0" t="0" r="4445" b="1905"/>
            <wp:docPr id="2" name="图片 1" descr="178779450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787794502510"/>
                    <pic:cNvPicPr>
                      <a:picLocks noChangeAspect="1"/>
                    </pic:cNvPicPr>
                  </pic:nvPicPr>
                  <pic:blipFill>
                    <a:blip r:embed="rId6"/>
                    <a:stretch>
                      <a:fillRect/>
                    </a:stretch>
                  </pic:blipFill>
                  <pic:spPr>
                    <a:xfrm>
                      <a:off x="0" y="0"/>
                      <a:ext cx="6034405" cy="3198495"/>
                    </a:xfrm>
                    <a:prstGeom prst="rect">
                      <a:avLst/>
                    </a:prstGeom>
                    <a:noFill/>
                    <a:ln>
                      <a:noFill/>
                    </a:ln>
                  </pic:spPr>
                </pic:pic>
              </a:graphicData>
            </a:graphic>
          </wp:inline>
        </w:drawing>
      </w:r>
    </w:p>
    <w:p w14:paraId="1D5714EE">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w:t>
      </w:r>
      <w:r>
        <w:rPr>
          <w:rFonts w:hint="eastAsia" w:ascii="仿宋_GB2312" w:eastAsia="仿宋_GB2312"/>
          <w:sz w:val="32"/>
          <w:szCs w:val="32"/>
          <w:highlight w:val="none"/>
        </w:rPr>
        <w:t>农产品质量安全监管专项经费”项目绩效自评报告：根据年初设定的绩效目标，项目绩效自评得分为</w:t>
      </w:r>
      <w:r>
        <w:rPr>
          <w:rFonts w:hint="eastAsia" w:ascii="仿宋_GB2312" w:eastAsia="仿宋_GB2312"/>
          <w:sz w:val="32"/>
          <w:szCs w:val="32"/>
          <w:highlight w:val="none"/>
          <w:lang w:val="en-US" w:eastAsia="zh-CN"/>
        </w:rPr>
        <w:t>92.1</w:t>
      </w:r>
      <w:r>
        <w:rPr>
          <w:rFonts w:hint="eastAsia" w:ascii="仿宋_GB2312" w:eastAsia="仿宋_GB2312"/>
          <w:sz w:val="32"/>
          <w:szCs w:val="32"/>
          <w:highlight w:val="none"/>
        </w:rPr>
        <w:t>分。全年预算数为</w:t>
      </w:r>
      <w:r>
        <w:rPr>
          <w:rFonts w:hint="eastAsia" w:ascii="仿宋_GB2312" w:eastAsia="仿宋_GB2312"/>
          <w:sz w:val="32"/>
          <w:szCs w:val="32"/>
          <w:highlight w:val="none"/>
          <w:lang w:val="en-US" w:eastAsia="zh-CN"/>
        </w:rPr>
        <w:t>1833</w:t>
      </w:r>
      <w:r>
        <w:rPr>
          <w:rFonts w:hint="eastAsia" w:ascii="仿宋_GB2312" w:eastAsia="仿宋_GB2312"/>
          <w:sz w:val="32"/>
          <w:szCs w:val="32"/>
          <w:highlight w:val="none"/>
        </w:rPr>
        <w:t>万元，执行数为</w:t>
      </w:r>
      <w:r>
        <w:rPr>
          <w:rFonts w:hint="eastAsia" w:ascii="仿宋_GB2312" w:eastAsia="仿宋_GB2312"/>
          <w:sz w:val="32"/>
          <w:szCs w:val="32"/>
          <w:highlight w:val="none"/>
          <w:lang w:val="en-US" w:eastAsia="zh-CN"/>
        </w:rPr>
        <w:t>1728.88</w:t>
      </w:r>
      <w:r>
        <w:rPr>
          <w:rFonts w:hint="eastAsia" w:ascii="仿宋_GB2312" w:eastAsia="仿宋_GB2312"/>
          <w:sz w:val="32"/>
          <w:szCs w:val="32"/>
          <w:highlight w:val="none"/>
        </w:rPr>
        <w:t>万元，完成预算的</w:t>
      </w:r>
      <w:r>
        <w:rPr>
          <w:rFonts w:hint="eastAsia" w:ascii="仿宋_GB2312" w:eastAsia="仿宋_GB2312"/>
          <w:sz w:val="32"/>
          <w:szCs w:val="32"/>
          <w:highlight w:val="none"/>
          <w:lang w:val="en-US" w:eastAsia="zh-CN"/>
        </w:rPr>
        <w:t>94.32</w:t>
      </w:r>
      <w:r>
        <w:rPr>
          <w:rFonts w:hint="eastAsia" w:ascii="仿宋_GB2312" w:eastAsia="仿宋_GB2312"/>
          <w:sz w:val="32"/>
          <w:szCs w:val="32"/>
          <w:highlight w:val="none"/>
        </w:rPr>
        <w:t>%。项目绩效目标完成情况：</w:t>
      </w:r>
      <w:r>
        <w:rPr>
          <w:rFonts w:hint="eastAsia" w:ascii="仿宋_GB2312" w:eastAsia="仿宋_GB2312"/>
          <w:sz w:val="32"/>
          <w:szCs w:val="32"/>
          <w:highlight w:val="none"/>
          <w:lang w:eastAsia="zh-CN"/>
        </w:rPr>
        <w:t>一是</w:t>
      </w:r>
      <w:r>
        <w:rPr>
          <w:rFonts w:hint="eastAsia" w:ascii="仿宋_GB2312" w:eastAsia="仿宋_GB2312"/>
          <w:sz w:val="32"/>
          <w:szCs w:val="32"/>
          <w:highlight w:val="none"/>
        </w:rPr>
        <w:t>开展农产品定量检测8595批次，涉及种植业产品、水产品、畜禽产品三大类141参数，实现我省主要农产品检测品种全覆盖，检测整体合格率为98.42%。</w:t>
      </w:r>
      <w:r>
        <w:rPr>
          <w:rFonts w:hint="eastAsia" w:ascii="仿宋_GB2312" w:eastAsia="仿宋_GB2312"/>
          <w:sz w:val="32"/>
          <w:szCs w:val="32"/>
          <w:highlight w:val="none"/>
          <w:lang w:eastAsia="zh-CN"/>
        </w:rPr>
        <w:t>二是</w:t>
      </w:r>
      <w:r>
        <w:rPr>
          <w:rFonts w:hint="eastAsia" w:ascii="仿宋_GB2312" w:eastAsia="仿宋_GB2312"/>
          <w:sz w:val="32"/>
          <w:szCs w:val="32"/>
          <w:highlight w:val="none"/>
        </w:rPr>
        <w:t>开展豇豆等重点品种半定量检测4.6万余批次，在乐东、陵水、澄迈等市县和新海港豇豆出岛码头共设立4个快速半定量检测点，保障了我省出岛豇豆等品种质量安全。</w:t>
      </w:r>
      <w:r>
        <w:rPr>
          <w:rFonts w:hint="eastAsia" w:ascii="仿宋_GB2312" w:eastAsia="仿宋_GB2312"/>
          <w:sz w:val="32"/>
          <w:szCs w:val="32"/>
          <w:highlight w:val="none"/>
          <w:lang w:eastAsia="zh-CN"/>
        </w:rPr>
        <w:t>三是</w:t>
      </w:r>
      <w:r>
        <w:rPr>
          <w:rFonts w:hint="eastAsia" w:ascii="仿宋_GB2312" w:eastAsia="仿宋_GB2312"/>
          <w:sz w:val="32"/>
          <w:szCs w:val="32"/>
          <w:highlight w:val="none"/>
        </w:rPr>
        <w:t>采购水产品、芒果、香蕉、荔枝胶体金试剂卡（条）6万多批次，同时争取中央资金采购豇豆胶体金试剂卡（条）下发市县，进一步提升基层快速检测能力。</w:t>
      </w:r>
      <w:r>
        <w:rPr>
          <w:rFonts w:hint="eastAsia" w:ascii="仿宋_GB2312" w:eastAsia="仿宋_GB2312"/>
          <w:sz w:val="32"/>
          <w:szCs w:val="32"/>
          <w:highlight w:val="none"/>
          <w:lang w:eastAsia="zh-CN"/>
        </w:rPr>
        <w:t>四是</w:t>
      </w:r>
      <w:r>
        <w:rPr>
          <w:rFonts w:hint="eastAsia" w:ascii="仿宋_GB2312" w:eastAsia="仿宋_GB2312"/>
          <w:sz w:val="32"/>
          <w:szCs w:val="32"/>
          <w:highlight w:val="none"/>
        </w:rPr>
        <w:t>委托中国热带农业科学院分析测试中心分别对芒果开展质量安全风险评估。深入我省芒果主产市县开展187个产品及投入品的采集和检测工作，出具相应检测报告并对芒果产业发展提出专业化建议。</w:t>
      </w:r>
      <w:r>
        <w:rPr>
          <w:rFonts w:hint="eastAsia" w:ascii="仿宋_GB2312" w:eastAsia="仿宋_GB2312"/>
          <w:sz w:val="32"/>
          <w:szCs w:val="32"/>
          <w:highlight w:val="none"/>
          <w:lang w:eastAsia="zh-CN"/>
        </w:rPr>
        <w:t>五是</w:t>
      </w:r>
      <w:r>
        <w:rPr>
          <w:rFonts w:hint="eastAsia" w:ascii="仿宋_GB2312" w:eastAsia="仿宋_GB2312"/>
          <w:sz w:val="32"/>
          <w:szCs w:val="32"/>
          <w:highlight w:val="none"/>
        </w:rPr>
        <w:t>通过开展针对12项热带作物及特色产业地方标准的实施情况评估，结合深入的调研、分析与研判，全面梳理了标准执行过程中存在的问题，并提出了相应的对策建议。此次评估为促进相关产业的持续、健康发展奠定了坚实基础。</w:t>
      </w:r>
    </w:p>
    <w:p w14:paraId="74FA4FE7">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发现的主要问题及原因：“十五五”农产品质量安全提升规划根据省发改委的工作部署要求，修改编制内容为农产品质量安全提升三年行动方案，延迟到2026年完成。下一步改进措施：一是持续做好农产品质量安全监测；二是继续加强重点品种风险监测；三是持续加强检验检测体系建设；四是健全全链条监管体系，确保全流程的监管闭环。</w:t>
      </w:r>
    </w:p>
    <w:p w14:paraId="2AC4A710">
      <w:pPr>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2.“促进经济高质量发展资金”项目绩效自评表：</w:t>
      </w:r>
    </w:p>
    <w:p w14:paraId="3AD03911">
      <w:pPr>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drawing>
          <wp:inline distT="0" distB="0" distL="114300" distR="114300">
            <wp:extent cx="5615305" cy="3458210"/>
            <wp:effectExtent l="0" t="0" r="4445" b="8890"/>
            <wp:docPr id="1" name="图片 2" descr="1787795238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787795238808"/>
                    <pic:cNvPicPr>
                      <a:picLocks noChangeAspect="1"/>
                    </pic:cNvPicPr>
                  </pic:nvPicPr>
                  <pic:blipFill>
                    <a:blip r:embed="rId7"/>
                    <a:stretch>
                      <a:fillRect/>
                    </a:stretch>
                  </pic:blipFill>
                  <pic:spPr>
                    <a:xfrm>
                      <a:off x="0" y="0"/>
                      <a:ext cx="5615305" cy="3458210"/>
                    </a:xfrm>
                    <a:prstGeom prst="rect">
                      <a:avLst/>
                    </a:prstGeom>
                    <a:noFill/>
                    <a:ln>
                      <a:noFill/>
                    </a:ln>
                  </pic:spPr>
                </pic:pic>
              </a:graphicData>
            </a:graphic>
          </wp:inline>
        </w:drawing>
      </w:r>
    </w:p>
    <w:p w14:paraId="498AF9CE">
      <w:pPr>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促进经济高质量发展资金”项目绩效自评报告：根据年初设定的绩效目标，项目绩效自评得分为100分。全年预算数22000万元，2025年兑现支付农业发展奖补资金21998.16万元，支出率为99.99%。项目绩效目标完成情况：一是支持符合种业强国战略的现代提升工程实体项目成果转化，鼓励农业企业加大投入，促进我省热带特色高效农业高质量发展。二是奖补9种高产水稻品种连片种植500亩以上的种植主体，按每亩奖补200元，计划奖补2.5万亩。三是对10家省级热作示范园、优异果蔬展示园、咖啡标准化示范基地进行奖补。四是奖补支持50家以上企业。</w:t>
      </w:r>
    </w:p>
    <w:p w14:paraId="16576C2D">
      <w:pPr>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发现的主要问题及原因：1.《海南省农业发展相关奖补资金管理实施细则》有待修订，目前，《海南省农业发展相关奖补资金管理实施细则》可能未能完全适应《海南省促进经济高质量发展若干财政措施》和《海南省促进经济高质量发展资金管理办法》的最新要求。同时，随着近年来农业发展相关奖补资金的申报审核经验的积累，该实施细则在资金效益发挥方面可能存在一定的不足。因此，有必要对《海南省农业发展相关奖补资金管理实施细则》进行修订，以更好地适应当前农业发展的需要，进一步提高财政资金的使用效益。2.农业企业营业收入上规模和农产品加工业发展项目的奖补资金不足，海南省在农业企业营业收入上规模和农产品加工业发展项目上的奖补资金可能不足以充分激励农业企业加大固定资产投资力度，扩大农产品加工业规模。这可能导致农业企业在发展过程中缺乏足够的资金支持，影响其扩大生产、提升技术水平和市场竞争力的能力。同时，资金不足也可能进一步影响农业企业的发展信心，制约其长期稳定发展。因此，有必要增加这些项目的奖补资金，以更好地支持农业企业的发展。下一步改进措施：1.优化资金管理细则。依据《海南省促进经济高质量发展若干财政措施》及《海南省促进经济高质量发展资金管理办法》的指导原则，结合近年来我省农业发展相关奖补资金的申报与审核实践经验，对《海南省农业发展相关奖补资金管理实施细则》进行深入研究与修订，旨在进一步提升财政资金的使用效率与效益，确保资金能够精准、高效地支持农业发展。2.加大奖补力度，激励农业企业发展。为鼓励农业企业积极扩大生产规模，特别是增加营业收入上规模和农产品加工业发展项目的投入，计划适当提高这些领域的奖补资金额度。此举旨在通过财政激励，引导农业企业加大固定资产投资，进一步拓展农产品加工业的产业链与价值链，从而激发企业的内在发展动力与市场竞争力。</w:t>
      </w:r>
    </w:p>
    <w:p w14:paraId="08AEFB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（三）部门评价结果</w:t>
      </w:r>
    </w:p>
    <w:p w14:paraId="7D55DE3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bidi="ar"/>
        </w:rPr>
        <w:t>2025年，我厅对“促进经济高质量发展</w:t>
      </w:r>
      <w:r>
        <w:rPr>
          <w:rFonts w:hint="eastAsia" w:ascii="仿宋" w:hAnsi="仿宋" w:eastAsia="仿宋" w:cs="仿宋"/>
          <w:color w:val="auto"/>
          <w:kern w:val="0"/>
          <w:sz w:val="32"/>
          <w:szCs w:val="32"/>
          <w:highlight w:val="none"/>
          <w:lang w:eastAsia="zh-CN" w:bidi="ar"/>
        </w:rPr>
        <w:t>”、“</w:t>
      </w:r>
      <w:r>
        <w:rPr>
          <w:rFonts w:hint="eastAsia" w:ascii="仿宋" w:hAnsi="仿宋" w:eastAsia="仿宋" w:cs="仿宋"/>
          <w:color w:val="auto"/>
          <w:kern w:val="0"/>
          <w:sz w:val="32"/>
          <w:szCs w:val="32"/>
          <w:highlight w:val="none"/>
          <w:lang w:bidi="ar"/>
        </w:rPr>
        <w:t>农产品质量安全监管专项经费”等</w:t>
      </w:r>
      <w:r>
        <w:rPr>
          <w:rFonts w:hint="eastAsia" w:ascii="仿宋" w:hAnsi="仿宋" w:eastAsia="仿宋" w:cs="仿宋"/>
          <w:color w:val="auto"/>
          <w:kern w:val="0"/>
          <w:sz w:val="32"/>
          <w:szCs w:val="32"/>
          <w:highlight w:val="none"/>
          <w:lang w:val="en-US" w:eastAsia="zh-CN" w:bidi="ar"/>
        </w:rPr>
        <w:t>3</w:t>
      </w:r>
      <w:r>
        <w:rPr>
          <w:rFonts w:hint="eastAsia" w:ascii="仿宋" w:hAnsi="仿宋" w:eastAsia="仿宋" w:cs="仿宋"/>
          <w:color w:val="auto"/>
          <w:kern w:val="0"/>
          <w:sz w:val="32"/>
          <w:szCs w:val="32"/>
          <w:highlight w:val="none"/>
          <w:lang w:bidi="ar"/>
        </w:rPr>
        <w:t>个项目开展了部门评价，涉及一般公共预算支出</w:t>
      </w:r>
      <w:r>
        <w:rPr>
          <w:rFonts w:hint="eastAsia" w:ascii="仿宋" w:hAnsi="仿宋" w:eastAsia="仿宋" w:cs="仿宋"/>
          <w:color w:val="auto"/>
          <w:kern w:val="0"/>
          <w:sz w:val="32"/>
          <w:szCs w:val="32"/>
          <w:highlight w:val="none"/>
          <w:lang w:val="en-US" w:eastAsia="zh-CN" w:bidi="ar"/>
        </w:rPr>
        <w:t>25,456</w:t>
      </w:r>
      <w:r>
        <w:rPr>
          <w:rFonts w:hint="eastAsia" w:ascii="仿宋" w:hAnsi="仿宋" w:eastAsia="仿宋" w:cs="仿宋"/>
          <w:color w:val="auto"/>
          <w:kern w:val="0"/>
          <w:sz w:val="32"/>
          <w:szCs w:val="32"/>
          <w:highlight w:val="none"/>
          <w:lang w:bidi="ar"/>
        </w:rPr>
        <w:t>万元，政府性基金预算支出0万元，国有资本经营预算支出0万元。从评价情况来看，项目依据充分，目标明确，符合我省农业农村工作发展要求，项目资金到位及时，支出合规合理，项目实现预期目标</w:t>
      </w:r>
      <w:r>
        <w:rPr>
          <w:rFonts w:hint="eastAsia" w:ascii="仿宋" w:hAnsi="仿宋" w:eastAsia="仿宋" w:cs="仿宋"/>
          <w:color w:val="auto"/>
          <w:sz w:val="32"/>
          <w:szCs w:val="32"/>
          <w:highlight w:val="none"/>
        </w:rPr>
        <w:t>。</w:t>
      </w:r>
    </w:p>
    <w:p w14:paraId="52EA42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（四）财政评价结果</w:t>
      </w:r>
    </w:p>
    <w:p w14:paraId="7B0BCD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2025年，财政部门未对我厅项目开展重点绩效评价。</w:t>
      </w:r>
    </w:p>
    <w:p w14:paraId="2488CE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lang w:val="zh-CN"/>
        </w:rPr>
      </w:pPr>
      <w:r>
        <w:rPr>
          <w:rFonts w:hint="eastAsia" w:ascii="黑体" w:hAnsi="黑体" w:eastAsia="黑体" w:cs="黑体"/>
          <w:bCs/>
          <w:color w:val="auto"/>
          <w:sz w:val="32"/>
          <w:szCs w:val="32"/>
          <w:highlight w:val="none"/>
          <w:lang w:val="zh-CN"/>
        </w:rPr>
        <w:t>十一、落实习惯过紧日子要求、保障重点支出情况说明</w:t>
      </w:r>
    </w:p>
    <w:p w14:paraId="4C78F1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按照党中央、国务院关于党政机关习惯过紧日子的有关要求，厉行节约办一切事业，严控一般性支出。同时坚持有保有压，优化支出结构，提高资金使用效率，合理保障</w:t>
      </w:r>
      <w:r>
        <w:rPr>
          <w:rFonts w:hint="eastAsia" w:ascii="仿宋" w:hAnsi="仿宋" w:eastAsia="仿宋" w:cs="仿宋"/>
          <w:color w:val="auto"/>
          <w:sz w:val="32"/>
          <w:szCs w:val="32"/>
          <w:highlight w:val="none"/>
          <w:lang w:val="en-US" w:eastAsia="zh-CN"/>
        </w:rPr>
        <w:t>农林水方面</w:t>
      </w:r>
      <w:r>
        <w:rPr>
          <w:rFonts w:hint="eastAsia" w:ascii="仿宋" w:hAnsi="仿宋" w:eastAsia="仿宋" w:cs="仿宋"/>
          <w:color w:val="auto"/>
          <w:sz w:val="32"/>
          <w:szCs w:val="32"/>
          <w:highlight w:val="none"/>
          <w:lang w:val="zh-CN"/>
        </w:rPr>
        <w:t>等重点支出，体现在有关支出科目中。</w:t>
      </w:r>
    </w:p>
    <w:p w14:paraId="477AA9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b/>
          <w:bCs/>
          <w:color w:val="auto"/>
          <w:sz w:val="32"/>
          <w:szCs w:val="32"/>
          <w:highlight w:val="none"/>
          <w:lang w:val="zh-CN"/>
        </w:rPr>
      </w:pPr>
      <w:r>
        <w:rPr>
          <w:rFonts w:hint="eastAsia" w:ascii="仿宋" w:hAnsi="仿宋" w:eastAsia="仿宋" w:cs="仿宋"/>
          <w:color w:val="auto"/>
          <w:sz w:val="32"/>
          <w:szCs w:val="32"/>
          <w:highlight w:val="none"/>
          <w:lang w:val="zh-CN"/>
        </w:rPr>
        <w:t>按照支出功能分类，农林水方面的支出规模较大，2025年度决算数为100,307.16万元，占本年支出合计的84.02%，主要用于高标准农田建设、种业振兴、热带特色高效农业产业发展、乡村振兴衔接、动物疫病防控、农业防灾减灾等方面。</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十</w:t>
      </w:r>
      <w:r>
        <w:rPr>
          <w:rFonts w:hint="eastAsia" w:ascii="黑体" w:hAnsi="黑体" w:eastAsia="黑体" w:cs="黑体"/>
          <w:bCs/>
          <w:color w:val="auto"/>
          <w:sz w:val="32"/>
          <w:szCs w:val="32"/>
          <w:highlight w:val="none"/>
          <w:lang w:val="en-US" w:eastAsia="zh-CN"/>
        </w:rPr>
        <w:t>二</w:t>
      </w:r>
      <w:r>
        <w:rPr>
          <w:rFonts w:hint="eastAsia" w:ascii="黑体" w:hAnsi="黑体" w:eastAsia="黑体" w:cs="黑体"/>
          <w:bCs/>
          <w:color w:val="auto"/>
          <w:sz w:val="32"/>
          <w:szCs w:val="32"/>
          <w:highlight w:val="none"/>
        </w:rPr>
        <w:t>、其他重要事项情况说明</w:t>
      </w:r>
    </w:p>
    <w:p w14:paraId="42D67D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bookmarkStart w:id="94" w:name="_Toc18325_WPSOffice_Level2"/>
      <w:bookmarkStart w:id="95" w:name="_Toc15565_WPSOffice_Level2"/>
      <w:bookmarkStart w:id="96" w:name="_Toc23598_WPSOffice_Level2"/>
      <w:bookmarkStart w:id="97" w:name="_Toc15262_WPSOffice_Level2"/>
      <w:bookmarkStart w:id="98" w:name="_Toc32639_WPSOffice_Level2"/>
      <w:bookmarkStart w:id="99" w:name="_Toc5978_WPSOffice_Level2"/>
      <w:r>
        <w:rPr>
          <w:rFonts w:hint="eastAsia" w:ascii="楷体" w:hAnsi="楷体" w:eastAsia="楷体" w:cs="楷体"/>
          <w:bCs/>
          <w:color w:val="auto"/>
          <w:sz w:val="32"/>
          <w:szCs w:val="32"/>
          <w:highlight w:val="none"/>
        </w:rPr>
        <w:t>（一）机关运行经费支出情况</w:t>
      </w:r>
      <w:bookmarkEnd w:id="94"/>
      <w:bookmarkEnd w:id="95"/>
      <w:bookmarkEnd w:id="96"/>
      <w:bookmarkEnd w:id="97"/>
      <w:bookmarkEnd w:id="98"/>
      <w:bookmarkEnd w:id="99"/>
    </w:p>
    <w:p w14:paraId="6EB41E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lang w:eastAsia="zh-CN" w:bidi="ar"/>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w:t>
      </w:r>
      <w:r>
        <w:rPr>
          <w:rFonts w:hint="eastAsia" w:ascii="仿宋" w:hAnsi="仿宋" w:eastAsia="仿宋" w:cs="仿宋"/>
          <w:color w:val="auto"/>
          <w:sz w:val="32"/>
          <w:szCs w:val="32"/>
          <w:highlight w:val="none"/>
          <w:lang w:val="en-US"/>
        </w:rPr>
        <w:t>海南省农业农村厅</w:t>
      </w:r>
      <w:r>
        <w:rPr>
          <w:rFonts w:hint="eastAsia" w:ascii="仿宋" w:hAnsi="仿宋" w:eastAsia="仿宋" w:cs="仿宋"/>
          <w:color w:val="auto"/>
          <w:sz w:val="32"/>
          <w:szCs w:val="32"/>
          <w:highlight w:val="none"/>
        </w:rPr>
        <w:t>部门（单位）机关运行经费</w:t>
      </w:r>
      <w:r>
        <w:rPr>
          <w:rFonts w:hint="eastAsia" w:ascii="仿宋" w:hAnsi="仿宋" w:eastAsia="仿宋" w:cs="仿宋"/>
          <w:color w:val="auto"/>
          <w:sz w:val="32"/>
          <w:szCs w:val="32"/>
          <w:highlight w:val="none"/>
          <w:lang w:val="en-US"/>
        </w:rPr>
        <w:t>757.37</w:t>
      </w:r>
      <w:r>
        <w:rPr>
          <w:rFonts w:hint="eastAsia" w:ascii="仿宋" w:hAnsi="仿宋" w:eastAsia="仿宋" w:cs="仿宋"/>
          <w:color w:val="auto"/>
          <w:sz w:val="32"/>
          <w:szCs w:val="32"/>
          <w:highlight w:val="none"/>
        </w:rPr>
        <w:t>万元（为部门决算中行政单位和参公事业单位财政拨款基本支出中公用经费支出之和，事业单位没有机关运行经费支出），比年初预算减少</w:t>
      </w:r>
      <w:r>
        <w:rPr>
          <w:rFonts w:hint="eastAsia" w:ascii="仿宋" w:hAnsi="仿宋" w:eastAsia="仿宋" w:cs="仿宋"/>
          <w:color w:val="auto"/>
          <w:sz w:val="32"/>
          <w:szCs w:val="32"/>
          <w:highlight w:val="none"/>
          <w:lang w:val="en-US"/>
        </w:rPr>
        <w:t>423.74</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完成预算的</w:t>
      </w:r>
      <w:r>
        <w:rPr>
          <w:rFonts w:hint="eastAsia" w:ascii="仿宋" w:hAnsi="仿宋" w:eastAsia="仿宋" w:cs="仿宋"/>
          <w:color w:val="auto"/>
          <w:sz w:val="32"/>
          <w:szCs w:val="32"/>
          <w:highlight w:val="none"/>
          <w:lang w:val="en-US"/>
        </w:rPr>
        <w:t>64.12%</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与2024年度相比，机关运行经费</w:t>
      </w:r>
      <w:r>
        <w:rPr>
          <w:rFonts w:hint="eastAsia" w:ascii="仿宋" w:hAnsi="仿宋" w:eastAsia="仿宋" w:cs="仿宋"/>
          <w:color w:val="auto"/>
          <w:sz w:val="32"/>
          <w:szCs w:val="32"/>
          <w:highlight w:val="none"/>
        </w:rPr>
        <w:t>减少</w:t>
      </w:r>
      <w:r>
        <w:rPr>
          <w:rFonts w:hint="eastAsia" w:ascii="仿宋" w:hAnsi="仿宋" w:eastAsia="仿宋" w:cs="仿宋"/>
          <w:color w:val="auto"/>
          <w:sz w:val="32"/>
          <w:szCs w:val="32"/>
          <w:highlight w:val="none"/>
          <w:lang w:val="en-US"/>
        </w:rPr>
        <w:t>433.15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下降36.38%。</w:t>
      </w:r>
      <w:r>
        <w:rPr>
          <w:rFonts w:hint="eastAsia" w:ascii="仿宋" w:hAnsi="仿宋" w:eastAsia="仿宋" w:cs="仿宋"/>
          <w:color w:val="auto"/>
          <w:sz w:val="32"/>
          <w:szCs w:val="32"/>
          <w:highlight w:val="none"/>
        </w:rPr>
        <w:t>主要原因是：</w:t>
      </w:r>
      <w:bookmarkStart w:id="100" w:name="_Toc3131_WPSOffice_Level2"/>
      <w:bookmarkStart w:id="101" w:name="_Toc13084_WPSOffice_Level2"/>
      <w:bookmarkStart w:id="102" w:name="_Toc32689_WPSOffice_Level2"/>
      <w:bookmarkStart w:id="103" w:name="_Toc23966_WPSOffice_Level2"/>
      <w:bookmarkStart w:id="104" w:name="_Toc25333_WPSOffice_Level2"/>
      <w:bookmarkStart w:id="105" w:name="_Toc30383_WPSOffice_Level2"/>
      <w:r>
        <w:rPr>
          <w:rFonts w:hint="eastAsia" w:ascii="仿宋" w:hAnsi="仿宋" w:eastAsia="仿宋" w:cs="仿宋"/>
          <w:color w:val="auto"/>
          <w:sz w:val="32"/>
          <w:szCs w:val="32"/>
          <w:highlight w:val="none"/>
          <w:lang w:bidi="ar"/>
        </w:rPr>
        <w:t>主要原因是根据党中央、国务院关于党政机关习惯过紧日子</w:t>
      </w:r>
      <w:r>
        <w:rPr>
          <w:rFonts w:hint="eastAsia" w:ascii="仿宋" w:hAnsi="仿宋" w:eastAsia="仿宋" w:cs="仿宋"/>
          <w:color w:val="auto"/>
          <w:sz w:val="32"/>
          <w:szCs w:val="32"/>
          <w:highlight w:val="none"/>
          <w:lang w:eastAsia="zh-CN" w:bidi="ar"/>
        </w:rPr>
        <w:t>的要求，</w:t>
      </w:r>
      <w:r>
        <w:rPr>
          <w:rFonts w:hint="eastAsia" w:ascii="仿宋" w:hAnsi="仿宋" w:eastAsia="仿宋" w:cs="仿宋"/>
          <w:color w:val="auto"/>
          <w:sz w:val="32"/>
          <w:szCs w:val="32"/>
          <w:highlight w:val="none"/>
          <w:lang w:bidi="ar"/>
        </w:rPr>
        <w:t>压减一般性支出，严控培训、会议等费用</w:t>
      </w:r>
      <w:r>
        <w:rPr>
          <w:rFonts w:hint="eastAsia" w:ascii="仿宋" w:hAnsi="仿宋" w:eastAsia="仿宋" w:cs="仿宋"/>
          <w:color w:val="auto"/>
          <w:sz w:val="32"/>
          <w:szCs w:val="32"/>
          <w:highlight w:val="none"/>
          <w:lang w:eastAsia="zh-CN" w:bidi="ar"/>
        </w:rPr>
        <w:t>。</w:t>
      </w:r>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（二）政府采购支出情况</w:t>
      </w:r>
      <w:bookmarkEnd w:id="100"/>
      <w:bookmarkEnd w:id="101"/>
      <w:bookmarkEnd w:id="102"/>
      <w:bookmarkEnd w:id="103"/>
      <w:bookmarkEnd w:id="104"/>
      <w:bookmarkEnd w:id="105"/>
    </w:p>
    <w:p w14:paraId="25335D4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rPr>
        <w:t>2025</w:t>
      </w:r>
      <w:r>
        <w:rPr>
          <w:rFonts w:hint="eastAsia" w:ascii="仿宋" w:hAnsi="仿宋" w:eastAsia="仿宋" w:cs="仿宋"/>
          <w:color w:val="auto"/>
          <w:sz w:val="32"/>
          <w:szCs w:val="32"/>
          <w:highlight w:val="none"/>
        </w:rPr>
        <w:t>年度</w:t>
      </w:r>
      <w:r>
        <w:rPr>
          <w:rFonts w:hint="eastAsia" w:ascii="仿宋" w:hAnsi="仿宋" w:eastAsia="仿宋" w:cs="仿宋"/>
          <w:color w:val="auto"/>
          <w:sz w:val="32"/>
          <w:szCs w:val="32"/>
          <w:highlight w:val="none"/>
          <w:lang w:val="en-US"/>
        </w:rPr>
        <w:t>海南省农业农村厅</w:t>
      </w:r>
      <w:r>
        <w:rPr>
          <w:rFonts w:hint="eastAsia" w:ascii="仿宋" w:hAnsi="仿宋" w:eastAsia="仿宋" w:cs="仿宋"/>
          <w:color w:val="auto"/>
          <w:sz w:val="32"/>
          <w:szCs w:val="32"/>
          <w:highlight w:val="none"/>
        </w:rPr>
        <w:t>部门（单位）政府采购支出总额</w:t>
      </w:r>
      <w:r>
        <w:rPr>
          <w:rFonts w:hint="eastAsia" w:ascii="仿宋" w:hAnsi="仿宋" w:eastAsia="仿宋" w:cs="仿宋"/>
          <w:color w:val="auto"/>
          <w:sz w:val="32"/>
          <w:szCs w:val="32"/>
          <w:highlight w:val="none"/>
          <w:lang w:val="en-US"/>
        </w:rPr>
        <w:t>12,364.56</w:t>
      </w:r>
      <w:r>
        <w:rPr>
          <w:rFonts w:hint="eastAsia" w:ascii="仿宋" w:hAnsi="仿宋" w:eastAsia="仿宋" w:cs="仿宋"/>
          <w:color w:val="auto"/>
          <w:sz w:val="32"/>
          <w:szCs w:val="32"/>
          <w:highlight w:val="none"/>
        </w:rPr>
        <w:t>万元，其中：政府采购货物支出</w:t>
      </w:r>
      <w:r>
        <w:rPr>
          <w:rFonts w:hint="eastAsia" w:ascii="仿宋" w:hAnsi="仿宋" w:eastAsia="仿宋" w:cs="仿宋"/>
          <w:color w:val="auto"/>
          <w:sz w:val="32"/>
          <w:szCs w:val="32"/>
          <w:highlight w:val="none"/>
          <w:lang w:val="en-US"/>
        </w:rPr>
        <w:t>3,974.07</w:t>
      </w:r>
      <w:r>
        <w:rPr>
          <w:rFonts w:hint="eastAsia" w:ascii="仿宋" w:hAnsi="仿宋" w:eastAsia="仿宋" w:cs="仿宋"/>
          <w:color w:val="auto"/>
          <w:sz w:val="32"/>
          <w:szCs w:val="32"/>
          <w:highlight w:val="none"/>
        </w:rPr>
        <w:t>万元、政府采购工程支出</w:t>
      </w:r>
      <w:r>
        <w:rPr>
          <w:rFonts w:hint="eastAsia" w:ascii="仿宋" w:hAnsi="仿宋" w:eastAsia="仿宋" w:cs="仿宋"/>
          <w:color w:val="auto"/>
          <w:sz w:val="32"/>
          <w:szCs w:val="32"/>
          <w:highlight w:val="none"/>
          <w:lang w:val="en-US"/>
        </w:rPr>
        <w:t>205.07</w:t>
      </w:r>
      <w:r>
        <w:rPr>
          <w:rFonts w:hint="eastAsia" w:ascii="仿宋" w:hAnsi="仿宋" w:eastAsia="仿宋" w:cs="仿宋"/>
          <w:color w:val="auto"/>
          <w:sz w:val="32"/>
          <w:szCs w:val="32"/>
          <w:highlight w:val="none"/>
        </w:rPr>
        <w:t>万元、政府采购服务支出</w:t>
      </w:r>
      <w:r>
        <w:rPr>
          <w:rFonts w:hint="eastAsia" w:ascii="仿宋" w:hAnsi="仿宋" w:eastAsia="仿宋" w:cs="仿宋"/>
          <w:color w:val="auto"/>
          <w:sz w:val="32"/>
          <w:szCs w:val="32"/>
          <w:highlight w:val="none"/>
          <w:lang w:val="en-US"/>
        </w:rPr>
        <w:t>8,185.42</w:t>
      </w:r>
      <w:r>
        <w:rPr>
          <w:rFonts w:hint="eastAsia" w:ascii="仿宋" w:hAnsi="仿宋" w:eastAsia="仿宋" w:cs="仿宋"/>
          <w:color w:val="auto"/>
          <w:sz w:val="32"/>
          <w:szCs w:val="32"/>
          <w:highlight w:val="none"/>
        </w:rPr>
        <w:t>万元。授予中小企业合同金额</w:t>
      </w:r>
      <w:r>
        <w:rPr>
          <w:rFonts w:hint="eastAsia" w:ascii="仿宋" w:hAnsi="仿宋" w:eastAsia="仿宋" w:cs="仿宋"/>
          <w:color w:val="auto"/>
          <w:sz w:val="32"/>
          <w:szCs w:val="32"/>
          <w:highlight w:val="none"/>
          <w:lang w:val="en-US"/>
        </w:rPr>
        <w:t>7,398.75</w:t>
      </w:r>
      <w:r>
        <w:rPr>
          <w:rFonts w:hint="eastAsia" w:ascii="仿宋" w:hAnsi="仿宋" w:eastAsia="仿宋" w:cs="仿宋"/>
          <w:color w:val="auto"/>
          <w:sz w:val="32"/>
          <w:szCs w:val="32"/>
          <w:highlight w:val="none"/>
        </w:rPr>
        <w:t>万元，占政府采购支出总额的</w:t>
      </w:r>
      <w:r>
        <w:rPr>
          <w:rFonts w:hint="eastAsia" w:ascii="仿宋" w:hAnsi="仿宋" w:eastAsia="仿宋" w:cs="仿宋"/>
          <w:color w:val="auto"/>
          <w:sz w:val="32"/>
          <w:szCs w:val="32"/>
          <w:highlight w:val="none"/>
          <w:lang w:val="en-US"/>
        </w:rPr>
        <w:t>59.84%</w:t>
      </w:r>
      <w:r>
        <w:rPr>
          <w:rFonts w:hint="eastAsia" w:ascii="仿宋" w:hAnsi="仿宋" w:eastAsia="仿宋" w:cs="仿宋"/>
          <w:color w:val="auto"/>
          <w:sz w:val="32"/>
          <w:szCs w:val="32"/>
          <w:highlight w:val="none"/>
        </w:rPr>
        <w:t>，其中：授予小微企业合同金额</w:t>
      </w:r>
      <w:r>
        <w:rPr>
          <w:rFonts w:hint="eastAsia" w:ascii="仿宋" w:hAnsi="仿宋" w:eastAsia="仿宋" w:cs="仿宋"/>
          <w:color w:val="auto"/>
          <w:sz w:val="32"/>
          <w:szCs w:val="32"/>
          <w:highlight w:val="none"/>
          <w:lang w:val="en-US"/>
        </w:rPr>
        <w:t>3,093.96</w:t>
      </w:r>
      <w:r>
        <w:rPr>
          <w:rFonts w:hint="eastAsia" w:ascii="仿宋" w:hAnsi="仿宋" w:eastAsia="仿宋" w:cs="仿宋"/>
          <w:color w:val="auto"/>
          <w:sz w:val="32"/>
          <w:szCs w:val="32"/>
          <w:highlight w:val="none"/>
        </w:rPr>
        <w:t>万元，占</w:t>
      </w:r>
      <w:r>
        <w:rPr>
          <w:rFonts w:hint="eastAsia" w:ascii="仿宋" w:hAnsi="仿宋" w:eastAsia="仿宋" w:cs="仿宋"/>
          <w:color w:val="auto"/>
          <w:kern w:val="0"/>
          <w:sz w:val="32"/>
          <w:szCs w:val="32"/>
          <w:highlight w:val="none"/>
          <w:lang w:bidi="ar"/>
        </w:rPr>
        <w:t>授予中小企业合同金额</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val="en-US"/>
        </w:rPr>
        <w:t>41.82%</w:t>
      </w:r>
      <w:r>
        <w:rPr>
          <w:rFonts w:hint="eastAsia" w:ascii="仿宋" w:hAnsi="仿宋" w:eastAsia="仿宋" w:cs="仿宋"/>
          <w:color w:val="auto"/>
          <w:sz w:val="32"/>
          <w:szCs w:val="32"/>
          <w:highlight w:val="none"/>
        </w:rPr>
        <w:t>。</w:t>
      </w:r>
    </w:p>
    <w:p w14:paraId="3061DC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highlight w:val="none"/>
        </w:rPr>
      </w:pPr>
      <w:bookmarkStart w:id="106" w:name="_Toc19989_WPSOffice_Level2"/>
      <w:bookmarkStart w:id="107" w:name="_Toc29584_WPSOffice_Level2"/>
      <w:bookmarkStart w:id="108" w:name="_Toc15129_WPSOffice_Level2"/>
      <w:bookmarkStart w:id="109" w:name="_Toc10902_WPSOffice_Level2"/>
      <w:bookmarkStart w:id="110" w:name="_Toc6016_WPSOffice_Level2"/>
      <w:bookmarkStart w:id="111" w:name="_Toc527_WPSOffice_Level2"/>
      <w:r>
        <w:rPr>
          <w:rFonts w:hint="eastAsia" w:ascii="楷体" w:hAnsi="楷体" w:eastAsia="楷体" w:cs="楷体"/>
          <w:bCs/>
          <w:color w:val="auto"/>
          <w:sz w:val="32"/>
          <w:szCs w:val="32"/>
          <w:highlight w:val="none"/>
        </w:rPr>
        <w:t>（三）国有资产占用情况</w:t>
      </w:r>
      <w:bookmarkEnd w:id="106"/>
      <w:bookmarkEnd w:id="107"/>
      <w:bookmarkEnd w:id="108"/>
      <w:bookmarkEnd w:id="109"/>
      <w:bookmarkEnd w:id="110"/>
      <w:bookmarkEnd w:id="111"/>
    </w:p>
    <w:p w14:paraId="4FC4FE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截至</w:t>
      </w:r>
      <w:r>
        <w:rPr>
          <w:rFonts w:hint="eastAsia" w:ascii="仿宋" w:hAnsi="仿宋" w:eastAsia="仿宋" w:cs="仿宋"/>
          <w:bCs/>
          <w:color w:val="auto"/>
          <w:sz w:val="32"/>
          <w:szCs w:val="32"/>
          <w:highlight w:val="none"/>
          <w:lang w:val="en-US"/>
        </w:rPr>
        <w:t>2025</w:t>
      </w:r>
      <w:r>
        <w:rPr>
          <w:rFonts w:hint="eastAsia" w:ascii="仿宋" w:hAnsi="仿宋" w:eastAsia="仿宋" w:cs="仿宋"/>
          <w:bCs/>
          <w:color w:val="auto"/>
          <w:sz w:val="32"/>
          <w:szCs w:val="32"/>
          <w:highlight w:val="none"/>
        </w:rPr>
        <w:t>年12月31日，本部门拥有</w:t>
      </w:r>
      <w:r>
        <w:rPr>
          <w:rFonts w:hint="eastAsia" w:ascii="仿宋" w:hAnsi="仿宋" w:eastAsia="仿宋" w:cs="仿宋"/>
          <w:color w:val="auto"/>
          <w:sz w:val="32"/>
          <w:szCs w:val="32"/>
          <w:highlight w:val="none"/>
        </w:rPr>
        <w:t>房屋面积</w:t>
      </w:r>
      <w:r>
        <w:rPr>
          <w:rFonts w:hint="eastAsia" w:ascii="仿宋" w:hAnsi="仿宋" w:eastAsia="仿宋" w:cs="仿宋"/>
          <w:color w:val="auto"/>
          <w:sz w:val="32"/>
          <w:szCs w:val="32"/>
          <w:highlight w:val="none"/>
          <w:lang w:val="en-US"/>
        </w:rPr>
        <w:t>14211.09</w:t>
      </w:r>
      <w:r>
        <w:rPr>
          <w:rFonts w:hint="eastAsia" w:ascii="仿宋" w:hAnsi="仿宋" w:eastAsia="仿宋" w:cs="仿宋"/>
          <w:color w:val="auto"/>
          <w:sz w:val="32"/>
          <w:szCs w:val="32"/>
          <w:highlight w:val="none"/>
        </w:rPr>
        <w:t>平方米</w:t>
      </w:r>
      <w:r>
        <w:rPr>
          <w:rFonts w:hint="eastAsia" w:ascii="仿宋" w:hAnsi="仿宋" w:eastAsia="仿宋" w:cs="仿宋"/>
          <w:color w:val="auto"/>
          <w:sz w:val="32"/>
          <w:szCs w:val="32"/>
          <w:highlight w:val="none"/>
          <w:lang w:eastAsia="zh-CN"/>
        </w:rPr>
        <w:t>。</w:t>
      </w:r>
    </w:p>
    <w:p w14:paraId="1E9C75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本部门共有车辆</w:t>
      </w:r>
      <w:r>
        <w:rPr>
          <w:rFonts w:hint="eastAsia" w:ascii="仿宋" w:hAnsi="仿宋" w:eastAsia="仿宋" w:cs="仿宋"/>
          <w:color w:val="auto"/>
          <w:sz w:val="32"/>
          <w:szCs w:val="32"/>
          <w:highlight w:val="none"/>
          <w:lang w:val="en-US"/>
        </w:rPr>
        <w:t>43</w:t>
      </w:r>
      <w:r>
        <w:rPr>
          <w:rFonts w:hint="eastAsia" w:ascii="仿宋" w:hAnsi="仿宋" w:eastAsia="仿宋" w:cs="仿宋"/>
          <w:color w:val="auto"/>
          <w:sz w:val="32"/>
          <w:szCs w:val="32"/>
          <w:highlight w:val="none"/>
        </w:rPr>
        <w:t>辆，其中，副部（省）级及以上领导用车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辆、主要负责人用车</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辆、执法执勤用车</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辆、特种专业技术用车</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辆、离退休干部服务用车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27</w:t>
      </w:r>
      <w:r>
        <w:rPr>
          <w:rFonts w:hint="eastAsia" w:ascii="仿宋" w:hAnsi="仿宋" w:eastAsia="仿宋" w:cs="仿宋"/>
          <w:color w:val="auto"/>
          <w:sz w:val="32"/>
          <w:szCs w:val="32"/>
          <w:highlight w:val="none"/>
        </w:rPr>
        <w:t>辆，其他用车主要是用于一般工作业务用车。</w:t>
      </w:r>
      <w:r>
        <w:rPr>
          <w:rFonts w:hint="eastAsia" w:ascii="仿宋" w:hAnsi="仿宋" w:eastAsia="仿宋" w:cs="仿宋"/>
          <w:color w:val="auto"/>
          <w:sz w:val="32"/>
          <w:szCs w:val="32"/>
          <w:highlight w:val="none"/>
          <w:lang w:val="en-US" w:eastAsia="zh-CN"/>
        </w:rPr>
        <w:t xml:space="preserve">     </w:t>
      </w:r>
    </w:p>
    <w:p w14:paraId="378F916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单价100万元（含）以上设备（不含车辆）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14:paraId="20F5AB17">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center"/>
        <w:textAlignment w:val="auto"/>
        <w:rPr>
          <w:rFonts w:hint="eastAsia" w:ascii="黑体" w:hAnsi="ˎ̥" w:eastAsia="黑体"/>
          <w:color w:val="auto"/>
          <w:sz w:val="32"/>
          <w:szCs w:val="32"/>
          <w:highlight w:val="none"/>
        </w:rPr>
      </w:pPr>
      <w:bookmarkStart w:id="112" w:name="_Toc8874_WPSOffice_Level1"/>
      <w:bookmarkStart w:id="113" w:name="_Toc15425_WPSOffice_Level1"/>
      <w:bookmarkStart w:id="114" w:name="_Toc11039_WPSOffice_Level1"/>
      <w:bookmarkStart w:id="115" w:name="_Toc4398_WPSOffice_Level1"/>
      <w:bookmarkStart w:id="116" w:name="_Toc8808_WPSOffice_Level1"/>
      <w:bookmarkStart w:id="117" w:name="_Toc17580_WPSOffice_Level1"/>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r>
        <w:rPr>
          <w:rFonts w:hint="eastAsia" w:ascii="黑体" w:hAnsi="ˎ̥" w:eastAsia="黑体"/>
          <w:color w:val="auto"/>
          <w:sz w:val="32"/>
          <w:szCs w:val="32"/>
          <w:highlight w:val="none"/>
        </w:rPr>
        <w:t>第四部分  名词解释</w:t>
      </w:r>
      <w:bookmarkEnd w:id="112"/>
      <w:bookmarkEnd w:id="113"/>
      <w:bookmarkEnd w:id="114"/>
      <w:bookmarkEnd w:id="115"/>
      <w:bookmarkEnd w:id="116"/>
      <w:bookmarkEnd w:id="117"/>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highlight w:val="none"/>
        </w:rPr>
      </w:pPr>
    </w:p>
    <w:p w14:paraId="7197CEF9">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财政拨款收入：指同级政府财政部门当年拨付的各类财政拨款。</w:t>
      </w:r>
    </w:p>
    <w:p w14:paraId="7DA2B54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二、上级补助收入：指事业单位从主管部门和上级单位取得的非财政补助收入。</w:t>
      </w:r>
    </w:p>
    <w:p w14:paraId="2A93201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三、事业收入：指事业单位开展专业业务活动及辅助活动取得的收入。</w:t>
      </w:r>
    </w:p>
    <w:p w14:paraId="07958E2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四、经营收入：指事业单位在专业业务活动及其辅助活动之外开展非独立核算经营活动取得的收入。</w:t>
      </w:r>
    </w:p>
    <w:p w14:paraId="2092876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五、附属单位上缴收入：指事业单位取得附属独立核算单位根据有关规定上缴的收入。</w:t>
      </w:r>
    </w:p>
    <w:p w14:paraId="2323CEA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六、其他收入：指除上述“财政拨款收入”“事业收入”“上级补助收入”“经营收入”“附属单位上缴收入”等以外的收入。</w:t>
      </w:r>
    </w:p>
    <w:p w14:paraId="4062D03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七、使用非财政拨款结余（含专用结余）：指事业单位在当年的“财政拨款收入”“事业收入”“经营收入”“其他收入”等不足以安排当年支出的情况下，使用非同级财政拨款结余资金弥补本年度收支缺口。</w:t>
      </w:r>
    </w:p>
    <w:p w14:paraId="64AEE7C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八、年初结转和结余：指以前年度尚未完成、结转到本年按有关规定继续使用的资金，或项目已完成等产生的结余资金。</w:t>
      </w:r>
    </w:p>
    <w:p w14:paraId="24D18E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九、结余分配：指事业单位缴纳企业所得税以及从非财政拨款结余或经营结余中提取各类结余的情况。</w:t>
      </w:r>
    </w:p>
    <w:p w14:paraId="5625F0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十、年末结转和结余：指本年度或以前年度预算安排、因客观条件发生变化无法按原计划实施，需要延迟到以后年度按有关规定继续使用的资金（不包括事业单位非财政拨款结余和专用结余）。</w:t>
      </w:r>
    </w:p>
    <w:p w14:paraId="66457CB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十一、基本支出：指为保障机构正常运转、完成日常工作任务而发生的人员支出和公用支出。</w:t>
      </w:r>
    </w:p>
    <w:p w14:paraId="29DCB54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十二、项目支出：指在基本支出之外为完成特定行政任务和事业发展目标所发生的支出。</w:t>
      </w:r>
    </w:p>
    <w:p w14:paraId="2BF293A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十三、经营支出：指事业单位在专业业务活动及其辅助活动之外开展非独立核算经营活动发生的支出。</w:t>
      </w:r>
    </w:p>
    <w:p w14:paraId="4BFE062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十四、“三公”经费：纳入本级财政预决算管理的“三公”经费，是指用一般公共预算财政拨款、政府性基金预算财政拨款及国有资本经营预算财政拨款安排的因公出国（境）费</w:t>
      </w:r>
      <w:r>
        <w:rPr>
          <w:rFonts w:hint="eastAsia" w:ascii="仿宋" w:hAnsi="仿宋" w:eastAsia="仿宋" w:cs="仿宋"/>
          <w:color w:val="auto"/>
          <w:sz w:val="32"/>
          <w:szCs w:val="32"/>
          <w:highlight w:val="none"/>
          <w:lang w:eastAsia="zh-CN"/>
        </w:rPr>
        <w:t>用</w:t>
      </w:r>
      <w:r>
        <w:rPr>
          <w:rFonts w:hint="eastAsia" w:ascii="仿宋" w:hAnsi="仿宋" w:eastAsia="仿宋" w:cs="仿宋"/>
          <w:color w:val="auto"/>
          <w:sz w:val="32"/>
          <w:szCs w:val="32"/>
          <w:highlight w:val="none"/>
        </w:rPr>
        <w:t>、公务用车购置及运行维护费和公务接待费。其中，因公出国（境）费</w:t>
      </w:r>
      <w:r>
        <w:rPr>
          <w:rFonts w:hint="eastAsia" w:ascii="仿宋" w:hAnsi="仿宋" w:eastAsia="仿宋" w:cs="仿宋"/>
          <w:color w:val="auto"/>
          <w:sz w:val="32"/>
          <w:szCs w:val="32"/>
          <w:highlight w:val="none"/>
          <w:lang w:eastAsia="zh-CN"/>
        </w:rPr>
        <w:t>用</w:t>
      </w:r>
      <w:r>
        <w:rPr>
          <w:rFonts w:hint="eastAsia" w:ascii="仿宋" w:hAnsi="仿宋" w:eastAsia="仿宋" w:cs="仿宋"/>
          <w:color w:val="auto"/>
          <w:sz w:val="32"/>
          <w:szCs w:val="32"/>
          <w:highlight w:val="none"/>
        </w:rPr>
        <w:t>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670215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76F30C3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十六、支出功能分类：</w:t>
      </w:r>
    </w:p>
    <w:p w14:paraId="086581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农林水（类）农业农村（款）行政运行（项），反映行政单位（包括实行公务员管理的事业单位）的基本支出</w:t>
      </w:r>
      <w:r>
        <w:rPr>
          <w:rFonts w:hint="eastAsia" w:ascii="仿宋" w:hAnsi="仿宋" w:eastAsia="仿宋" w:cs="仿宋"/>
          <w:color w:val="auto"/>
          <w:sz w:val="32"/>
          <w:szCs w:val="32"/>
          <w:highlight w:val="none"/>
          <w:lang w:eastAsia="zh-CN"/>
        </w:rPr>
        <w:t>；</w:t>
      </w:r>
    </w:p>
    <w:p w14:paraId="2C23DEB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农林水（类）农业农村（款）事业运行（项），反映农村部门所属事业单位的基本支出，不包括行政单位（包括实行公务员管理的事业单位）后勤服务中心、医务室等附属事业单位</w:t>
      </w:r>
      <w:r>
        <w:rPr>
          <w:rFonts w:hint="eastAsia" w:ascii="仿宋" w:hAnsi="仿宋" w:eastAsia="仿宋" w:cs="仿宋"/>
          <w:color w:val="auto"/>
          <w:sz w:val="32"/>
          <w:szCs w:val="32"/>
          <w:highlight w:val="none"/>
          <w:lang w:eastAsia="zh-CN"/>
        </w:rPr>
        <w:t>；</w:t>
      </w:r>
    </w:p>
    <w:p w14:paraId="6137A36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农林水（类）农业农村（款）科技转化与推广服务（项），反映用于农业科技转化和推广服务方面的支出，包括农业新技术、新成果引进、试验、示范、转化及推广，以及种植业技术推广等方面的支出</w:t>
      </w:r>
      <w:r>
        <w:rPr>
          <w:rFonts w:hint="eastAsia" w:ascii="仿宋" w:hAnsi="仿宋" w:eastAsia="仿宋" w:cs="仿宋"/>
          <w:color w:val="auto"/>
          <w:sz w:val="32"/>
          <w:szCs w:val="32"/>
          <w:highlight w:val="none"/>
          <w:lang w:eastAsia="zh-CN"/>
        </w:rPr>
        <w:t>；</w:t>
      </w:r>
    </w:p>
    <w:p w14:paraId="11BD455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农林水（类）农业农村（款）病虫害控制（项），反映对农作物病虫害及草原鼠虫害等防治、植物检疫等方面的支出</w:t>
      </w:r>
      <w:r>
        <w:rPr>
          <w:rFonts w:hint="eastAsia" w:ascii="仿宋" w:hAnsi="仿宋" w:eastAsia="仿宋" w:cs="仿宋"/>
          <w:color w:val="auto"/>
          <w:sz w:val="32"/>
          <w:szCs w:val="32"/>
          <w:highlight w:val="none"/>
          <w:lang w:eastAsia="zh-CN"/>
        </w:rPr>
        <w:t>；</w:t>
      </w:r>
    </w:p>
    <w:p w14:paraId="738CE36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农林水（类）农业农村（款）农产品质量安全（项），反映农产品质量安全标准制定、检验检测、质量认证及监督管理等方面的支出</w:t>
      </w:r>
      <w:r>
        <w:rPr>
          <w:rFonts w:hint="eastAsia" w:ascii="仿宋" w:hAnsi="仿宋" w:eastAsia="仿宋" w:cs="仿宋"/>
          <w:color w:val="auto"/>
          <w:sz w:val="32"/>
          <w:szCs w:val="32"/>
          <w:highlight w:val="none"/>
          <w:lang w:eastAsia="zh-CN"/>
        </w:rPr>
        <w:t>；</w:t>
      </w:r>
    </w:p>
    <w:p w14:paraId="670D29B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农林水（类）农业农村（款）农业生产发展（项），反映用于发展农业生产方面的支出，包括种植业、种业及农业生产发展等。</w:t>
      </w:r>
    </w:p>
    <w:p w14:paraId="382C0B44">
      <w:pPr>
        <w:keepNext w:val="0"/>
        <w:keepLines w:val="0"/>
        <w:pageBreakBefore w:val="0"/>
        <w:widowControl w:val="0"/>
        <w:kinsoku/>
        <w:wordWrap/>
        <w:overflowPunct/>
        <w:topLinePunct w:val="0"/>
        <w:autoSpaceDE/>
        <w:autoSpaceDN/>
        <w:bidi w:val="0"/>
        <w:adjustRightInd/>
        <w:snapToGrid/>
        <w:spacing w:line="578" w:lineRule="exact"/>
        <w:ind w:firstLine="420" w:firstLineChars="200"/>
        <w:textAlignment w:val="auto"/>
        <w:rPr>
          <w:color w:val="auto"/>
          <w:highlight w:val="none"/>
        </w:rPr>
      </w:pPr>
    </w:p>
    <w:sectPr>
      <w:footerReference r:id="rId3" w:type="default"/>
      <w:footerReference r:id="rId4" w:type="even"/>
      <w:pgSz w:w="11906" w:h="16838"/>
      <w:pgMar w:top="2098" w:right="1474" w:bottom="130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6"/>
      <w:framePr w:wrap="around" w:vAnchor="text" w:hAnchor="margin" w:xAlign="center" w:y="1"/>
      <w:rPr>
        <w:rStyle w:val="11"/>
        <w:rFonts w:hint="eastAsia" w:ascii="宋体" w:hAnsi="宋体" w:eastAsia="宋体" w:cs="宋体"/>
        <w:sz w:val="28"/>
        <w:szCs w:val="28"/>
      </w:rPr>
    </w:pPr>
    <w:r>
      <w:rPr>
        <w:rFonts w:hint="eastAsia" w:ascii="宋体" w:hAnsi="宋体" w:eastAsia="宋体" w:cs="宋体"/>
        <w:sz w:val="28"/>
        <w:szCs w:val="28"/>
      </w:rPr>
      <w:fldChar w:fldCharType="begin"/>
    </w:r>
    <w:r>
      <w:rPr>
        <w:rStyle w:val="11"/>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1"/>
        <w:rFonts w:hint="eastAsia" w:ascii="宋体" w:hAnsi="宋体" w:eastAsia="宋体" w:cs="宋体"/>
        <w:sz w:val="28"/>
        <w:szCs w:val="28"/>
      </w:rPr>
      <w:t>18</w:t>
    </w:r>
    <w:r>
      <w:rPr>
        <w:rFonts w:hint="eastAsia" w:ascii="宋体" w:hAnsi="宋体" w:eastAsia="宋体" w:cs="宋体"/>
        <w:sz w:val="28"/>
        <w:szCs w:val="28"/>
      </w:rPr>
      <w:fldChar w:fldCharType="end"/>
    </w:r>
  </w:p>
  <w:p w14:paraId="1BD1ED8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6"/>
      <w:framePr w:wrap="around" w:vAnchor="text" w:hAnchor="margin" w:xAlign="center" w:y="1"/>
      <w:rPr>
        <w:rStyle w:val="11"/>
      </w:rPr>
    </w:pPr>
    <w:r>
      <w:fldChar w:fldCharType="begin"/>
    </w:r>
    <w:r>
      <w:rPr>
        <w:rStyle w:val="11"/>
      </w:rPr>
      <w:instrText xml:space="preserve">PAGE  </w:instrText>
    </w:r>
    <w:r>
      <w:fldChar w:fldCharType="separate"/>
    </w:r>
    <w:r>
      <w:fldChar w:fldCharType="end"/>
    </w:r>
  </w:p>
  <w:p w14:paraId="07FD915D">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0E0528"/>
    <w:multiLevelType w:val="singleLevel"/>
    <w:tmpl w:val="970E0528"/>
    <w:lvl w:ilvl="0" w:tentative="0">
      <w:start w:val="1"/>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DE7ABA8A"/>
    <w:multiLevelType w:val="singleLevel"/>
    <w:tmpl w:val="DE7ABA8A"/>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B56C8"/>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653171"/>
    <w:rsid w:val="035166A0"/>
    <w:rsid w:val="036D71A0"/>
    <w:rsid w:val="03AF1619"/>
    <w:rsid w:val="047A58AA"/>
    <w:rsid w:val="04A0420A"/>
    <w:rsid w:val="04CB1139"/>
    <w:rsid w:val="04E853C8"/>
    <w:rsid w:val="05682602"/>
    <w:rsid w:val="056A17AB"/>
    <w:rsid w:val="06400C4E"/>
    <w:rsid w:val="080B7C62"/>
    <w:rsid w:val="09201287"/>
    <w:rsid w:val="0A165B8C"/>
    <w:rsid w:val="0AF81AF7"/>
    <w:rsid w:val="0B8646CF"/>
    <w:rsid w:val="0F0D0E98"/>
    <w:rsid w:val="0F5B4403"/>
    <w:rsid w:val="0F64775C"/>
    <w:rsid w:val="0FC80124"/>
    <w:rsid w:val="106D0892"/>
    <w:rsid w:val="136F98C7"/>
    <w:rsid w:val="13CC1D73"/>
    <w:rsid w:val="16195D41"/>
    <w:rsid w:val="17427E68"/>
    <w:rsid w:val="1755065F"/>
    <w:rsid w:val="17837110"/>
    <w:rsid w:val="17F378CF"/>
    <w:rsid w:val="185F7499"/>
    <w:rsid w:val="19251E14"/>
    <w:rsid w:val="1AFC29C9"/>
    <w:rsid w:val="1CA52F2E"/>
    <w:rsid w:val="1D1C0399"/>
    <w:rsid w:val="1E3630B9"/>
    <w:rsid w:val="1E766B63"/>
    <w:rsid w:val="2087674C"/>
    <w:rsid w:val="22FB1D2D"/>
    <w:rsid w:val="24013373"/>
    <w:rsid w:val="24BD5534"/>
    <w:rsid w:val="26EEC2B5"/>
    <w:rsid w:val="29472309"/>
    <w:rsid w:val="2B406E77"/>
    <w:rsid w:val="2BCB346B"/>
    <w:rsid w:val="2BF67536"/>
    <w:rsid w:val="2C2A0C43"/>
    <w:rsid w:val="2C895B0F"/>
    <w:rsid w:val="2CCC277E"/>
    <w:rsid w:val="2D1E73A5"/>
    <w:rsid w:val="2D984D48"/>
    <w:rsid w:val="2DAA682A"/>
    <w:rsid w:val="315C0BFD"/>
    <w:rsid w:val="32717154"/>
    <w:rsid w:val="331850F9"/>
    <w:rsid w:val="34B63260"/>
    <w:rsid w:val="37890DDD"/>
    <w:rsid w:val="37FDA7E2"/>
    <w:rsid w:val="389D2A9B"/>
    <w:rsid w:val="3A314D88"/>
    <w:rsid w:val="3A746883"/>
    <w:rsid w:val="3C8A1D00"/>
    <w:rsid w:val="3CA15DE9"/>
    <w:rsid w:val="3D0F0457"/>
    <w:rsid w:val="3DFA2EB5"/>
    <w:rsid w:val="3F2F24A9"/>
    <w:rsid w:val="3FD02B45"/>
    <w:rsid w:val="3FE61EE5"/>
    <w:rsid w:val="406508EE"/>
    <w:rsid w:val="408D6263"/>
    <w:rsid w:val="40B868CE"/>
    <w:rsid w:val="41B40CEE"/>
    <w:rsid w:val="42834F1E"/>
    <w:rsid w:val="45060392"/>
    <w:rsid w:val="46773AE2"/>
    <w:rsid w:val="48317291"/>
    <w:rsid w:val="484D5079"/>
    <w:rsid w:val="485F7024"/>
    <w:rsid w:val="48711FC6"/>
    <w:rsid w:val="488F68F0"/>
    <w:rsid w:val="48C447EC"/>
    <w:rsid w:val="48D22491"/>
    <w:rsid w:val="48E70666"/>
    <w:rsid w:val="4C6877E5"/>
    <w:rsid w:val="4D4E6D7A"/>
    <w:rsid w:val="4D6A468D"/>
    <w:rsid w:val="4EA86137"/>
    <w:rsid w:val="5197658D"/>
    <w:rsid w:val="51DA7627"/>
    <w:rsid w:val="54AB6860"/>
    <w:rsid w:val="55384597"/>
    <w:rsid w:val="56031AB3"/>
    <w:rsid w:val="569259FE"/>
    <w:rsid w:val="56B81EA5"/>
    <w:rsid w:val="56CA7FD0"/>
    <w:rsid w:val="57832294"/>
    <w:rsid w:val="57FA38D1"/>
    <w:rsid w:val="58174786"/>
    <w:rsid w:val="5A6A4AC7"/>
    <w:rsid w:val="5AB97EAE"/>
    <w:rsid w:val="5BA1536F"/>
    <w:rsid w:val="5D9E1657"/>
    <w:rsid w:val="5E5214A3"/>
    <w:rsid w:val="5F7D3333"/>
    <w:rsid w:val="601D7037"/>
    <w:rsid w:val="61385890"/>
    <w:rsid w:val="64CC0566"/>
    <w:rsid w:val="660D43A8"/>
    <w:rsid w:val="66CB4B3F"/>
    <w:rsid w:val="67D14B53"/>
    <w:rsid w:val="687436E1"/>
    <w:rsid w:val="6A6B4546"/>
    <w:rsid w:val="6A8E20AF"/>
    <w:rsid w:val="6BF80717"/>
    <w:rsid w:val="6DA45C50"/>
    <w:rsid w:val="6E9A7825"/>
    <w:rsid w:val="6F670F9B"/>
    <w:rsid w:val="737450E0"/>
    <w:rsid w:val="74054476"/>
    <w:rsid w:val="742F38C4"/>
    <w:rsid w:val="74AB66DC"/>
    <w:rsid w:val="74C4154C"/>
    <w:rsid w:val="75956FFF"/>
    <w:rsid w:val="778D20C9"/>
    <w:rsid w:val="77AA2D01"/>
    <w:rsid w:val="783C4637"/>
    <w:rsid w:val="793C6888"/>
    <w:rsid w:val="79880BF9"/>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before="0" w:beforeAutospacing="0" w:after="120" w:afterLines="0" w:afterAutospacing="0"/>
      <w:ind w:left="200" w:leftChars="200" w:right="0" w:firstLine="200" w:firstLineChars="200"/>
      <w:jc w:val="left"/>
    </w:pPr>
    <w:rPr>
      <w:rFonts w:hint="eastAsia" w:ascii="Arial" w:hAnsi="Arial" w:eastAsia="宋体" w:cs="Times New Roman"/>
      <w:kern w:val="0"/>
      <w:sz w:val="24"/>
      <w:szCs w:val="24"/>
      <w:lang w:val="en-US" w:eastAsia="zh-CN" w:bidi="ar"/>
    </w:rPr>
  </w:style>
  <w:style w:type="paragraph" w:styleId="3">
    <w:name w:val="Body Text Indent"/>
    <w:basedOn w:val="1"/>
    <w:qFormat/>
    <w:uiPriority w:val="0"/>
    <w:pPr>
      <w:spacing w:before="0" w:beforeAutospacing="0" w:after="120" w:afterLines="0" w:afterAutospacing="0"/>
      <w:ind w:left="200" w:leftChars="200" w:right="0"/>
      <w:jc w:val="left"/>
    </w:pPr>
    <w:rPr>
      <w:rFonts w:hint="eastAsia" w:ascii="Times New Roman" w:hAnsi="Times New Roman" w:eastAsia="宋体" w:cs="Times New Roman"/>
      <w:kern w:val="0"/>
      <w:sz w:val="20"/>
      <w:szCs w:val="20"/>
      <w:lang w:val="en-US" w:eastAsia="zh-CN" w:bidi="ar"/>
    </w:rPr>
  </w:style>
  <w:style w:type="paragraph" w:styleId="4">
    <w:name w:val="annotation text"/>
    <w:basedOn w:val="1"/>
    <w:link w:val="13"/>
    <w:qFormat/>
    <w:uiPriority w:val="0"/>
    <w:pPr>
      <w:jc w:val="left"/>
    </w:p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6"/>
    <w:qFormat/>
    <w:uiPriority w:val="0"/>
    <w:rPr>
      <w:b/>
      <w:bCs/>
    </w:rPr>
  </w:style>
  <w:style w:type="character" w:styleId="11">
    <w:name w:val="page number"/>
    <w:qFormat/>
    <w:uiPriority w:val="0"/>
  </w:style>
  <w:style w:type="character" w:styleId="12">
    <w:name w:val="annotation reference"/>
    <w:qFormat/>
    <w:uiPriority w:val="0"/>
    <w:rPr>
      <w:sz w:val="21"/>
      <w:szCs w:val="21"/>
    </w:rPr>
  </w:style>
  <w:style w:type="character" w:customStyle="1" w:styleId="13">
    <w:name w:val="批注文字 Char"/>
    <w:link w:val="4"/>
    <w:qFormat/>
    <w:uiPriority w:val="0"/>
    <w:rPr>
      <w:kern w:val="2"/>
      <w:sz w:val="21"/>
      <w:szCs w:val="24"/>
    </w:rPr>
  </w:style>
  <w:style w:type="character" w:customStyle="1" w:styleId="14">
    <w:name w:val="批注框文本 Char"/>
    <w:link w:val="5"/>
    <w:qFormat/>
    <w:uiPriority w:val="0"/>
    <w:rPr>
      <w:kern w:val="2"/>
      <w:sz w:val="18"/>
      <w:szCs w:val="18"/>
    </w:rPr>
  </w:style>
  <w:style w:type="character" w:customStyle="1" w:styleId="15">
    <w:name w:val="页眉 Char"/>
    <w:link w:val="7"/>
    <w:qFormat/>
    <w:uiPriority w:val="0"/>
    <w:rPr>
      <w:kern w:val="2"/>
      <w:sz w:val="18"/>
      <w:szCs w:val="18"/>
    </w:rPr>
  </w:style>
  <w:style w:type="character" w:customStyle="1" w:styleId="16">
    <w:name w:val="批注主题 Char"/>
    <w:link w:val="8"/>
    <w:qFormat/>
    <w:uiPriority w:val="0"/>
    <w:rPr>
      <w:b/>
      <w:bCs/>
      <w:kern w:val="2"/>
      <w:sz w:val="21"/>
      <w:szCs w:val="24"/>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Chars="200"/>
    </w:pPr>
    <w:rPr>
      <w:rFonts w:ascii="Times New Roman" w:hAnsi="Times New Roman" w:eastAsia="宋体" w:cs="Times New Roman"/>
      <w:lang w:val="en-US" w:eastAsia="zh-CN" w:bidi="ar-SA"/>
    </w:rPr>
  </w:style>
  <w:style w:type="paragraph" w:customStyle="1" w:styleId="19">
    <w:name w:val="正文1 Char Char Char"/>
    <w:basedOn w:val="1"/>
    <w:qFormat/>
    <w:uiPriority w:val="0"/>
    <w:pPr>
      <w:spacing w:line="360" w:lineRule="auto"/>
      <w:ind w:firstLine="200" w:firstLineChars="200"/>
    </w:pPr>
  </w:style>
  <w:style w:type="paragraph" w:customStyle="1"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c0478001-b830-480f-b268-41f773cc0067</errorID>
      <errorWord>落实习惯</errorWord>
      <group>L1_Grammar</group>
      <groupName>语法问题</groupName>
      <ability>L2_Grammar</ability>
      <abilityName>语法错误</abilityName>
      <candidateList>
        <item>落实</item>
      </candidateList>
      <explain/>
      <paraID>11226842</paraID>
      <start>3</start>
      <end>7</end>
      <status>ignored</status>
      <modifiedWord/>
      <trackRevisions>false</trackRevisions>
    </reviewItem>
    <reviewItem>
      <errorID>df4ca8af-4108-4974-b754-79de3cd7ed91</errorID>
      <errorWord>主要是</errorWord>
      <group>L1_Word</group>
      <groupName>字词问题</groupName>
      <ability>L2_Typo</ability>
      <abilityName>字词错误</abilityName>
      <candidateList>
        <item>主要</item>
      </candidateList>
      <explain/>
      <paraID>604B1429</paraID>
      <start>19</start>
      <end>21</end>
      <status>modified</status>
      <modifiedWord>主要</modifiedWord>
      <trackRevisions>false</trackRevisions>
    </reviewItem>
    <reviewItem>
      <errorID>90ff2da5-32bc-40b8-bb14-5bd680434c7e</errorID>
      <errorWord>。。</errorWord>
      <group>L1_Punc</group>
      <groupName>标点问题</groupName>
      <ability>L2_Punc_CN</ability>
      <abilityName>标点符号问题</abilityName>
      <candidateList>
        <item>。</item>
      </candidateList>
      <explain/>
      <paraID>1BE46458</paraID>
      <start>250</start>
      <end>251</end>
      <status>modified</status>
      <modifiedWord>。</modifiedWord>
      <trackRevisions>false</trackRevisions>
    </reviewItem>
    <reviewItem>
      <errorID>e4204018-9b85-45d9-aebf-98951652eafc</errorID>
      <errorWord>该</errorWord>
      <group>L1_Word</group>
      <groupName>字词问题</groupName>
      <ability>L2_Typo</ability>
      <abilityName>字词错误</abilityName>
      <candidateList>
        <item>是该</item>
      </candidateList>
      <explain/>
      <paraID> 6C2672E</paraID>
      <start>38</start>
      <end>40</end>
      <status>modified</status>
      <modifiedWord>是该</modifiedWord>
      <trackRevisions>false</trackRevisions>
    </reviewItem>
    <reviewItem>
      <errorID>83a2de48-cfdc-4d1e-96d2-99adb3462ab3</errorID>
      <errorWord>厅</errorWord>
      <group>L1_Word</group>
      <groupName>字词问题</groupName>
      <ability>L2_Typo</ability>
      <abilityName>字词错误</abilityName>
      <candidateList>
        <item>是厅</item>
      </candidateList>
      <explain/>
      <paraID>21567448</paraID>
      <start>55</start>
      <end>57</end>
      <status>modified</status>
      <modifiedWord>是厅</modifiedWord>
      <trackRevisions>false</trackRevisions>
    </reviewItem>
    <reviewItem>
      <errorID>1ecbf6fd-8cc3-490e-926f-c0cd5b8f6dd7</errorID>
      <errorWord>。</errorWord>
      <group>L1_Punc</group>
      <groupName>标点问题</groupName>
      <ability>L2_Punc_CN</ability>
      <abilityName>标点符号问题</abilityName>
      <candidateList>
        <item>%。</item>
      </candidateList>
      <explain/>
      <paraID>491FBB71</paraID>
      <start>45</start>
      <end>47</end>
      <status>modified</status>
      <modifiedWord>%。</modifiedWord>
      <trackRevisions>false</trackRevisions>
    </reviewItem>
    <reviewItem>
      <errorID>813cec94-01c4-4c01-9e26-9ea2a49fe4e4</errorID>
      <errorWord>中中央</errorWord>
      <group>L1_Political</group>
      <groupName>政治性问题</groupName>
      <ability>L2_Unpolitical</ability>
      <abilityName>政治敏感错误</abilityName>
      <candidateList>
        <item>中央</item>
      </candidateList>
      <explain/>
      <paraID>3C560090</paraID>
      <start>61</start>
      <end>64</end>
      <status>ignored</status>
      <modifiedWord/>
      <trackRevisions>false</trackRevisions>
    </reviewItem>
    <reviewItem>
      <errorID>67aba3e9-99ce-4a03-9000-71a72876680e</errorID>
      <errorWord>%</errorWord>
      <group>L1_Punc</group>
      <groupName>标点问题</groupName>
      <ability>L2_Punc_CN</ability>
      <abilityName>标点符号问题</abilityName>
      <candidateList>
        <item>%。</item>
      </candidateList>
      <explain/>
      <paraID>54755D75</paraID>
      <start>41</start>
      <end>43</end>
      <status>modified</status>
      <modifiedWord>%。</modifiedWord>
      <trackRevisions>false</trackRevisions>
    </reviewItem>
    <reviewItem>
      <errorID>deb98e26-98c9-4798-8517-aee530e15258</errorID>
      <errorWord>巩固脱贫攻坚成果</errorWord>
      <group>L1_Word</group>
      <groupName>字词问题</groupName>
      <ability>L2_Typo</ability>
      <abilityName>字词错误</abilityName>
      <candidateList>
        <item>巩固拓展脱贫攻坚成果</item>
      </candidateList>
      <explain/>
      <paraID> 8558CB9</paraID>
      <start>9</start>
      <end>17</end>
      <status>ignored</status>
      <modifiedWord/>
      <trackRevisions>false</trackRevisions>
    </reviewItem>
    <reviewItem>
      <errorID>10a6dfa6-58ee-4ef6-ab15-e6f27985d3b3</errorID>
      <errorWord>巩固脱贫攻坚成果</errorWord>
      <group>L1_Word</group>
      <groupName>字词问题</groupName>
      <ability>L2_Typo</ability>
      <abilityName>字词错误</abilityName>
      <candidateList>
        <item>巩固拓展脱贫攻坚成果</item>
      </candidateList>
      <explain/>
      <paraID> 8558CB9</paraID>
      <start>28</start>
      <end>36</end>
      <status>ignored</status>
      <modifiedWord/>
      <trackRevisions>false</trackRevisions>
    </reviewItem>
    <reviewItem>
      <errorID>6fd5c484-5ef9-415c-9085-b6281c9709a9</errorID>
      <errorWord>三公经费</errorWord>
      <group>L1_Political</group>
      <groupName>政治性问题</groupName>
      <ability>L2_Keyword</ability>
      <abilityName>固定表述</abilityName>
      <candidateList>
        <item>“三公”经费</item>
      </candidateList>
      <explain>注意检查当前固定表述标点是否使用规范。</explain>
      <paraID>1367A270</paraID>
      <start>107</start>
      <end>113</end>
      <status>modified</status>
      <modifiedWord>“三公”经费</modifiedWord>
      <trackRevisions>false</trackRevisions>
    </reviewItem>
    <reviewItem>
      <errorID>06e18439-7d7e-43a4-851b-355e9fce08e4</errorID>
      <errorWord>签定</errorWord>
      <group>L1_Word</group>
      <groupName>字词问题</groupName>
      <ability>L2_Typo</ability>
      <abilityName>字词错误</abilityName>
      <candidateList>
        <item>签订</item>
      </candidateList>
      <explain/>
      <paraID>2F882352</paraID>
      <start>81</start>
      <end>83</end>
      <status>modified</status>
      <modifiedWord>签订</modifiedWord>
      <trackRevisions>false</trackRevisions>
    </reviewItem>
    <reviewItem>
      <errorID>3a617e61-ba21-4c45-a976-6f716b836fbe</errorID>
      <errorWord>。；</errorWord>
      <group>L1_Punc</group>
      <groupName>标点问题</groupName>
      <ability>L2_Punc_CN</ability>
      <abilityName>标点符号问题</abilityName>
      <candidateList>
        <item>。</item>
      </candidateList>
      <explain/>
      <paraID>2F882352</paraID>
      <start>108</start>
      <end>109</end>
      <status>modified</status>
      <modifiedWord>。</modifiedWord>
      <trackRevisions>false</trackRevisions>
    </reviewItem>
    <reviewItem>
      <errorID>82ad349c-106a-44cc-9d6f-fb972ac836c3</errorID>
      <errorWord>览</errorWord>
      <group>L1_Word</group>
      <groupName>字词问题</groupName>
      <ability>L2_Typo</ability>
      <abilityName>字词错误</abilityName>
      <candidateList>
        <item>览会</item>
      </candidateList>
      <explain/>
      <paraID>272B0CF2</paraID>
      <start>71</start>
      <end>72</end>
      <status>ignored</status>
      <modifiedWord/>
      <trackRevisions>false</trackRevisions>
    </reviewItem>
    <reviewItem>
      <errorID>f87a1c23-3627-45f9-ad69-b52013232a98</errorID>
      <errorWord>、以及</errorWord>
      <group>L1_Punc</group>
      <groupName>标点问题</groupName>
      <ability>L2_Punc_CN</ability>
      <abilityName>标点符号问题</abilityName>
      <candidateList>
        <item>，以及</item>
      </candidateList>
      <explain>连接词前后不宜使用顿号，建议使用逗号。</explain>
      <paraID>2F0F80CE</paraID>
      <start>85</start>
      <end>88</end>
      <status>modified</status>
      <modifiedWord>，以及</modifiedWord>
      <trackRevisions>false</trackRevisions>
    </reviewItem>
    <reviewItem>
      <errorID>7c7b1b21-e4f0-444e-b579-7c7c8de66593</errorID>
      <errorWord>省委省政府</errorWord>
      <group>L1_Political</group>
      <groupName>政治性问题</groupName>
      <ability>L2_Keyword</ability>
      <abilityName>固定表述</abilityName>
      <candidateList>
        <item>省委、省政府</item>
      </candidateList>
      <explain>注意检查当前固定表述标点是否使用规范。</explain>
      <paraID> 444BB16</paraID>
      <start>48</start>
      <end>53</end>
      <status>ignored</status>
      <modifiedWord/>
      <trackRevisions>false</trackRevisions>
    </reviewItem>
    <reviewItem>
      <errorID>8e1508b6-008e-48dd-8e13-86e3c7a0fe0b</errorID>
      <errorWord>,</errorWord>
      <group>L1_Format</group>
      <groupName>格式问题</groupName>
      <ability>L2_HalfPunc_CN</ability>
      <abilityName>全半角问题</abilityName>
      <candidateList>
        <item>，</item>
      </candidateList>
      <explain>文本全半角错误。</explain>
      <paraID>3ED8D3C6</paraID>
      <start>66</start>
      <end>67</end>
      <status>modified</status>
      <modifiedWord>，</modifiedWord>
      <trackRevisions>false</trackRevisions>
    </reviewItem>
    <reviewItem>
      <errorID>935e5f89-4a91-4e87-8ae2-518fb0926533</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1D5714EE</paraID>
      <start>14</start>
      <end>15</end>
      <status>ignored</status>
      <modifiedWord/>
      <trackRevisions>false</trackRevisions>
    </reviewItem>
    <reviewItem>
      <errorID>8403fe12-569c-4b11-9622-5975f8226c6d</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498AF9CE</paraID>
      <start>12</start>
      <end>13</end>
      <status>ignored</status>
      <modifiedWord/>
      <trackRevisions>false</trackRevisions>
    </reviewItem>
    <reviewItem>
      <errorID>6938364b-1cbb-450a-a6ce-e2045b7299ce</errorID>
      <errorWord>四</errorWord>
      <group>L1_Punc</group>
      <groupName>标点问题</groupName>
      <ability>L2_Punc_CN</ability>
      <abilityName>标点符号问题</abilityName>
      <candidateList>
        <item>。四</item>
      </candidateList>
      <explain/>
      <paraID>498AF9CE</paraID>
      <start>251</start>
      <end>253</end>
      <status>modified</status>
      <modifiedWord>。四</modifiedWord>
      <trackRevisions>false</trackRevisions>
    </reviewItem>
    <reviewItem>
      <errorID>295fd65f-5115-45c7-8e34-e7d4f4bd2738</errorID>
      <errorWord>主要原因</errorWord>
      <group>L1_Grammar</group>
      <groupName>语法问题</groupName>
      <ability>L2_Grammar</ability>
      <abilityName>语法错误</abilityName>
      <candidateList>
        <item>主要</item>
      </candidateList>
      <explain/>
      <paraID>6EB41EB9</paraID>
      <start>156</start>
      <end>160</end>
      <status>ignored</status>
      <modifiedWord/>
      <trackRevisions>false</trackRevisions>
    </reviewItem>
    <reviewItem>
      <errorID>d5d6746d-ad81-4424-92c8-a9733cdc9d8c</errorID>
      <errorWord>，</errorWord>
      <group>L1_Grammar</group>
      <groupName>语法问题</groupName>
      <ability>L2_Grammar</ability>
      <abilityName>语法错误</abilityName>
      <candidateList>
        <item>的要求，</item>
      </candidateList>
      <explain/>
      <paraID>6EB41EB9</paraID>
      <start>182</start>
      <end>186</end>
      <status>modified</status>
      <modifiedWord>的要求，</modifiedWord>
      <trackRevisions>false</trackRevisions>
    </reviewItem>
    <reviewItem>
      <errorID>b32507f3-ae81-47a0-8fd6-e3d20d3ceb3c</errorID>
      <errorWord>使用</errorWord>
      <group>L1_Punc</group>
      <groupName>标点问题</groupName>
      <ability>L2_Punc_CN</ability>
      <abilityName>标点符号问题</abilityName>
      <candidateList>
        <item>，使用</item>
      </candidateList>
      <explain/>
      <paraID>670215F7</paraID>
      <start>35</start>
      <end>37</end>
      <status>ignored</status>
      <modifiedWord/>
      <trackRevisions>false</trackRevisions>
    </reviewItem>
    <reviewItem>
      <errorID>af60dfff-7bfc-472c-8428-7221563e4805</errorID>
      <errorWord>用于</errorWord>
      <group>L1_Punc</group>
      <groupName>标点问题</groupName>
      <ability>L2_Punc_CN</ability>
      <abilityName>标点符号问题</abilityName>
      <candidateList>
        <item>，用于</item>
      </candidateList>
      <explain/>
      <paraID>670215F7</paraID>
      <start>56</start>
      <end>58</end>
      <status>ignored</status>
      <modifiedWord/>
      <trackRevisions>false</trackRevisions>
    </reviewItem>
  </reviewItems>
  <config/>
</contractReview>
</file>

<file path=customXml/itemProps1.xml><?xml version="1.0" encoding="utf-8"?>
<ds:datastoreItem xmlns:ds="http://schemas.openxmlformats.org/officeDocument/2006/customXml" ds:itemID="{3bac2371-c26c-4a25-abbc-b47eb535b46c}">
  <ds:schemaRefs/>
</ds:datastoreItem>
</file>

<file path=docProps/app.xml><?xml version="1.0" encoding="utf-8"?>
<Properties xmlns="http://schemas.openxmlformats.org/officeDocument/2006/extended-properties" xmlns:vt="http://schemas.openxmlformats.org/officeDocument/2006/docPropsVTypes">
  <Template>Normal.dotm</Template>
  <Pages>31</Pages>
  <Words>7389</Words>
  <Characters>8767</Characters>
  <Lines>67</Lines>
  <Paragraphs>18</Paragraphs>
  <TotalTime>48</TotalTime>
  <ScaleCrop>false</ScaleCrop>
  <LinksUpToDate>false</LinksUpToDate>
  <CharactersWithSpaces>8808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陆</cp:lastModifiedBy>
  <cp:lastPrinted>2023-08-03T00:58:00Z</cp:lastPrinted>
  <dcterms:modified xsi:type="dcterms:W3CDTF">2026-08-27T03:37:54Z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03AE7F14E2DC4BACB053764200FF950D_13</vt:lpwstr>
  </property>
  <property fmtid="{D5CDD505-2E9C-101B-9397-08002B2CF9AE}" pid="4" name="KSOTemplateDocerSaveRecord">
    <vt:lpwstr>eyJoZGlkIjoiODc2YmY1Y2VjZTE2OTk0Yzc4MTdkYzE5NTk0ZDBkOTQiLCJ1c2VySWQiOiIyODkxOTcyMzEifQ==</vt:lpwstr>
  </property>
</Properties>
</file>