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25" w:lineRule="atLeast"/>
        <w:ind w:left="0" w:right="0" w:firstLine="420"/>
        <w:jc w:val="center"/>
        <w:rPr>
          <w:rFonts w:hint="eastAsia" w:ascii="Times New Roman" w:hAnsi="Times New Roman" w:eastAsia="华文中宋" w:cstheme="minorBidi"/>
          <w:b/>
          <w:kern w:val="2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华文中宋" w:cstheme="minorBidi"/>
          <w:b/>
          <w:kern w:val="2"/>
          <w:sz w:val="36"/>
          <w:szCs w:val="36"/>
          <w:highlight w:val="none"/>
          <w:lang w:val="en-US" w:eastAsia="zh-CN" w:bidi="ar-SA"/>
        </w:rPr>
        <w:t>有关激励措施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一、农业农村部农机化司农机管〔2022〕32号文件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（一）获得决赛第1名并符合推荐条件的选手，由选手所在省（区、市）总工会在次年度“五一”集中表彰时按程序优先申报“全国五一劳动奖章”。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（二）获得决赛前5名的选手，经人力资源社会保障部核准后授予“全国技术能手”称号；由农业农村部晋升技师职业资格。已具有技师职业资格的，晋升高级技师职业资格。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（三）获得决赛第6—20名的选手，由农业农村部颁发“全国农业技术能手”证书和奖牌；由农业农村部晋升高级工职业资格，已具有高级工职业资格的，晋升技师职业资格。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（四）获得决赛第21—50名的选手，由大赛组委会颁发“优秀选手”证书。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（五）对参加决赛的所有选手，由大赛组委会秘书处颁发参赛证书。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（六）团体成绩前5名的代表队由大赛组委会颁发“优秀团体奖”奖牌。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（七）评选出3名优秀裁判员，由大赛组委会颁发“优秀裁判员”证书。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（八）对主要承担本次竞赛工作的协办单位由大赛组委会颁发“突出贡献奖”奖牌。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zkxMTUzMjBlMzBiZGM1MTUzM2M3NDdkODMxZTQifQ=="/>
  </w:docVars>
  <w:rsids>
    <w:rsidRoot w:val="37B370C2"/>
    <w:rsid w:val="37B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2022-09-16T02:50:00Z</dcterms:created>
  <dc:creator>余珊珊</dc:creator>
  <cp:lastModifiedBy>余珊珊</cp:lastModifiedBy>
  <dcterms:modified xsi:type="dcterms:W3CDTF">2022-09-16T02:50:50Z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5F9FD4D9C3B64D21A55BD54CF87336A7</vt:lpwstr>
  </property>
</Properties>
</file>