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  <w:t>评分标准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spacing w:line="360" w:lineRule="exact"/>
        <w:ind w:firstLine="562" w:firstLineChars="200"/>
        <w:jc w:val="center"/>
        <w:textAlignment w:val="auto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南繁有害生物统防统</w:t>
      </w:r>
      <w:r>
        <w:rPr>
          <w:rFonts w:hint="default" w:eastAsia="仿宋" w:cs="Times New Roman"/>
          <w:sz w:val="32"/>
          <w:szCs w:val="32"/>
          <w:lang w:eastAsia="zh-CN"/>
        </w:rPr>
        <w:t>控</w:t>
      </w:r>
      <w:r>
        <w:rPr>
          <w:rFonts w:hint="eastAsia" w:eastAsia="仿宋" w:cs="Times New Roman"/>
          <w:sz w:val="32"/>
          <w:szCs w:val="32"/>
          <w:lang w:val="en-US" w:eastAsia="zh-CN"/>
        </w:rPr>
        <w:t>项目-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水稻细菌性条斑病防</w:t>
      </w:r>
      <w:r>
        <w:rPr>
          <w:rFonts w:hint="eastAsia" w:eastAsia="仿宋" w:cs="Times New Roman"/>
          <w:sz w:val="32"/>
          <w:szCs w:val="32"/>
          <w:lang w:val="en-US" w:eastAsia="zh-CN"/>
        </w:rPr>
        <w:t>控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  <w:lang w:eastAsia="zh-CN"/>
        </w:rPr>
        <w:t>）</w:t>
      </w:r>
    </w:p>
    <w:tbl>
      <w:tblPr>
        <w:tblStyle w:val="7"/>
        <w:tblW w:w="903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744"/>
        <w:gridCol w:w="7193"/>
        <w:gridCol w:w="6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因素</w:t>
            </w:r>
          </w:p>
        </w:tc>
        <w:tc>
          <w:tcPr>
            <w:tcW w:w="71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标准</w:t>
            </w:r>
          </w:p>
        </w:tc>
        <w:tc>
          <w:tcPr>
            <w:tcW w:w="6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44" w:type="dxa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报价</w:t>
            </w:r>
          </w:p>
        </w:tc>
        <w:tc>
          <w:tcPr>
            <w:tcW w:w="7193" w:type="dxa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足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比选公告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要求且投标单位报价价格最低的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响应报价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为基准价，价格分统一按照下列公式计算：价格分=(基准价／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响应报价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)×价格权值×100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11" w:type="dxa"/>
            <w:tcBorders>
              <w:bottom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服务</w:t>
            </w:r>
            <w:r>
              <w:rPr>
                <w:rFonts w:hint="default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eastAsia="zh-CN"/>
              </w:rPr>
              <w:t>能力</w:t>
            </w:r>
          </w:p>
        </w:tc>
        <w:tc>
          <w:tcPr>
            <w:tcW w:w="7193" w:type="dxa"/>
            <w:tcBorders>
              <w:top w:val="single" w:color="000000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具有履行合同所必需的专业设备和人员队伍：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.具有飞防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设备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台，得3分，每多加1台得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分，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最高得1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。 </w:t>
            </w:r>
          </w:p>
          <w:p>
            <w:pPr>
              <w:pStyle w:val="3"/>
              <w:widowControl/>
              <w:spacing w:after="0" w:line="360" w:lineRule="exac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2.具有农业行业资质或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飞防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专业设备操作资质的人员队伍，每个具有资质的人员得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分，最高得1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分。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证明材料：提供设备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图片或采购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相关证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明、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人员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资质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证书复印件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等材料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，并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加盖公章。</w:t>
            </w:r>
          </w:p>
        </w:tc>
        <w:tc>
          <w:tcPr>
            <w:tcW w:w="611" w:type="dxa"/>
            <w:tcBorders>
              <w:top w:val="single" w:color="000000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491" w:type="dxa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hAnsi="Times New Roman" w:eastAsia="宋体" w:cs="Times New Roman"/>
                <w:color w:val="000000"/>
                <w:kern w:val="0"/>
                <w:sz w:val="21"/>
                <w:szCs w:val="21"/>
                <w:shd w:val="clear" w:color="auto" w:fill="auto"/>
                <w:lang w:eastAsia="zh-CN"/>
              </w:rPr>
              <w:t>3</w:t>
            </w:r>
          </w:p>
        </w:tc>
        <w:tc>
          <w:tcPr>
            <w:tcW w:w="744" w:type="dxa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shd w:val="clear" w:color="auto" w:fill="auto"/>
              </w:rPr>
              <w:t>类似业绩</w:t>
            </w:r>
          </w:p>
        </w:tc>
        <w:tc>
          <w:tcPr>
            <w:tcW w:w="7193" w:type="dxa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</w:rPr>
              <w:t>提供近</w:t>
            </w:r>
            <w:r>
              <w:rPr>
                <w:rFonts w:hint="eastAsia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</w:rPr>
              <w:t>年（自20</w:t>
            </w:r>
            <w:r>
              <w:rPr>
                <w:rFonts w:hint="eastAsia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</w:rPr>
              <w:t>月至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响应文件递交截止之日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</w:rPr>
              <w:t>）完成或正在进行的关于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病、虫、草、害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防控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</w:rPr>
              <w:t>等类似项目业绩，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国家级项目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</w:rPr>
              <w:t>每提</w:t>
            </w:r>
            <w:r>
              <w:rPr>
                <w:rFonts w:hint="default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  <w:t>项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</w:rPr>
              <w:t>得</w:t>
            </w:r>
            <w:r>
              <w:rPr>
                <w:rFonts w:hint="default" w:cs="Times New Roman"/>
                <w:color w:val="auto"/>
                <w:kern w:val="0"/>
                <w:sz w:val="21"/>
                <w:szCs w:val="21"/>
                <w:shd w:val="clear" w:color="auto" w:fill="auto"/>
              </w:rPr>
              <w:t>1</w:t>
            </w:r>
            <w:r>
              <w:rPr>
                <w:rFonts w:hint="default" w:hAnsi="Times New Roman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</w:rPr>
              <w:t>分，</w:t>
            </w:r>
            <w:r>
              <w:rPr>
                <w:rFonts w:hint="default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  <w:t>省级</w:t>
            </w:r>
            <w:r>
              <w:rPr>
                <w:rFonts w:hint="default" w:hAnsi="Times New Roman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项目每提供1项</w:t>
            </w:r>
            <w:r>
              <w:rPr>
                <w:rFonts w:hint="default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  <w:t>得</w:t>
            </w:r>
            <w:r>
              <w:rPr>
                <w:rFonts w:hint="default" w:cs="Times New Roman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  <w:t>5</w:t>
            </w:r>
            <w:r>
              <w:rPr>
                <w:rFonts w:hint="default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分，市县级</w:t>
            </w:r>
            <w:r>
              <w:rPr>
                <w:rFonts w:hint="default" w:hAnsi="Times New Roman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项目每提供1项</w:t>
            </w:r>
            <w:r>
              <w:rPr>
                <w:rFonts w:hint="default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得</w:t>
            </w:r>
            <w:r>
              <w:rPr>
                <w:rFonts w:hint="default" w:cs="Times New Roman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  <w:t>4</w:t>
            </w:r>
            <w:r>
              <w:rPr>
                <w:rFonts w:hint="default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分。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  <w:t>最高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得</w:t>
            </w:r>
            <w:r>
              <w:rPr>
                <w:rFonts w:hint="eastAsia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hint="default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</w:rPr>
              <w:t>证明材料：需提供中标（成交）通知书或合同复印件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或</w:t>
            </w:r>
            <w:r>
              <w:rPr>
                <w:rFonts w:hint="default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  <w:t>验收报告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</w:rPr>
              <w:t>复印件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</w:rPr>
              <w:t>加盖公章，</w:t>
            </w:r>
            <w:r>
              <w:rPr>
                <w:rFonts w:hint="default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重复提供或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</w:rPr>
              <w:t>不提供</w:t>
            </w:r>
            <w:r>
              <w:rPr>
                <w:rFonts w:hint="default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shd w:val="clear" w:color="auto" w:fill="auto"/>
              </w:rPr>
              <w:t>不得分。</w:t>
            </w:r>
          </w:p>
        </w:tc>
        <w:tc>
          <w:tcPr>
            <w:tcW w:w="611" w:type="dxa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hint="default" w:hAnsi="Times New Roman" w:eastAsia="宋体" w:cs="Times New Roman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shd w:val="clear" w:color="auto" w:fill="auto"/>
              </w:rPr>
              <w:t>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91" w:type="dxa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44" w:type="dxa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服务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保障措施</w:t>
            </w:r>
          </w:p>
        </w:tc>
        <w:tc>
          <w:tcPr>
            <w:tcW w:w="7193" w:type="dxa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服务方案应包含内容：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①服务响应时间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②服务响应方式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及解决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问题的速度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服务团队；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④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服务内容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供应商提供上述内容的，每项得1分，满分</w:t>
            </w:r>
            <w:r>
              <w:rPr>
                <w:rFonts w:hint="default" w:cs="Times New Roman"/>
                <w:color w:val="auto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分，未提供不得分。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供应商应根据项目实际需求，制定后续服务保障方案，方案内容应包含项目完成后能与采购人及时配合，高效落实问题修改与技术配合等内容，</w:t>
            </w:r>
            <w:r>
              <w:rPr>
                <w:rFonts w:hint="default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及工作计划安排，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进行综合评比：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服务保障方案内容编制科学合理，适用性强，思路清晰，内容全面，能够根据实际情况制订，满足采购需求，考虑问题周全，实施过程务实，各项指标均能完成，得</w:t>
            </w:r>
            <w:r>
              <w:rPr>
                <w:rFonts w:hint="default" w:cs="Times New Roman"/>
                <w:color w:val="auto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服务保障方案内容基本完整、服务安排合理、基本满足能够采购需求，得</w:t>
            </w:r>
            <w:r>
              <w:rPr>
                <w:rFonts w:hint="default" w:cs="Times New Roman"/>
                <w:color w:val="auto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服务保障方案内容不全面，适用性不强，内容不能满足采购人的需求，得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④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未提供</w:t>
            </w:r>
            <w:r>
              <w:rPr>
                <w:rFonts w:hint="default" w:cs="Times New Roman"/>
                <w:color w:val="auto"/>
                <w:kern w:val="0"/>
                <w:sz w:val="21"/>
                <w:szCs w:val="21"/>
                <w:lang w:eastAsia="zh-CN"/>
              </w:rPr>
              <w:t>者得0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分。</w:t>
            </w:r>
          </w:p>
        </w:tc>
        <w:tc>
          <w:tcPr>
            <w:tcW w:w="611" w:type="dxa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91" w:type="dxa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44" w:type="dxa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技术方案</w:t>
            </w:r>
          </w:p>
        </w:tc>
        <w:tc>
          <w:tcPr>
            <w:tcW w:w="7193" w:type="dxa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1.技术方案应包含：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项目管理组织机构及岗位职责分工；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项目重点难点分析、应对措施及合理化建议；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实施计划安排；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④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人员分配。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供应商提供上述内容的，每项得</w:t>
            </w:r>
            <w:r>
              <w:rPr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分，满分</w:t>
            </w:r>
            <w:r>
              <w:rPr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分，未提供不得分。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2.技术方案内容评审：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技术方案科学合理，适用性强，思路清晰，内容全面，能够根据实际情况制订，满足采购人的需要，考虑问题周全，实施计划合理，实施过程务实，各项指标均能完成。得</w:t>
            </w:r>
            <w:r>
              <w:rPr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技术方案内容基本完整、服务安排及实施计划合理、能满足采购基本需求。得3分；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③技术方案内容不够详尽、缺乏合理性、不能满足采购基本需求。得1分；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④未提供者得0分。</w:t>
            </w:r>
          </w:p>
        </w:tc>
        <w:tc>
          <w:tcPr>
            <w:tcW w:w="611" w:type="dxa"/>
            <w:tcBorders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79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6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default" w:cs="Times New Roman"/>
                <w:color w:val="000000"/>
                <w:kern w:val="0"/>
                <w:sz w:val="21"/>
                <w:szCs w:val="21"/>
              </w:rPr>
              <w:t>分</w:t>
            </w:r>
          </w:p>
        </w:tc>
      </w:tr>
    </w:tbl>
    <w:p/>
    <w:sectPr>
      <w:footerReference r:id="rId3" w:type="default"/>
      <w:pgSz w:w="11906" w:h="16838"/>
      <w:pgMar w:top="1984" w:right="1361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6F0B73-322E-4F2E-BDF1-740578D931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EA7C48FB-2C4F-471E-941F-90239FACF5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63C6B4A-821B-4519-BDCE-C0CC7A9D87F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NDAzZjYyY2M2ZTUxNTYwMjViODg4MzBkMTIwN2YifQ=="/>
  </w:docVars>
  <w:rsids>
    <w:rsidRoot w:val="5AEC1FB6"/>
    <w:rsid w:val="02CD1F13"/>
    <w:rsid w:val="03784E3A"/>
    <w:rsid w:val="0B4E5B46"/>
    <w:rsid w:val="0D5678B0"/>
    <w:rsid w:val="0DA16476"/>
    <w:rsid w:val="0F850B38"/>
    <w:rsid w:val="17180977"/>
    <w:rsid w:val="17A13B02"/>
    <w:rsid w:val="1ACC018B"/>
    <w:rsid w:val="1C4C57FF"/>
    <w:rsid w:val="1E1547DD"/>
    <w:rsid w:val="22890414"/>
    <w:rsid w:val="233D5EA2"/>
    <w:rsid w:val="262D48F3"/>
    <w:rsid w:val="26BA2229"/>
    <w:rsid w:val="293D309F"/>
    <w:rsid w:val="2BF7F280"/>
    <w:rsid w:val="2F6C1DBA"/>
    <w:rsid w:val="31644FE6"/>
    <w:rsid w:val="385D3E88"/>
    <w:rsid w:val="38DD3F57"/>
    <w:rsid w:val="3F79F091"/>
    <w:rsid w:val="3FFEBE68"/>
    <w:rsid w:val="400C718A"/>
    <w:rsid w:val="43932336"/>
    <w:rsid w:val="461D1E37"/>
    <w:rsid w:val="4C2A705C"/>
    <w:rsid w:val="4C7C75DA"/>
    <w:rsid w:val="4F9B2885"/>
    <w:rsid w:val="51121E6C"/>
    <w:rsid w:val="532062D1"/>
    <w:rsid w:val="53A92F5C"/>
    <w:rsid w:val="55595CDA"/>
    <w:rsid w:val="563A44F2"/>
    <w:rsid w:val="578F2469"/>
    <w:rsid w:val="57FB365A"/>
    <w:rsid w:val="5AEC1FB6"/>
    <w:rsid w:val="5B503CBD"/>
    <w:rsid w:val="5BFD09BE"/>
    <w:rsid w:val="5CED3EB9"/>
    <w:rsid w:val="5DD300E3"/>
    <w:rsid w:val="60051A67"/>
    <w:rsid w:val="61C6117D"/>
    <w:rsid w:val="62CF7BBD"/>
    <w:rsid w:val="632B573B"/>
    <w:rsid w:val="6E2C0B00"/>
    <w:rsid w:val="6E3851B0"/>
    <w:rsid w:val="6E4678CD"/>
    <w:rsid w:val="704E0CBB"/>
    <w:rsid w:val="733B271D"/>
    <w:rsid w:val="75185793"/>
    <w:rsid w:val="758D193E"/>
    <w:rsid w:val="75E572F8"/>
    <w:rsid w:val="75EB5C04"/>
    <w:rsid w:val="776E39F1"/>
    <w:rsid w:val="779AE9A8"/>
    <w:rsid w:val="794B223C"/>
    <w:rsid w:val="79E57808"/>
    <w:rsid w:val="7B5B4BDE"/>
    <w:rsid w:val="7C480CB4"/>
    <w:rsid w:val="7DED8A5F"/>
    <w:rsid w:val="7F2C5AB1"/>
    <w:rsid w:val="85FE2F72"/>
    <w:rsid w:val="BBFF3B97"/>
    <w:rsid w:val="D3FE5A8A"/>
    <w:rsid w:val="DD6F3C17"/>
    <w:rsid w:val="DFF531CD"/>
    <w:rsid w:val="DFFA10B1"/>
    <w:rsid w:val="EDBF0949"/>
    <w:rsid w:val="EFBF0F26"/>
    <w:rsid w:val="F73FC256"/>
    <w:rsid w:val="F7D38265"/>
    <w:rsid w:val="FE3E32AD"/>
    <w:rsid w:val="FFF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next w:val="1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autoRedefine/>
    <w:qFormat/>
    <w:uiPriority w:val="0"/>
    <w:rPr>
      <w:sz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-SA"/>
    </w:rPr>
  </w:style>
  <w:style w:type="paragraph" w:customStyle="1" w:styleId="9">
    <w:name w:val="00正文"/>
    <w:qFormat/>
    <w:uiPriority w:val="0"/>
    <w:pPr>
      <w:widowControl w:val="0"/>
      <w:spacing w:line="360" w:lineRule="auto"/>
      <w:ind w:firstLine="412" w:firstLineChars="196"/>
      <w:jc w:val="left"/>
    </w:pPr>
    <w:rPr>
      <w:rFonts w:ascii="宋体" w:hAnsi="宋体" w:eastAsia="宋体" w:cs="宋体"/>
      <w:color w:val="000000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2024-02-21T18:04:00Z</dcterms:created>
  <dc:creator>颜吵吵</dc:creator>
  <cp:lastModifiedBy>圈圈</cp:lastModifiedBy>
  <cp:lastPrinted>2024-03-12T08:58:00Z</cp:lastPrinted>
  <dcterms:modified xsi:type="dcterms:W3CDTF">2024-03-12T03:58:04Z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8EEA59C00C8C497ABB507F24B2E60CF7_13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